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pPr>
        <w:jc w:val="center"/>
      </w:pPr>
      <w:r>
        <w:rPr>
          <w:rFonts w:ascii="Arial" w:hAnsi="Arial" w:eastAsia="Arial"/>
          <w:b/>
          <w:i w:val="0"/>
          <w:color w:val="D6A84B"/>
          <w:sz w:val="20"/>
        </w:rPr>
        <w:t>НАУЧНО-ТЕХНИЧЕСКАЯ КОНЦЕПЦИЯ</w:t>
      </w:r>
    </w:p>
    <w:p>
      <w:pPr>
        <w:pStyle w:val="Title"/>
        <w:jc w:val="center"/>
      </w:pPr>
      <w:r>
        <w:rPr>
          <w:rFonts w:ascii="Arial" w:hAnsi="Arial" w:eastAsia="Arial"/>
          <w:b/>
          <w:i w:val="0"/>
          <w:color w:val="12243A"/>
          <w:sz w:val="60"/>
        </w:rPr>
        <w:t>ЯДЕРНАЯ МАТЕМАТИКА</w:t>
      </w:r>
    </w:p>
    <w:p>
      <w:pPr>
        <w:pStyle w:val="Title"/>
        <w:jc w:val="center"/>
      </w:pPr>
      <w:r>
        <w:rPr>
          <w:rFonts w:ascii="Arial" w:hAnsi="Arial" w:eastAsia="Arial"/>
          <w:b/>
          <w:i w:val="0"/>
          <w:color w:val="176B87"/>
          <w:sz w:val="50"/>
        </w:rPr>
        <w:t>И АРХИТЕКТУРА ЭКВИЛИБРИУМ</w:t>
      </w:r>
    </w:p>
    <w:p>
      <w:pPr>
        <w:pStyle w:val="Subtitle"/>
        <w:jc w:val="center"/>
      </w:pPr>
      <w:r>
        <w:rPr>
          <w:rFonts w:ascii="Arial" w:hAnsi="Arial" w:eastAsia="Arial"/>
          <w:b w:val="0"/>
          <w:i w:val="0"/>
          <w:color w:val="5F6B76"/>
          <w:sz w:val="26"/>
        </w:rPr>
        <w:t>Формальная модель ядра 13×20, модуль 741 и операционная система согласованного развития</w:t>
      </w:r>
    </w:p>
    <w:p/>
    <w:p>
      <w:pPr>
        <w:jc w:val="center"/>
      </w:pPr>
      <w:r>
        <w:rPr>
          <w:rFonts w:ascii="Arial" w:hAnsi="Arial" w:eastAsia="Arial"/>
          <w:b/>
          <w:i w:val="0"/>
          <w:color w:val="12243A"/>
          <w:sz w:val="21"/>
        </w:rPr>
        <w:t>Автор концепции: Сергей Леонидович Соколов  •  SOKOL EQUILIBRIS</w:t>
      </w:r>
    </w:p>
    <w:p>
      <w:pPr>
        <w:jc w:val="center"/>
      </w:pPr>
      <w:r>
        <w:rPr>
          <w:rFonts w:ascii="Arial" w:hAnsi="Arial" w:eastAsia="Arial"/>
          <w:b w:val="0"/>
          <w:i w:val="0"/>
          <w:color w:val="5F6B76"/>
          <w:sz w:val="20"/>
        </w:rPr>
        <w:t>ЭКВИЛИБРИУМ — нейросвод и ОС цивилизационного масштаба</w:t>
      </w:r>
    </w:p>
    <w:p/>
    <w:p/>
    <w:p/>
    <w:p/>
    <w:p>
      <w:pPr>
        <w:pStyle w:val="SmallNote"/>
      </w:pPr>
      <w:r>
        <w:rPr>
          <w:rFonts w:ascii="Arial" w:hAnsi="Arial" w:eastAsia="Arial"/>
          <w:b w:val="0"/>
          <w:i w:val="0"/>
          <w:color w:val="5F6B76"/>
          <w:sz w:val="18"/>
        </w:rPr>
        <w:t>Статус: концептуальная модель для научной формализации, экспертной верификации и опытной реализации. Термин «ядерная» относится к инвариантному смысловому и вычислительному ядру системы, а не к атомной энергетике или ядерному оружию.</w:t>
      </w:r>
    </w:p>
    <w:p>
      <w:r>
        <w:br w:type="page"/>
      </w:r>
    </w:p>
    <w:p>
      <w:pPr>
        <w:pStyle w:val="Heading1"/>
      </w:pPr>
      <w:r>
        <w:t>Аннотация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Ядерная математика ЭКВИЛИБРИУМ — это проект формального языка, предназначенного для описания устойчивости, циклов, потоков, связности, ценностей и управленческих решений в сложных человеко-природно-технических системах. Её задача — не заменить существующие разделы математики, а собрать над ними прикладной метаязык: состояние системы описывается через поля и узлы, изменение — через потоки и циклы, устойчивость — через баланс ограничений, а решение — через проверяемый переход от наблюдения к действию.</w:t>
      </w:r>
    </w:p>
    <w:p>
      <w:pPr>
        <w:pStyle w:val="LeadCallout"/>
      </w:pPr>
      <w:r>
        <w:rPr>
          <w:rFonts w:ascii="Arial" w:hAnsi="Arial" w:eastAsia="Arial"/>
          <w:b w:val="0"/>
          <w:i w:val="0"/>
          <w:color w:val="12243A"/>
          <w:sz w:val="21"/>
        </w:rPr>
        <w:t>Ключевой архитектурный принцип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ЭКВИЛИБРИУМ разделяет факты, модели, ценности, прогнозы и решения. Любой вывод хранит происхождение данных, меру уверенности, горизонт действия и ответственного субъекта. Система не объявляет равновесие единственной целью: она управляет жизнеспособным диапазоном между устойчивостью и развитием.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152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Конструкция</w:t>
            </w:r>
          </w:p>
        </w:tc>
        <w:tc>
          <w:tcPr>
            <w:tcW w:type="dxa" w:w="360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Смысл</w:t>
            </w:r>
          </w:p>
        </w:tc>
        <w:tc>
          <w:tcPr>
            <w:tcW w:type="dxa" w:w="460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13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инвариантные поля наблюдения и управления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полнота рассмотрения объекта</w:t>
            </w:r>
          </w:p>
        </w:tc>
      </w:tr>
      <w:tr>
        <w:tc>
          <w:tcPr>
            <w:tcW w:type="dxa" w:w="115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20</w:t>
            </w:r>
          </w:p>
        </w:tc>
        <w:tc>
          <w:tcPr>
            <w:tcW w:type="dxa" w:w="36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операционные ячейки жизненного цикла</w:t>
            </w:r>
          </w:p>
        </w:tc>
        <w:tc>
          <w:tcPr>
            <w:tcW w:type="dxa" w:w="46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переход от сигнала к результату</w:t>
            </w:r>
          </w:p>
        </w:tc>
      </w:tr>
      <w:tr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13×20 = 260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матрица постулатов, функций и показателей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единый классификатор системы</w:t>
            </w:r>
          </w:p>
        </w:tc>
      </w:tr>
      <w:tr>
        <w:tc>
          <w:tcPr>
            <w:tcW w:type="dxa" w:w="115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741 = 3×13×19</w:t>
            </w:r>
          </w:p>
        </w:tc>
        <w:tc>
          <w:tcPr>
            <w:tcW w:type="dxa" w:w="36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трёхконтурная модульная развёртка</w:t>
            </w:r>
          </w:p>
        </w:tc>
        <w:tc>
          <w:tcPr>
            <w:tcW w:type="dxa" w:w="46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связка наблюдения, решения и исполнения</w:t>
            </w:r>
          </w:p>
        </w:tc>
      </w:tr>
      <w:tr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Гиперграф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отношения многих субъектов, ресурсов и целей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цифровой двойник системы систем</w:t>
            </w:r>
          </w:p>
        </w:tc>
      </w:tr>
    </w:tbl>
    <w:p>
      <w:pPr>
        <w:spacing w:after="20"/>
      </w:pPr>
    </w:p>
    <w:p>
      <w:pPr>
        <w:pStyle w:val="Heading2"/>
      </w:pPr>
      <w:r>
        <w:t>Назначение документа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зафиксировать непротиворечивое понятийное ядро;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предложить минимальный математический аппарат;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описать логическую, информационную и организационную архитектуру;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установить правила верификации и границы применимости;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сформировать дорожную карту научного и инженерного прототипа.</w:t>
      </w:r>
    </w:p>
    <w:p>
      <w:r>
        <w:br w:type="page"/>
      </w:r>
    </w:p>
    <w:p>
      <w:pPr>
        <w:pStyle w:val="Heading1"/>
      </w:pPr>
      <w:r>
        <w:t>1. Предмет и границы ядерной математики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Ядерная математика рассматривает систему как множество взаимосвязанных состояний, субъектов, ресурсов, норм, рисков и временных циклов. Единицей анализа является не отдельный показатель, а конфигурация отношений: кто действует, на какой объект, каким ресурсом, по какому правилу, в какой момент, с каким эффектом и какой доказательностью.</w:t>
      </w:r>
    </w:p>
    <w:p>
      <w:pPr>
        <w:pStyle w:val="Heading2"/>
      </w:pPr>
      <w:r>
        <w:t>1.1. Базовые сущности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80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Сущность</w:t>
            </w:r>
          </w:p>
        </w:tc>
        <w:tc>
          <w:tcPr>
            <w:tcW w:type="dxa" w:w="1152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Обозначение</w:t>
            </w:r>
          </w:p>
        </w:tc>
        <w:tc>
          <w:tcPr>
            <w:tcW w:type="dxa" w:w="640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Определение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Система</w:t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Σ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граница, состав, цель, среда и правила преобразования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Состояние</w:t>
            </w:r>
          </w:p>
        </w:tc>
        <w:tc>
          <w:tcPr>
            <w:tcW w:type="dxa" w:w="115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x(t)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вектор наблюдаемых и вычисляемых параметров во времени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Поле</w:t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Fₖ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область влияния, в которой действуют общие отношения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Узел</w:t>
            </w:r>
          </w:p>
        </w:tc>
        <w:tc>
          <w:tcPr>
            <w:tcW w:type="dxa" w:w="115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vᵢ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субъект, объект, институт, событие или точка принятия решения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Гиперсвязь</w:t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eⱼ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отношение, объединяющее несколько узлов одновременно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Поток</w:t>
            </w:r>
          </w:p>
        </w:tc>
        <w:tc>
          <w:tcPr>
            <w:tcW w:type="dxa" w:w="115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φ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перенос вещества, энергии, данных, денег, прав или доверия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Цикл</w:t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C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замкнутая последовательность состояний и обратных связей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Ценность</w:t>
            </w:r>
          </w:p>
        </w:tc>
        <w:tc>
          <w:tcPr>
            <w:tcW w:type="dxa" w:w="115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w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нормативный вес результата для человека, общества и биосферы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Доказательство</w:t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π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проверяемая цепочка происхождения данных и вывода</w:t>
            </w:r>
          </w:p>
        </w:tc>
      </w:tr>
    </w:tbl>
    <w:p>
      <w:pPr>
        <w:spacing w:after="20"/>
      </w:pPr>
    </w:p>
    <w:p>
      <w:pPr>
        <w:pStyle w:val="Heading2"/>
      </w:pPr>
      <w:r>
        <w:t>1.2. Пять ограничений научности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12B"/>
          <w:sz w:val="20"/>
        </w:rPr>
        <w:t>Определения должны допускать формализацию и тестирование.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12B"/>
          <w:sz w:val="20"/>
        </w:rPr>
        <w:t>Гипотезы маркируются и не смешиваются с установленными фактами.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12B"/>
          <w:sz w:val="20"/>
        </w:rPr>
        <w:t>Любой интегральный индекс раскрывается до исходных показателей и весов.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12B"/>
          <w:sz w:val="20"/>
        </w:rPr>
        <w:t>Модель считается полезной только при сравнении с базовыми методами.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12B"/>
          <w:sz w:val="20"/>
        </w:rPr>
        <w:t>Решения сохраняют человеческую ответственность и право на оспаривание.</w:t>
      </w:r>
    </w:p>
    <w:p>
      <w:r>
        <w:br w:type="page"/>
      </w:r>
    </w:p>
    <w:p>
      <w:pPr>
        <w:pStyle w:val="Heading1"/>
      </w:pPr>
      <w:r>
        <w:t>2. Аксиоматическое ядро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Предлагаемые положения являются проектными аксиомами языка ЭКВИЛИБРИУМ; их ценность определяется не философской завершённостью, а тем, насколько они позволяют строить проверяемые модели.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64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№</w:t>
            </w:r>
          </w:p>
        </w:tc>
        <w:tc>
          <w:tcPr>
            <w:tcW w:type="dxa" w:w="316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Аксиома</w:t>
            </w:r>
          </w:p>
        </w:tc>
        <w:tc>
          <w:tcPr>
            <w:tcW w:type="dxa" w:w="576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Операционный смысл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A1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Границы предшествуют измерению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до расчёта фиксируются объект, среда и масштаб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A2</w:t>
            </w:r>
          </w:p>
        </w:tc>
        <w:tc>
          <w:tcPr>
            <w:tcW w:type="dxa" w:w="316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Наблюдение имеет источник и неопределённость</w:t>
            </w:r>
          </w:p>
        </w:tc>
        <w:tc>
          <w:tcPr>
            <w:tcW w:type="dxa" w:w="576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каждое значение сопровождается происхождением и доверительным интервалом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A3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Связность важнее суммы элементов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эффект возникает из конфигурации отношений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A4</w:t>
            </w:r>
          </w:p>
        </w:tc>
        <w:tc>
          <w:tcPr>
            <w:tcW w:type="dxa" w:w="316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Устойчивость является диапазоном</w:t>
            </w:r>
          </w:p>
        </w:tc>
        <w:tc>
          <w:tcPr>
            <w:tcW w:type="dxa" w:w="576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оптимум задаётся коридором, а не одной точкой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A5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Изменение реализуется потоком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переход состояния требует ресурса и канала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A6</w:t>
            </w:r>
          </w:p>
        </w:tc>
        <w:tc>
          <w:tcPr>
            <w:tcW w:type="dxa" w:w="316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Развитие циклично и необратимо</w:t>
            </w:r>
          </w:p>
        </w:tc>
        <w:tc>
          <w:tcPr>
            <w:tcW w:type="dxa" w:w="576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циклы повторяются, но контекст и накопленный опыт меняются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A7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Ценность многосубъектна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один эффект оценивается разными группами по-разному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A8</w:t>
            </w:r>
          </w:p>
        </w:tc>
        <w:tc>
          <w:tcPr>
            <w:tcW w:type="dxa" w:w="316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Решение требует обратной связи</w:t>
            </w:r>
          </w:p>
        </w:tc>
        <w:tc>
          <w:tcPr>
            <w:tcW w:type="dxa" w:w="576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исполнение без измерения результата не завершает цикл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A9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Масштабирование требует инварианта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переносится принцип, а не механическая копия формы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A10</w:t>
            </w:r>
          </w:p>
        </w:tc>
        <w:tc>
          <w:tcPr>
            <w:tcW w:type="dxa" w:w="316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Доверие вычислимо лишь частично</w:t>
            </w:r>
          </w:p>
        </w:tc>
        <w:tc>
          <w:tcPr>
            <w:tcW w:type="dxa" w:w="576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индексы поддерживают, но не отменяют институциональное суждение</w:t>
            </w:r>
          </w:p>
        </w:tc>
      </w:tr>
    </w:tbl>
    <w:p>
      <w:pPr>
        <w:spacing w:after="20"/>
      </w:pPr>
    </w:p>
    <w:p>
      <w:pPr>
        <w:pStyle w:val="Heading2"/>
      </w:pPr>
      <w:r>
        <w:t>2.1. Состояние и переход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x(t+1) = T(x(t), u(t), ξ(t), θ)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где x — состояние; u — управленческое воздействие; ξ — возмущение среды; θ — параметры модели; T — оператор перехода. Центральная задача ЭКВИЛИБРИУМ — оценивать допустимые u, при которых состояние остаётся в жизнеспособном множестве K.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Условие жизнеспособности:  x(t) ∈ K  для всех t на выбранном горизонте.</w:t>
      </w:r>
    </w:p>
    <w:p>
      <w:r>
        <w:br w:type="page"/>
      </w:r>
    </w:p>
    <w:p>
      <w:pPr>
        <w:pStyle w:val="Heading1"/>
      </w:pPr>
      <w:r>
        <w:t>3. Матрица 13×20: координатная система ЭКВИЛИБРИУМ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Матрица 13×20 создаёт 260 адресуемых ячеек. Тринадцать строк описывают поля целостности, двадцать столбцов — этапы преобразования сигнала в общественно значимый результат. Ячейка Mᵢⱼ не является лозунгом: она должна содержать объект, показатель, источник, правило, владельца, риск и доказательство.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2376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13 полей</w:t>
            </w:r>
          </w:p>
        </w:tc>
        <w:tc>
          <w:tcPr>
            <w:tcW w:type="dxa" w:w="698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Ключевой вопрос</w:t>
            </w:r>
          </w:p>
        </w:tc>
      </w:tr>
      <w:tr>
        <w:tc>
          <w:tcPr>
            <w:tcW w:type="dxa" w:w="237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1. Человек</w:t>
            </w:r>
          </w:p>
        </w:tc>
        <w:tc>
          <w:tcPr>
            <w:tcW w:type="dxa" w:w="69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 меняются безопасность, здоровье, знания и возможности человека?</w:t>
            </w:r>
          </w:p>
        </w:tc>
      </w:tr>
      <w:tr>
        <w:tc>
          <w:tcPr>
            <w:tcW w:type="dxa" w:w="237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2. Сообщество</w:t>
            </w:r>
          </w:p>
        </w:tc>
        <w:tc>
          <w:tcPr>
            <w:tcW w:type="dxa" w:w="698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 распределяются участие, доверие и взаимопомощь?</w:t>
            </w:r>
          </w:p>
        </w:tc>
      </w:tr>
      <w:tr>
        <w:tc>
          <w:tcPr>
            <w:tcW w:type="dxa" w:w="237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3. Культура</w:t>
            </w:r>
          </w:p>
        </w:tc>
        <w:tc>
          <w:tcPr>
            <w:tcW w:type="dxa" w:w="69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какие смыслы и нормы воспроизводятся?</w:t>
            </w:r>
          </w:p>
        </w:tc>
      </w:tr>
      <w:tr>
        <w:tc>
          <w:tcPr>
            <w:tcW w:type="dxa" w:w="237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4. Знание</w:t>
            </w:r>
          </w:p>
        </w:tc>
        <w:tc>
          <w:tcPr>
            <w:tcW w:type="dxa" w:w="698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что известно, с какой уверенностью и кому доступно?</w:t>
            </w:r>
          </w:p>
        </w:tc>
      </w:tr>
      <w:tr>
        <w:tc>
          <w:tcPr>
            <w:tcW w:type="dxa" w:w="237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5. Природа</w:t>
            </w:r>
          </w:p>
        </w:tc>
        <w:tc>
          <w:tcPr>
            <w:tcW w:type="dxa" w:w="69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 меняется жизнеспособность экосистем?</w:t>
            </w:r>
          </w:p>
        </w:tc>
      </w:tr>
      <w:tr>
        <w:tc>
          <w:tcPr>
            <w:tcW w:type="dxa" w:w="237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6. Территория</w:t>
            </w:r>
          </w:p>
        </w:tc>
        <w:tc>
          <w:tcPr>
            <w:tcW w:type="dxa" w:w="698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какова пространственная связность и устойчивость?</w:t>
            </w:r>
          </w:p>
        </w:tc>
      </w:tr>
      <w:tr>
        <w:tc>
          <w:tcPr>
            <w:tcW w:type="dxa" w:w="237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7. Технологии</w:t>
            </w:r>
          </w:p>
        </w:tc>
        <w:tc>
          <w:tcPr>
            <w:tcW w:type="dxa" w:w="69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какие преобразования возможны и безопасны?</w:t>
            </w:r>
          </w:p>
        </w:tc>
      </w:tr>
      <w:tr>
        <w:tc>
          <w:tcPr>
            <w:tcW w:type="dxa" w:w="237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8. Производство</w:t>
            </w:r>
          </w:p>
        </w:tc>
        <w:tc>
          <w:tcPr>
            <w:tcW w:type="dxa" w:w="698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 создаётся материальный результат?</w:t>
            </w:r>
          </w:p>
        </w:tc>
      </w:tr>
      <w:tr>
        <w:tc>
          <w:tcPr>
            <w:tcW w:type="dxa" w:w="237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9. Ресурсы</w:t>
            </w:r>
          </w:p>
        </w:tc>
        <w:tc>
          <w:tcPr>
            <w:tcW w:type="dxa" w:w="69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что доступно, ограничено и воспроизводимо?</w:t>
            </w:r>
          </w:p>
        </w:tc>
      </w:tr>
      <w:tr>
        <w:tc>
          <w:tcPr>
            <w:tcW w:type="dxa" w:w="237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10. Финансы</w:t>
            </w:r>
          </w:p>
        </w:tc>
        <w:tc>
          <w:tcPr>
            <w:tcW w:type="dxa" w:w="698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 формируются и направляются потоки стоимости?</w:t>
            </w:r>
          </w:p>
        </w:tc>
      </w:tr>
      <w:tr>
        <w:tc>
          <w:tcPr>
            <w:tcW w:type="dxa" w:w="237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11. Право</w:t>
            </w:r>
          </w:p>
        </w:tc>
        <w:tc>
          <w:tcPr>
            <w:tcW w:type="dxa" w:w="69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какие полномочия, обязанности и ограничения действуют?</w:t>
            </w:r>
          </w:p>
        </w:tc>
      </w:tr>
      <w:tr>
        <w:tc>
          <w:tcPr>
            <w:tcW w:type="dxa" w:w="237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12. Управление</w:t>
            </w:r>
          </w:p>
        </w:tc>
        <w:tc>
          <w:tcPr>
            <w:tcW w:type="dxa" w:w="698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кто принимает решение и отвечает за результат?</w:t>
            </w:r>
          </w:p>
        </w:tc>
      </w:tr>
      <w:tr>
        <w:tc>
          <w:tcPr>
            <w:tcW w:type="dxa" w:w="237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13. Будущее</w:t>
            </w:r>
          </w:p>
        </w:tc>
        <w:tc>
          <w:tcPr>
            <w:tcW w:type="dxa" w:w="69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какие сценарии и обязательства перед поколениями учитываются?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3.1. Двадцать операционных ячеек цикла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64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№</w:t>
            </w:r>
          </w:p>
        </w:tc>
        <w:tc>
          <w:tcPr>
            <w:tcW w:type="dxa" w:w="2232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Функция</w:t>
            </w:r>
          </w:p>
        </w:tc>
        <w:tc>
          <w:tcPr>
            <w:tcW w:type="dxa" w:w="640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Контрольный результат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01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Импульс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зафиксирован сигнал или потребность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02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Наблюдение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получены первичные данные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03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Идентификация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определён объект и границы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04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Классификация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назначены реестры и коды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05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Верификация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подтверждены источник и качество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06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Диагностика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определены причины и связи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07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Оценка риска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рассчитаны вероятность и ущерб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08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Сценарии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сформированы альтернативы будущего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09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Целеполагание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задан измеримый целевой коридор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10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Проектирование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выбрана архитектура решения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11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Согласование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разрешены конфликты интересов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12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Ресурсирование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закреплены ресурсы и права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13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Решение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утверждён мандат действия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14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Исполнение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выполнены мероприятия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15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Мониторинг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измерена динамика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16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Контроль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проверено соответствие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17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Оценка эффекта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вычислен результат и побочные эффекты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18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Коррекция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изменены параметры и действия</w:t>
            </w:r>
          </w:p>
        </w:tc>
      </w:tr>
      <w:tr>
        <w:tc>
          <w:tcPr>
            <w:tcW w:type="dxa" w:w="6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19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Масштабирование</w:t>
            </w:r>
          </w:p>
        </w:tc>
        <w:tc>
          <w:tcPr>
            <w:tcW w:type="dxa" w:w="64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подтверждена переносимость</w:t>
            </w:r>
          </w:p>
        </w:tc>
      </w:tr>
      <w:tr>
        <w:tc>
          <w:tcPr>
            <w:tcW w:type="dxa" w:w="64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20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Наследование</w:t>
            </w:r>
          </w:p>
        </w:tc>
        <w:tc>
          <w:tcPr>
            <w:tcW w:type="dxa" w:w="640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знание сохранено и передано в новый цикл</w:t>
            </w:r>
          </w:p>
        </w:tc>
      </w:tr>
    </w:tbl>
    <w:p>
      <w:pPr>
        <w:spacing w:after="20"/>
      </w:pP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Адрес ячейки: Mᵢⱼ = ⟨объект, показатель, единица, источник, время, территория, субъект, метод, уверенность, статус⟩.</w:t>
      </w:r>
    </w:p>
    <w:p>
      <w:r>
        <w:br w:type="page"/>
      </w:r>
    </w:p>
    <w:p>
      <w:pPr>
        <w:pStyle w:val="Heading1"/>
      </w:pPr>
      <w:r>
        <w:t>4. Модуль 741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Число 741 трактуется как инженерная развёртка 3×13×19: три контура, тринадцать полей и девятнадцать исполняющих участков или функциональных модулей. Такая факторизация задаёт проверяемую архитектурную гипотезу и не претендует на универсальный математический закон.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72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Контур</w:t>
            </w:r>
          </w:p>
        </w:tc>
        <w:tc>
          <w:tcPr>
            <w:tcW w:type="dxa" w:w="432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Назначение</w:t>
            </w:r>
          </w:p>
        </w:tc>
        <w:tc>
          <w:tcPr>
            <w:tcW w:type="dxa" w:w="302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Базовая система</w:t>
            </w: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I. Познание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наблюдение, интеграция данных, модели и прогнозы</w:t>
            </w:r>
          </w:p>
        </w:tc>
        <w:tc>
          <w:tcPr>
            <w:tcW w:type="dxa" w:w="30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ЭКВИЛИБРИУМ</w:t>
            </w:r>
          </w:p>
        </w:tc>
      </w:tr>
      <w:tr>
        <w:tc>
          <w:tcPr>
            <w:tcW w:type="dxa" w:w="17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II. Согласование</w:t>
            </w:r>
          </w:p>
        </w:tc>
        <w:tc>
          <w:tcPr>
            <w:tcW w:type="dxa" w:w="432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инициативы, общественный диалог, проекты и ресурсы</w:t>
            </w:r>
          </w:p>
        </w:tc>
        <w:tc>
          <w:tcPr>
            <w:tcW w:type="dxa" w:w="30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СФЕРА / ECO-PPA</w:t>
            </w: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III. Исполнение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кооперация, производство, пилоты и масштабирование</w:t>
            </w:r>
          </w:p>
        </w:tc>
        <w:tc>
          <w:tcPr>
            <w:tcW w:type="dxa" w:w="30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СПЕЦЗАЩИТА</w:t>
            </w:r>
          </w:p>
        </w:tc>
      </w:tr>
    </w:tbl>
    <w:p>
      <w:pPr>
        <w:spacing w:after="20"/>
      </w:pP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741 = |Q| × |F| × |P| = 3 × 13 × 19</w:t>
      </w:r>
    </w:p>
    <w:p>
      <w:pPr>
        <w:pStyle w:val="Heading2"/>
      </w:pPr>
      <w:r>
        <w:t>4.1. Отличие матрицы 260 от модуля 741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260 — нормативно-операционная карта: 13 полей × 20 стадий полного цикла.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741 — организационно-функциональная развёртка: 3 контура × 13 полей × 19 исполняющих модулей.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Двадцатая стадия — наследование — находится над исполнением: она закрывает цикл, обновляет правила и запускает следующий виток.</w:t>
      </w:r>
    </w:p>
    <w:p>
      <w:pPr>
        <w:pStyle w:val="LeadCallout"/>
      </w:pPr>
      <w:r>
        <w:rPr>
          <w:rFonts w:ascii="Arial" w:hAnsi="Arial" w:eastAsia="Arial"/>
          <w:b w:val="0"/>
          <w:i w:val="0"/>
          <w:color w:val="12243A"/>
          <w:sz w:val="21"/>
        </w:rPr>
        <w:t>Это различие устраняет арифметическое смешение двух моделей: 260 описывает полноту процесса, 741 — структуру распределённой реализации.</w:t>
      </w:r>
    </w:p>
    <w:p>
      <w:r>
        <w:br w:type="page"/>
      </w:r>
    </w:p>
    <w:p>
      <w:pPr>
        <w:pStyle w:val="Heading1"/>
      </w:pPr>
      <w:r>
        <w:t>5. Математический аппарат</w:t>
      </w:r>
    </w:p>
    <w:p>
      <w:pPr>
        <w:pStyle w:val="Heading2"/>
      </w:pPr>
      <w:r>
        <w:t>5.1. Гиперграф системы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H = (V, E, A),  где V — узлы, E — гиперсвязи, A — атрибуты и доказательства.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Гиперсвязь может одновременно соединять территорию, ведомство, проект, ресурс, нормативный акт, показатель и группу населения. Это адекватнее обычного графа для государственно-общественных программ, где одно решение всегда многосубъектно.</w:t>
      </w:r>
    </w:p>
    <w:p>
      <w:pPr>
        <w:pStyle w:val="Heading2"/>
      </w:pPr>
      <w:r>
        <w:t>5.2. Вектор баланса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B(x) = [b₁(x), …, b₁₃(x)],   bₖ ∈ [0,1]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Каждая компонента нормируется по открытому правилу. Итоговый индекс допустим только вместе с профилем B: одно число не должно скрывать провал отдельного поля.</w:t>
      </w:r>
    </w:p>
    <w:p>
      <w:pPr>
        <w:pStyle w:val="Heading2"/>
      </w:pPr>
      <w:r>
        <w:t>5.3. Функция согласованного развития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J = Σₖ wₖ·Uₖ(x) − λR(x) − μI(x) − νC(x)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Uₖ — полезность по полю; R — совокупный риск; I — неравенство распределения эффектов; C — необратимые издержки; wₖ, λ, μ, ν — публично зафиксированные веса. Оптимизация проводится при правовых, ресурсных, экологических и этических ограничениях.</w:t>
      </w:r>
    </w:p>
    <w:p>
      <w:pPr>
        <w:pStyle w:val="Heading2"/>
      </w:pPr>
      <w:r>
        <w:t>5.4. Поток и сохранение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ΔS = In − Out + Generation − Dissipation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Балансовое тождество применяется к веществу, энергии, финансам и данным с разными единицами и правилами. Перевод между доменами возможен только через явно заданные коэффициенты, а не через метафору.</w:t>
      </w:r>
    </w:p>
    <w:p>
      <w:pPr>
        <w:pStyle w:val="Heading2"/>
      </w:pPr>
      <w:r>
        <w:t>5.5. Уверенность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Conf(π) = qₛ · qₘ · qₜ · qᵣ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qₛ — качество источника; qₘ — валидность метода; qₜ — актуальность; qᵣ — воспроизводимость. Произведение подчёркивает: критический провал одного звена снижает доверие ко всему выводу.</w:t>
      </w:r>
    </w:p>
    <w:p>
      <w:r>
        <w:br w:type="page"/>
      </w:r>
    </w:p>
    <w:p>
      <w:pPr>
        <w:pStyle w:val="Heading1"/>
      </w:pPr>
      <w:r>
        <w:t>6. Архитектура ЭКВИЛИБРИУМ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72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Уровень</w:t>
            </w:r>
          </w:p>
        </w:tc>
        <w:tc>
          <w:tcPr>
            <w:tcW w:type="dxa" w:w="360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Функции</w:t>
            </w:r>
          </w:p>
        </w:tc>
        <w:tc>
          <w:tcPr>
            <w:tcW w:type="dxa" w:w="388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Основные артефакты</w:t>
            </w: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1. Наблюдение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датчики, реестры, документы, сообщения, экспертиза</w:t>
            </w:r>
          </w:p>
        </w:tc>
        <w:tc>
          <w:tcPr>
            <w:tcW w:type="dxa" w:w="38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события, измерения, источники</w:t>
            </w:r>
          </w:p>
        </w:tc>
      </w:tr>
      <w:tr>
        <w:tc>
          <w:tcPr>
            <w:tcW w:type="dxa" w:w="17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2. Семантика</w:t>
            </w:r>
          </w:p>
        </w:tc>
        <w:tc>
          <w:tcPr>
            <w:tcW w:type="dxa" w:w="36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онтологии, классификаторы, идентификаторы</w:t>
            </w:r>
          </w:p>
        </w:tc>
        <w:tc>
          <w:tcPr>
            <w:tcW w:type="dxa" w:w="388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единый словарь, 260 ячеек</w:t>
            </w: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3. Доказательность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происхождение, качество, версии, подписи</w:t>
            </w:r>
          </w:p>
        </w:tc>
        <w:tc>
          <w:tcPr>
            <w:tcW w:type="dxa" w:w="38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граф доказательств π</w:t>
            </w:r>
          </w:p>
        </w:tc>
      </w:tr>
      <w:tr>
        <w:tc>
          <w:tcPr>
            <w:tcW w:type="dxa" w:w="17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4. Моделирование</w:t>
            </w:r>
          </w:p>
        </w:tc>
        <w:tc>
          <w:tcPr>
            <w:tcW w:type="dxa" w:w="36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гиперграф, цифровые двойники, циклы, потоки</w:t>
            </w:r>
          </w:p>
        </w:tc>
        <w:tc>
          <w:tcPr>
            <w:tcW w:type="dxa" w:w="388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модели Σ и сценарии</w:t>
            </w: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5. Аналитика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диагностика, риски, прогнозы, оптимизация</w:t>
            </w:r>
          </w:p>
        </w:tc>
        <w:tc>
          <w:tcPr>
            <w:tcW w:type="dxa" w:w="38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карты риска и варианты решения</w:t>
            </w:r>
          </w:p>
        </w:tc>
      </w:tr>
      <w:tr>
        <w:tc>
          <w:tcPr>
            <w:tcW w:type="dxa" w:w="17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6. Управление</w:t>
            </w:r>
          </w:p>
        </w:tc>
        <w:tc>
          <w:tcPr>
            <w:tcW w:type="dxa" w:w="36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мандаты, согласование, права, журнал решений</w:t>
            </w:r>
          </w:p>
        </w:tc>
        <w:tc>
          <w:tcPr>
            <w:tcW w:type="dxa" w:w="388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протоколы и контрольные точки</w:t>
            </w: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7. Исполнение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портфели проектов, договоры, кооперация</w:t>
            </w:r>
          </w:p>
        </w:tc>
        <w:tc>
          <w:tcPr>
            <w:tcW w:type="dxa" w:w="38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мероприятия, поставки, эффекты</w:t>
            </w:r>
          </w:p>
        </w:tc>
      </w:tr>
      <w:tr>
        <w:tc>
          <w:tcPr>
            <w:tcW w:type="dxa" w:w="17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8. Обратная связь</w:t>
            </w:r>
          </w:p>
        </w:tc>
        <w:tc>
          <w:tcPr>
            <w:tcW w:type="dxa" w:w="36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мониторинг, аудит, оценка воздействия</w:t>
            </w:r>
          </w:p>
        </w:tc>
        <w:tc>
          <w:tcPr>
            <w:tcW w:type="dxa" w:w="388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коррекции и новые циклы</w:t>
            </w:r>
          </w:p>
        </w:tc>
      </w:tr>
    </w:tbl>
    <w:p>
      <w:pPr>
        <w:spacing w:after="20"/>
      </w:pPr>
    </w:p>
    <w:p>
      <w:pPr>
        <w:pStyle w:val="Heading2"/>
      </w:pPr>
      <w:r>
        <w:t>6.1. Сквозной цикл решения</w:t>
      </w:r>
    </w:p>
    <w:p>
      <w:pPr>
        <w:pStyle w:val="LeadCallout"/>
      </w:pPr>
      <w:r>
        <w:rPr>
          <w:rFonts w:ascii="Arial" w:hAnsi="Arial" w:eastAsia="Arial"/>
          <w:b w:val="0"/>
          <w:i w:val="0"/>
          <w:color w:val="12243A"/>
          <w:sz w:val="21"/>
        </w:rPr>
        <w:t>Сигнал → данные → доказательство → модель → сценарии → согласование → решение → исполнение → эффект → коррекция.</w:t>
      </w:r>
    </w:p>
    <w:p>
      <w:pPr>
        <w:pStyle w:val="Heading2"/>
      </w:pPr>
      <w:r>
        <w:t>6.2. Разделение полномочий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машина вычисляет и объясняет;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эксперт проверяет методы и допущения;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уполномоченный субъект принимает решение;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общество получает понятное основание и канал оспаривания;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аудитор независимо проверяет данные, процесс и эффект.</w:t>
      </w:r>
    </w:p>
    <w:p>
      <w:r>
        <w:br w:type="page"/>
      </w:r>
    </w:p>
    <w:p>
      <w:pPr>
        <w:pStyle w:val="Heading1"/>
      </w:pPr>
      <w:r>
        <w:t>7. Реестры и протоколы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Ядро данных строится не вокруг файлов, а вокруг устойчивых идентификаторов и версионируемых записей. Документ выступает представлением реестрового состояния, но не единственным носителем истины.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80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Реестр</w:t>
            </w:r>
          </w:p>
        </w:tc>
        <w:tc>
          <w:tcPr>
            <w:tcW w:type="dxa" w:w="482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Что хранит</w:t>
            </w:r>
          </w:p>
        </w:tc>
        <w:tc>
          <w:tcPr>
            <w:tcW w:type="dxa" w:w="2232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Ключевой идентификатор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Субъекты</w:t>
            </w:r>
          </w:p>
        </w:tc>
        <w:tc>
          <w:tcPr>
            <w:tcW w:type="dxa" w:w="48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люди, организации, органы, сообщества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ActorID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Территории</w:t>
            </w:r>
          </w:p>
        </w:tc>
        <w:tc>
          <w:tcPr>
            <w:tcW w:type="dxa" w:w="48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границы и пространственные слои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TerritoryID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Объекты</w:t>
            </w:r>
          </w:p>
        </w:tc>
        <w:tc>
          <w:tcPr>
            <w:tcW w:type="dxa" w:w="48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природные, инфраструктурные и культурные активы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ObjectID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Показатели</w:t>
            </w:r>
          </w:p>
        </w:tc>
        <w:tc>
          <w:tcPr>
            <w:tcW w:type="dxa" w:w="48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определение, единицу, формулу, периодичность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IndicatorID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Источники</w:t>
            </w:r>
          </w:p>
        </w:tc>
        <w:tc>
          <w:tcPr>
            <w:tcW w:type="dxa" w:w="48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происхождение и лицензию данных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SourceID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Риски</w:t>
            </w:r>
          </w:p>
        </w:tc>
        <w:tc>
          <w:tcPr>
            <w:tcW w:type="dxa" w:w="48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угрозу, вероятность, ущерб и меры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RiskID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Инициативы</w:t>
            </w:r>
          </w:p>
        </w:tc>
        <w:tc>
          <w:tcPr>
            <w:tcW w:type="dxa" w:w="48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цели, команды, ресурсы и статус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InitiativeID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Решения</w:t>
            </w:r>
          </w:p>
        </w:tc>
        <w:tc>
          <w:tcPr>
            <w:tcW w:type="dxa" w:w="48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мандат, основания, голоса и версии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DecisionID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Эффекты</w:t>
            </w:r>
          </w:p>
        </w:tc>
        <w:tc>
          <w:tcPr>
            <w:tcW w:type="dxa" w:w="48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результат, распределение и доказательства</w:t>
            </w:r>
          </w:p>
        </w:tc>
        <w:tc>
          <w:tcPr>
            <w:tcW w:type="dxa" w:w="22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ImpactID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Знания</w:t>
            </w:r>
          </w:p>
        </w:tc>
        <w:tc>
          <w:tcPr>
            <w:tcW w:type="dxa" w:w="48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модели, гипотезы, отчёты и уроки</w:t>
            </w:r>
          </w:p>
        </w:tc>
        <w:tc>
          <w:tcPr>
            <w:tcW w:type="dxa" w:w="2232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KnowledgeID</w:t>
            </w:r>
          </w:p>
        </w:tc>
      </w:tr>
    </w:tbl>
    <w:p>
      <w:pPr>
        <w:spacing w:after="20"/>
      </w:pPr>
    </w:p>
    <w:p>
      <w:pPr>
        <w:pStyle w:val="Heading2"/>
      </w:pPr>
      <w:r>
        <w:t>7.1. Минимальная запись решения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D = ⟨id, вопрос, варианты, данные, модель, ограничения, интересы, решение, ответственный, срок, показатели, основания, версия, аудит⟩</w:t>
      </w:r>
    </w:p>
    <w:p>
      <w:r>
        <w:br w:type="page"/>
      </w:r>
    </w:p>
    <w:p>
      <w:pPr>
        <w:pStyle w:val="Heading1"/>
      </w:pPr>
      <w:r>
        <w:t>8. Контуры экосистемы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tblHeader w:val="true"/>
        </w:trPr>
        <w:tc>
          <w:tcPr>
            <w:tcW w:type="dxa" w:w="1656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Компонент</w:t>
            </w:r>
          </w:p>
        </w:tc>
        <w:tc>
          <w:tcPr>
            <w:tcW w:type="dxa" w:w="338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Роль</w:t>
            </w:r>
          </w:p>
        </w:tc>
        <w:tc>
          <w:tcPr>
            <w:tcW w:type="dxa" w:w="194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Вход</w:t>
            </w:r>
          </w:p>
        </w:tc>
        <w:tc>
          <w:tcPr>
            <w:tcW w:type="dxa" w:w="252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Выход</w:t>
            </w:r>
          </w:p>
        </w:tc>
      </w:tr>
      <w:t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ЭКВИЛИБРИУМ</w:t>
            </w:r>
          </w:p>
        </w:tc>
        <w:tc>
          <w:tcPr>
            <w:tcW w:type="dxa" w:w="33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нейросвод, мониторинг, прогноз и контроль</w:t>
            </w:r>
          </w:p>
        </w:tc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данные, знания, сигналы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модели, риски, сценарии</w:t>
            </w:r>
          </w:p>
        </w:tc>
      </w:tr>
      <w:tr>
        <w:tc>
          <w:tcPr>
            <w:tcW w:type="dxa" w:w="165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СФЕРА</w:t>
            </w:r>
          </w:p>
        </w:tc>
        <w:tc>
          <w:tcPr>
            <w:tcW w:type="dxa" w:w="338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пространство инициатив и общественного участия</w:t>
            </w:r>
          </w:p>
        </w:tc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потребности, идеи, компетенции</w:t>
            </w:r>
          </w:p>
        </w:tc>
        <w:tc>
          <w:tcPr>
            <w:tcW w:type="dxa" w:w="252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коалиции и проектные предложения</w:t>
            </w:r>
          </w:p>
        </w:tc>
      </w:tr>
      <w:t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ECO-PPA</w:t>
            </w:r>
          </w:p>
        </w:tc>
        <w:tc>
          <w:tcPr>
            <w:tcW w:type="dxa" w:w="33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механизм предупреждения угроз и мобилизации ресурсов</w:t>
            </w:r>
          </w:p>
        </w:tc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риски и портфели решений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соглашения, финансирование, KPI</w:t>
            </w:r>
          </w:p>
        </w:tc>
      </w:tr>
      <w:tr>
        <w:tc>
          <w:tcPr>
            <w:tcW w:type="dxa" w:w="165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СПЕЦЗАЩИТА</w:t>
            </w:r>
          </w:p>
        </w:tc>
        <w:tc>
          <w:tcPr>
            <w:tcW w:type="dxa" w:w="338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кооперационный контур исполнения</w:t>
            </w:r>
          </w:p>
        </w:tc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мандаты, ресурсы, технологии</w:t>
            </w:r>
          </w:p>
        </w:tc>
        <w:tc>
          <w:tcPr>
            <w:tcW w:type="dxa" w:w="252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пилоты, продукция, измеримый эффект</w:t>
            </w:r>
          </w:p>
        </w:tc>
      </w:tr>
      <w:t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ИАЦ</w:t>
            </w:r>
          </w:p>
        </w:tc>
        <w:tc>
          <w:tcPr>
            <w:tcW w:type="dxa" w:w="33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аналитико-управленческий штаб</w:t>
            </w:r>
          </w:p>
        </w:tc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сводная обстановка и варианты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решения, поручения, контроль</w:t>
            </w:r>
          </w:p>
        </w:tc>
      </w:tr>
    </w:tbl>
    <w:p>
      <w:pPr>
        <w:spacing w:after="20"/>
      </w:pPr>
    </w:p>
    <w:p>
      <w:pPr>
        <w:pStyle w:val="Heading2"/>
      </w:pPr>
      <w:r>
        <w:t>8.1. Институциональный принцип</w:t>
      </w:r>
    </w:p>
    <w:p>
      <w:pPr>
        <w:pStyle w:val="LeadCallout"/>
      </w:pPr>
      <w:r>
        <w:rPr>
          <w:rFonts w:ascii="Arial" w:hAnsi="Arial" w:eastAsia="Arial"/>
          <w:b w:val="0"/>
          <w:i w:val="0"/>
          <w:color w:val="12243A"/>
          <w:sz w:val="21"/>
        </w:rPr>
        <w:t>Ни одна организация не должна одновременно владеть данными, устанавливать веса, принимать решение, исполнять его и подтверждать эффект. Разделение функций снижает риск захвата системы и создаёт проверяемость.</w:t>
      </w:r>
    </w:p>
    <w:p>
      <w:r>
        <w:br w:type="page"/>
      </w:r>
    </w:p>
    <w:p>
      <w:pPr>
        <w:pStyle w:val="Heading1"/>
      </w:pPr>
      <w:r>
        <w:t>9. Прикладные сценарии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94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Сценарий</w:t>
            </w:r>
          </w:p>
        </w:tc>
        <w:tc>
          <w:tcPr>
            <w:tcW w:type="dxa" w:w="482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Как работает ядро</w:t>
            </w:r>
          </w:p>
        </w:tc>
        <w:tc>
          <w:tcPr>
            <w:tcW w:type="dxa" w:w="266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Измеримый результат</w:t>
            </w:r>
          </w:p>
        </w:tc>
      </w:tr>
      <w:tr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Биоценозная точка мониторинга</w:t>
            </w:r>
          </w:p>
        </w:tc>
        <w:tc>
          <w:tcPr>
            <w:tcW w:type="dxa" w:w="48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свод атмосферы, воды, почвы, биоты и техногенной нагрузки в гиперграф территории</w:t>
            </w:r>
          </w:p>
        </w:tc>
        <w:tc>
          <w:tcPr>
            <w:tcW w:type="dxa" w:w="266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раннее выявление отклонений и локализация источника</w:t>
            </w:r>
          </w:p>
        </w:tc>
      </w:tr>
      <w:tr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ГАСМП</w:t>
            </w:r>
          </w:p>
        </w:tc>
        <w:tc>
          <w:tcPr>
            <w:tcW w:type="dxa" w:w="48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аэрокосмические сигналы связываются с наземными данными и моделями угроз</w:t>
            </w:r>
          </w:p>
        </w:tc>
        <w:tc>
          <w:tcPr>
            <w:tcW w:type="dxa" w:w="266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сокращение времени предупреждения и реакции</w:t>
            </w:r>
          </w:p>
        </w:tc>
      </w:tr>
      <w:tr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ECO-PPA</w:t>
            </w:r>
          </w:p>
        </w:tc>
        <w:tc>
          <w:tcPr>
            <w:tcW w:type="dxa" w:w="48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риск преобразуется в верифицированный портфель проектов и соглашений</w:t>
            </w:r>
          </w:p>
        </w:tc>
        <w:tc>
          <w:tcPr>
            <w:tcW w:type="dxa" w:w="266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мобилизация ресурсов до наступления ущерба</w:t>
            </w:r>
          </w:p>
        </w:tc>
      </w:tr>
      <w:tr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ESG-IR 1.0</w:t>
            </w:r>
          </w:p>
        </w:tc>
        <w:tc>
          <w:tcPr>
            <w:tcW w:type="dxa" w:w="48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показатели раскрываются до доказательств, методик и распределения эффекта</w:t>
            </w:r>
          </w:p>
        </w:tc>
        <w:tc>
          <w:tcPr>
            <w:tcW w:type="dxa" w:w="266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сопоставимая отчётность и снижение гринвошинга</w:t>
            </w:r>
          </w:p>
        </w:tc>
      </w:tr>
      <w:tr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Архив наследия</w:t>
            </w:r>
          </w:p>
        </w:tc>
        <w:tc>
          <w:tcPr>
            <w:tcW w:type="dxa" w:w="482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объекты, права, состояния, ценности и условия хранения образуют единый реестр</w:t>
            </w:r>
          </w:p>
        </w:tc>
        <w:tc>
          <w:tcPr>
            <w:tcW w:type="dxa" w:w="266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прослеживаемость и сохранность культурных ценностей</w:t>
            </w:r>
          </w:p>
        </w:tc>
      </w:tr>
      <w:tr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Кооперативная биржа труда</w:t>
            </w:r>
          </w:p>
        </w:tc>
        <w:tc>
          <w:tcPr>
            <w:tcW w:type="dxa" w:w="482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компетенции связываются с задачами, обучением и результатами</w:t>
            </w:r>
          </w:p>
        </w:tc>
        <w:tc>
          <w:tcPr>
            <w:tcW w:type="dxa" w:w="266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занятость, квалификация и кооперационный эффект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10. Верификация модели</w:t>
      </w:r>
    </w:p>
    <w:p>
      <w:pPr>
        <w:pStyle w:val="Heading2"/>
      </w:pPr>
      <w:r>
        <w:t>10.1. Уровни зрелости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266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Уровень</w:t>
            </w:r>
          </w:p>
        </w:tc>
        <w:tc>
          <w:tcPr>
            <w:tcW w:type="dxa" w:w="6696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Критерий выхода</w:t>
            </w:r>
          </w:p>
        </w:tc>
      </w:tr>
      <w:tr>
        <w:tc>
          <w:tcPr>
            <w:tcW w:type="dxa" w:w="266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TRL-M 0 — идея</w:t>
            </w:r>
          </w:p>
        </w:tc>
        <w:tc>
          <w:tcPr>
            <w:tcW w:type="dxa" w:w="66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определены термины и область применимости</w:t>
            </w:r>
          </w:p>
        </w:tc>
      </w:tr>
      <w:tr>
        <w:tc>
          <w:tcPr>
            <w:tcW w:type="dxa" w:w="266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TRL-M 1 — формализация</w:t>
            </w:r>
          </w:p>
        </w:tc>
        <w:tc>
          <w:tcPr>
            <w:tcW w:type="dxa" w:w="669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заданы сущности, аксиомы и операторы</w:t>
            </w:r>
          </w:p>
        </w:tc>
      </w:tr>
      <w:tr>
        <w:tc>
          <w:tcPr>
            <w:tcW w:type="dxa" w:w="266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TRL-M 2 — вычислимость</w:t>
            </w:r>
          </w:p>
        </w:tc>
        <w:tc>
          <w:tcPr>
            <w:tcW w:type="dxa" w:w="66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реализованы схемы данных и базовые алгоритмы</w:t>
            </w:r>
          </w:p>
        </w:tc>
      </w:tr>
      <w:tr>
        <w:tc>
          <w:tcPr>
            <w:tcW w:type="dxa" w:w="266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TRL-M 3 — ретротест</w:t>
            </w:r>
          </w:p>
        </w:tc>
        <w:tc>
          <w:tcPr>
            <w:tcW w:type="dxa" w:w="669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модель сравнена с историческими решениями</w:t>
            </w:r>
          </w:p>
        </w:tc>
      </w:tr>
      <w:tr>
        <w:tc>
          <w:tcPr>
            <w:tcW w:type="dxa" w:w="266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TRL-M 4 — пилот</w:t>
            </w:r>
          </w:p>
        </w:tc>
        <w:tc>
          <w:tcPr>
            <w:tcW w:type="dxa" w:w="66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получены результаты на одной территории или отрасли</w:t>
            </w:r>
          </w:p>
        </w:tc>
      </w:tr>
      <w:tr>
        <w:tc>
          <w:tcPr>
            <w:tcW w:type="dxa" w:w="266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TRL-M 5 — независимая проверка</w:t>
            </w:r>
          </w:p>
        </w:tc>
        <w:tc>
          <w:tcPr>
            <w:tcW w:type="dxa" w:w="669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методы и данные воспроизведены внешней группой</w:t>
            </w:r>
          </w:p>
        </w:tc>
      </w:tr>
      <w:tr>
        <w:tc>
          <w:tcPr>
            <w:tcW w:type="dxa" w:w="266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TRL-M 6 — масштабирование</w:t>
            </w:r>
          </w:p>
        </w:tc>
        <w:tc>
          <w:tcPr>
            <w:tcW w:type="dxa" w:w="66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подтверждена переносимость и управляемость рисков</w:t>
            </w:r>
          </w:p>
        </w:tc>
      </w:tr>
    </w:tbl>
    <w:p>
      <w:pPr>
        <w:spacing w:after="20"/>
      </w:pPr>
    </w:p>
    <w:p>
      <w:pPr>
        <w:pStyle w:val="Heading2"/>
      </w:pPr>
      <w:r>
        <w:t>10.2. Критерии качества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точность и калибровка прогнозов;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полнота и прослеживаемость доказательств;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устойчивость к пропускам и манипуляциям данных;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объяснимость рекомендаций для разных групп пользователей;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снижение времени, стоимости и ущерба по сравнению с базовым процессом;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отсутствие дискриминационного или экологически необратимого эффекта.</w:t>
      </w:r>
    </w:p>
    <w:p>
      <w:r>
        <w:br w:type="page"/>
      </w:r>
    </w:p>
    <w:p>
      <w:pPr>
        <w:pStyle w:val="Heading1"/>
      </w:pPr>
      <w:r>
        <w:t>11. Риски и предохранители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80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Риск</w:t>
            </w:r>
          </w:p>
        </w:tc>
        <w:tc>
          <w:tcPr>
            <w:tcW w:type="dxa" w:w="352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Проявление</w:t>
            </w:r>
          </w:p>
        </w:tc>
        <w:tc>
          <w:tcPr>
            <w:tcW w:type="dxa" w:w="410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Предохранитель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Псевдонаучность</w:t>
            </w:r>
          </w:p>
        </w:tc>
        <w:tc>
          <w:tcPr>
            <w:tcW w:type="dxa" w:w="35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символические числа выдаются за доказанный закон</w:t>
            </w:r>
          </w:p>
        </w:tc>
        <w:tc>
          <w:tcPr>
            <w:tcW w:type="dxa" w:w="41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явное разделение гипотез, метафор и проверяемых моделей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Сверхагрегация</w:t>
            </w:r>
          </w:p>
        </w:tc>
        <w:tc>
          <w:tcPr>
            <w:tcW w:type="dxa" w:w="35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единый индекс скрывает критические провалы</w:t>
            </w:r>
          </w:p>
        </w:tc>
        <w:tc>
          <w:tcPr>
            <w:tcW w:type="dxa" w:w="410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публикация полного 13-мерного профиля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Захват управления</w:t>
            </w:r>
          </w:p>
        </w:tc>
        <w:tc>
          <w:tcPr>
            <w:tcW w:type="dxa" w:w="35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один центр контролирует данные и решения</w:t>
            </w:r>
          </w:p>
        </w:tc>
        <w:tc>
          <w:tcPr>
            <w:tcW w:type="dxa" w:w="41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разделение ролей, журналирование, независимый аудит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Алгоритмическое смещение</w:t>
            </w:r>
          </w:p>
        </w:tc>
        <w:tc>
          <w:tcPr>
            <w:tcW w:type="dxa" w:w="35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модель воспроизводит неравенство</w:t>
            </w:r>
          </w:p>
        </w:tc>
        <w:tc>
          <w:tcPr>
            <w:tcW w:type="dxa" w:w="410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оценка по группам, право на объяснение и апелляцию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Некачественные данные</w:t>
            </w:r>
          </w:p>
        </w:tc>
        <w:tc>
          <w:tcPr>
            <w:tcW w:type="dxa" w:w="35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ложная точность и неверные выводы</w:t>
            </w:r>
          </w:p>
        </w:tc>
        <w:tc>
          <w:tcPr>
            <w:tcW w:type="dxa" w:w="41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паспорта источников, интервалы уверенности, отказоустойчивость</w:t>
            </w:r>
          </w:p>
        </w:tc>
      </w:tr>
      <w:tr>
        <w:tc>
          <w:tcPr>
            <w:tcW w:type="dxa" w:w="180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Нарушение приватности</w:t>
            </w:r>
          </w:p>
        </w:tc>
        <w:tc>
          <w:tcPr>
            <w:tcW w:type="dxa" w:w="35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избыточный сбор персональных данных</w:t>
            </w:r>
          </w:p>
        </w:tc>
        <w:tc>
          <w:tcPr>
            <w:tcW w:type="dxa" w:w="410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минимизация, федеративные методы, контроль доступа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Автоматизация власти</w:t>
            </w:r>
          </w:p>
        </w:tc>
        <w:tc>
          <w:tcPr>
            <w:tcW w:type="dxa" w:w="35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рекомендация превращается в необсуждаемое решение</w:t>
            </w:r>
          </w:p>
        </w:tc>
        <w:tc>
          <w:tcPr>
            <w:tcW w:type="dxa" w:w="41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человек в контуре и юридически закреплённая ответственность</w:t>
            </w:r>
          </w:p>
        </w:tc>
      </w:tr>
    </w:tbl>
    <w:p>
      <w:pPr>
        <w:spacing w:after="20"/>
      </w:pPr>
    </w:p>
    <w:p>
      <w:pPr>
        <w:pStyle w:val="LeadCallout"/>
      </w:pPr>
      <w:r>
        <w:rPr>
          <w:rFonts w:ascii="Arial" w:hAnsi="Arial" w:eastAsia="Arial"/>
          <w:b w:val="0"/>
          <w:i w:val="0"/>
          <w:color w:val="12243A"/>
          <w:sz w:val="21"/>
        </w:rPr>
        <w:t>Красная линия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ЭКВИЛИБРИУМ не должен использоваться для скрытой социальной сортировки, тотального наблюдения, автоматического ограничения прав или подмены политической и юридической ответственности математическим индексом.</w:t>
      </w:r>
    </w:p>
    <w:p>
      <w:r>
        <w:br w:type="page"/>
      </w:r>
    </w:p>
    <w:p>
      <w:pPr>
        <w:pStyle w:val="Heading1"/>
      </w:pPr>
      <w:r>
        <w:t>12. Дорожная карта 2026–2029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656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Период</w:t>
            </w:r>
          </w:p>
        </w:tc>
        <w:tc>
          <w:tcPr>
            <w:tcW w:type="dxa" w:w="5328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Результат</w:t>
            </w:r>
          </w:p>
        </w:tc>
        <w:tc>
          <w:tcPr>
            <w:tcW w:type="dxa" w:w="2520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Контрольная точка</w:t>
            </w:r>
          </w:p>
        </w:tc>
      </w:tr>
      <w:t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0–90 дней</w:t>
            </w:r>
          </w:p>
        </w:tc>
        <w:tc>
          <w:tcPr>
            <w:tcW w:type="dxa" w:w="53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глоссарий, онтология v0.1, паспорт 260 ячеек, схема реестров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экспертная непротиворечивость</w:t>
            </w:r>
          </w:p>
        </w:tc>
      </w:tr>
      <w:tr>
        <w:tc>
          <w:tcPr>
            <w:tcW w:type="dxa" w:w="165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3–6 месяцев</w:t>
            </w:r>
          </w:p>
        </w:tc>
        <w:tc>
          <w:tcPr>
            <w:tcW w:type="dxa" w:w="53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графовый прототип, каталог показателей, модуль доказательств</w:t>
            </w:r>
          </w:p>
        </w:tc>
        <w:tc>
          <w:tcPr>
            <w:tcW w:type="dxa" w:w="252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работающий демонстратор</w:t>
            </w:r>
          </w:p>
        </w:tc>
      </w:tr>
      <w:t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6–12 месяцев</w:t>
            </w:r>
          </w:p>
        </w:tc>
        <w:tc>
          <w:tcPr>
            <w:tcW w:type="dxa" w:w="53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пилот биоценозной точки и одного ECO-PPA портфеля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измеренные исходные и целевые значения</w:t>
            </w:r>
          </w:p>
        </w:tc>
      </w:tr>
      <w:tr>
        <w:tc>
          <w:tcPr>
            <w:tcW w:type="dxa" w:w="165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12–18 месяцев</w:t>
            </w:r>
          </w:p>
        </w:tc>
        <w:tc>
          <w:tcPr>
            <w:tcW w:type="dxa" w:w="53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ИАЦ-панель, сценарный модуль, регламент решений и аудита</w:t>
            </w:r>
          </w:p>
        </w:tc>
        <w:tc>
          <w:tcPr>
            <w:tcW w:type="dxa" w:w="252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замкнутый цикл управления</w:t>
            </w:r>
          </w:p>
        </w:tc>
      </w:tr>
      <w:tr>
        <w:tc>
          <w:tcPr>
            <w:tcW w:type="dxa" w:w="16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18–24 месяца</w:t>
            </w:r>
          </w:p>
        </w:tc>
        <w:tc>
          <w:tcPr>
            <w:tcW w:type="dxa" w:w="53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две независимые отраслевые или территориальные репликации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подтверждённая воспроизводимость</w:t>
            </w:r>
          </w:p>
        </w:tc>
      </w:tr>
      <w:tr>
        <w:tc>
          <w:tcPr>
            <w:tcW w:type="dxa" w:w="165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24–36 месяцев</w:t>
            </w:r>
          </w:p>
        </w:tc>
        <w:tc>
          <w:tcPr>
            <w:tcW w:type="dxa" w:w="5328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стандарт данных, API, центр валидации, программа обучения</w:t>
            </w:r>
          </w:p>
        </w:tc>
        <w:tc>
          <w:tcPr>
            <w:tcW w:type="dxa" w:w="2520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готовность к масштабированию</w:t>
            </w:r>
          </w:p>
        </w:tc>
      </w:tr>
    </w:tbl>
    <w:p>
      <w:pPr>
        <w:spacing w:after="20"/>
      </w:pPr>
    </w:p>
    <w:p>
      <w:pPr>
        <w:pStyle w:val="Heading2"/>
      </w:pPr>
      <w:r>
        <w:t>12.1. Первая команда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научный руководитель и совет по методологии;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системный архитектор и архитектор данных;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математик по динамическим системам и оптимизации;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специалист по гиперграфам и онтологиям;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эксперт предметного пилота;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юрист по данным и публичному управлению;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руководитель валидации и независимого аудита;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продуктовая команда интерфейса ИАЦ.</w:t>
      </w:r>
    </w:p>
    <w:p>
      <w:r>
        <w:br w:type="page"/>
      </w:r>
    </w:p>
    <w:p>
      <w:pPr>
        <w:pStyle w:val="Heading1"/>
      </w:pPr>
      <w:r>
        <w:t>13. Паспорт минимального пилота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1944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Параметр</w:t>
            </w:r>
          </w:p>
        </w:tc>
        <w:tc>
          <w:tcPr>
            <w:tcW w:type="dxa" w:w="7416"/>
            <w:shd w:fill="12243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Рекомендуемое значение</w:t>
            </w:r>
          </w:p>
        </w:tc>
      </w:tr>
      <w:tr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Объект</w:t>
            </w:r>
          </w:p>
        </w:tc>
        <w:tc>
          <w:tcPr>
            <w:tcW w:type="dxa" w:w="741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одна территория с наблюдаемой экологической и социально-экономической задачей</w:t>
            </w:r>
          </w:p>
        </w:tc>
      </w:tr>
      <w:tr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Горизонт</w:t>
            </w:r>
          </w:p>
        </w:tc>
        <w:tc>
          <w:tcPr>
            <w:tcW w:type="dxa" w:w="741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12 месяцев, включая базовую линию и два цикла коррекции</w:t>
            </w:r>
          </w:p>
        </w:tc>
      </w:tr>
      <w:tr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Поля</w:t>
            </w:r>
          </w:p>
        </w:tc>
        <w:tc>
          <w:tcPr>
            <w:tcW w:type="dxa" w:w="741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все 13 — с разной глубиной; 4–5 приоритетных</w:t>
            </w:r>
          </w:p>
        </w:tc>
      </w:tr>
      <w:tr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Ячейки</w:t>
            </w:r>
          </w:p>
        </w:tc>
        <w:tc>
          <w:tcPr>
            <w:tcW w:type="dxa" w:w="741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260 адресов, минимум 60 активных на первом этапе</w:t>
            </w:r>
          </w:p>
        </w:tc>
      </w:tr>
      <w:tr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Данные</w:t>
            </w:r>
          </w:p>
        </w:tc>
        <w:tc>
          <w:tcPr>
            <w:tcW w:type="dxa" w:w="741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не менее трёх независимых классов источников</w:t>
            </w:r>
          </w:p>
        </w:tc>
      </w:tr>
      <w:tr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Решение</w:t>
            </w:r>
          </w:p>
        </w:tc>
        <w:tc>
          <w:tcPr>
            <w:tcW w:type="dxa" w:w="741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одно реальное управленческое действие с ответственным и бюджетом</w:t>
            </w:r>
          </w:p>
        </w:tc>
      </w:tr>
      <w:tr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Сравнение</w:t>
            </w:r>
          </w:p>
        </w:tc>
        <w:tc>
          <w:tcPr>
            <w:tcW w:type="dxa" w:w="741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базовый процесс без ЭКВИЛИБРИУМ и процесс с системой</w:t>
            </w:r>
          </w:p>
        </w:tc>
      </w:tr>
      <w:tr>
        <w:tc>
          <w:tcPr>
            <w:tcW w:type="dxa" w:w="1944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Эффект</w:t>
            </w:r>
          </w:p>
        </w:tc>
        <w:tc>
          <w:tcPr>
            <w:tcW w:type="dxa" w:w="7416"/>
            <w:shd w:fill="F5F8FA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время реакции, предотвращённый ущерб, доверие, стоимость, экологический результат</w:t>
            </w:r>
          </w:p>
        </w:tc>
      </w:tr>
      <w:tr>
        <w:tc>
          <w:tcPr>
            <w:tcW w:type="dxa" w:w="19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Аудит</w:t>
            </w:r>
          </w:p>
        </w:tc>
        <w:tc>
          <w:tcPr>
            <w:tcW w:type="dxa" w:w="741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12B"/>
                <w:sz w:val="17"/>
              </w:rPr>
              <w:t>внешняя методическая и общественная проверка</w:t>
            </w:r>
          </w:p>
        </w:tc>
      </w:tr>
    </w:tbl>
    <w:p>
      <w:pPr>
        <w:spacing w:after="20"/>
      </w:pPr>
    </w:p>
    <w:p>
      <w:pPr>
        <w:pStyle w:val="Heading2"/>
      </w:pPr>
      <w:r>
        <w:t>13.1. Критерий успеха</w:t>
      </w:r>
    </w:p>
    <w:p>
      <w:pPr>
        <w:pStyle w:val="LeadCallout"/>
      </w:pPr>
      <w:r>
        <w:rPr>
          <w:rFonts w:ascii="Arial" w:hAnsi="Arial" w:eastAsia="Arial"/>
          <w:b w:val="0"/>
          <w:i w:val="0"/>
          <w:color w:val="12243A"/>
          <w:sz w:val="21"/>
        </w:rPr>
        <w:t>Пилот успешен, если система не только красиво отображает данные, но и демонстрирует проверяемое улучшение качества решения: раньше обнаруживает проблему, точнее локализует причины, делает основания прозрачнее, снижает ущерб или стоимость и сохраняет право человека на осмысленное участие.</w:t>
      </w:r>
    </w:p>
    <w:p>
      <w:r>
        <w:br w:type="page"/>
      </w:r>
    </w:p>
    <w:p>
      <w:pPr>
        <w:pStyle w:val="Heading1"/>
      </w:pPr>
      <w:r>
        <w:t>Заключение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Ядерная математика ЭКВИЛИБРИУМ может стать дисциплиной проектирования согласованных решений, если будет развиваться как открытая проверяемая система понятий, данных, моделей и институтов. Её сила заключается не в магии чисел 13, 20 и 741, а в дисциплине полноты: увидеть объект в нескольких полях, провести сигнал через полный цикл, сохранить доказательства, распределить ответственность и вернуть результат в контур обучения.</w:t>
      </w:r>
    </w:p>
    <w:p>
      <w:pPr>
        <w:pStyle w:val="LeadCallout"/>
      </w:pPr>
      <w:r>
        <w:rPr>
          <w:rFonts w:ascii="Arial" w:hAnsi="Arial" w:eastAsia="Arial"/>
          <w:b w:val="0"/>
          <w:i w:val="0"/>
          <w:color w:val="12243A"/>
          <w:sz w:val="21"/>
        </w:rPr>
        <w:t>Формула замысла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243A"/>
          <w:sz w:val="22"/>
        </w:rPr>
        <w:t>Целостность = наблюдаемость × связность × доказательность × ответственность × обратная связь.</w:t>
      </w:r>
    </w:p>
    <w:p>
      <w:r>
        <w:rPr>
          <w:rFonts w:ascii="Arial" w:hAnsi="Arial" w:eastAsia="Arial"/>
          <w:b w:val="0"/>
          <w:i w:val="0"/>
          <w:color w:val="17212B"/>
          <w:sz w:val="21"/>
        </w:rPr>
        <w:t>Если любой множитель стремится к нулю, интегральная способность системы к устойчивому развитию также резко падает. Поэтому архитектура ЭКВИЛИБРИУМ должна одновременно быть математической, информационной, институциональной и человеческой.</w:t>
      </w:r>
    </w:p>
    <w:p>
      <w:pPr>
        <w:pStyle w:val="Heading2"/>
      </w:pPr>
      <w:r>
        <w:t>Следующий документальный пакет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Том I. Формальная спецификация 13×20 и словарь 260 ячеек.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Том II. Онтология и реестры ЭКВИЛИБРИУМ.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Том III. Протоколы данных, доказательств и решений.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Том IV. Техническое задание на цифровое ядро и интерфейс ИАЦ.</w:t>
      </w:r>
    </w:p>
    <w:p>
      <w:pPr>
        <w:pStyle w:val="ListBullet"/>
        <w:spacing w:after="60" w:line="259" w:lineRule="auto"/>
      </w:pPr>
      <w:r>
        <w:rPr>
          <w:rFonts w:ascii="Arial" w:hAnsi="Arial" w:eastAsia="Arial"/>
          <w:b w:val="0"/>
          <w:i w:val="0"/>
          <w:color w:val="17212B"/>
          <w:sz w:val="20"/>
        </w:rPr>
        <w:t>Том V. Методика пилота, валидации и независимого аудита.</w:t>
      </w:r>
    </w:p>
    <w:p>
      <w:pPr>
        <w:pStyle w:val="SmallNote"/>
      </w:pPr>
      <w:r>
        <w:rPr>
          <w:rFonts w:ascii="Arial" w:hAnsi="Arial" w:eastAsia="Arial"/>
          <w:b w:val="0"/>
          <w:i w:val="0"/>
          <w:color w:val="5F6B76"/>
          <w:sz w:val="18"/>
        </w:rPr>
        <w:t>© 2026 Сергей Леонидович Соколов / SOKOL EQUILIBRIS. Концептуальная редакция для развития проекта «ЭКВИЛИБРИУМ».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5F6B76"/>
        <w:sz w:val="16"/>
      </w:rPr>
      <w:t>SOKOL EQUILIBRIS  |  Концептуальная версия 1.0  |  24 августа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i w:val="0"/>
        <w:color w:val="176B87"/>
        <w:sz w:val="16"/>
      </w:rPr>
      <w:t>ЭКВИЛИБРИУМ  •  ЯДЕРНАЯ МАТЕМАТИКА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721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2243A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76B8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243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2243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rial" w:hAnsi="Arial"/>
      <w:b w:val="0"/>
      <w:i/>
      <w:iCs/>
      <w:color w:val="176B87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Callout">
    <w:name w:val="Lead Callout"/>
    <w:pPr>
      <w:spacing w:before="100" w:after="140" w:line="264" w:lineRule="auto"/>
      <w:ind w:left="259" w:right="259"/>
    </w:pPr>
    <w:rPr>
      <w:rFonts w:ascii="Arial" w:hAnsi="Arial"/>
      <w:color w:val="12243A"/>
      <w:sz w:val="20"/>
    </w:rPr>
  </w:style>
  <w:style w:type="paragraph" w:customStyle="1" w:styleId="Formula">
    <w:name w:val="Formula"/>
    <w:pPr>
      <w:spacing w:before="100" w:after="140" w:line="264" w:lineRule="auto"/>
      <w:ind w:left="259" w:right="259"/>
    </w:pPr>
    <w:rPr>
      <w:rFonts w:ascii="Arial" w:hAnsi="Arial"/>
      <w:color w:val="12243A"/>
      <w:sz w:val="22"/>
    </w:rPr>
  </w:style>
  <w:style w:type="paragraph" w:customStyle="1" w:styleId="SmallNote">
    <w:name w:val="Small Note"/>
    <w:pPr>
      <w:spacing w:before="100" w:after="140" w:line="264" w:lineRule="auto"/>
      <w:ind w:left="259" w:right="259"/>
    </w:pPr>
    <w:rPr>
      <w:rFonts w:ascii="Arial" w:hAnsi="Arial"/>
      <w:color w:val="5F6B76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Ядерная математика и Архитектура ЭКВИЛИБРИУМ</dc:title>
  <dc:subject>Научно-техническая концепция формальной модели ядра 13×20 и модуля 741</dc:subject>
  <dc:creator>Сергей Леонидович Соколов / SOKOL EQUILIBRIS</dc:creator>
  <cp:keywords>ЭКВИЛИБРИУМ, ядерная математика, 13x20, 260, 741, гиперграф, архитектура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