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Eyebrow"/>
        <w:spacing w:after="260"/>
        <w:jc w:val="center"/>
      </w:pPr>
      <w:r>
        <w:t>СТРАТЕГИЧЕСКАЯ КОНЦЕПЦИЯ  /  РЕДАКЦИЯ 1.0</w:t>
      </w:r>
    </w:p>
    <w:p>
      <w:pPr>
        <w:pStyle w:val="Title"/>
        <w:spacing w:after="140"/>
        <w:jc w:val="center"/>
      </w:pPr>
      <w:r>
        <w:t>ВЫЧИСЛИТЕЛЬНЫЙ ГРИД</w:t>
        <w:br/>
        <w:t>МЕТАКОМПЬЮТЕРЫ</w:t>
        <w:br/>
        <w:t>И ФЕДЕРАТИВНЫЕ БАЗЫ</w:t>
      </w:r>
    </w:p>
    <w:p>
      <w:pPr>
        <w:pStyle w:val="Subtitle"/>
        <w:spacing w:after="100"/>
        <w:jc w:val="center"/>
      </w:pPr>
      <w:r>
        <w:t>Доверенная работа с большими вычислениями при локальном владении ресурсами и данными</w:t>
      </w:r>
    </w:p>
    <w:p>
      <w:pPr>
        <w:pStyle w:val="Eyebrow"/>
        <w:jc w:val="center"/>
      </w:pPr>
      <w:r>
        <w:t>ЭКВИЛИБРИУМ  ·  СФЕРА  ·  СПЕЦЗАЩИТА  ·  АРХИВ НАСЛЕДИЯ</w:t>
      </w:r>
    </w:p>
    <w:p>
      <w:pPr>
        <w:spacing w:before="40" w:after="100"/>
        <w:jc w:val="center"/>
      </w:pPr>
      <w:r>
        <w:drawing>
          <wp:inline xmlns:a="http://schemas.openxmlformats.org/drawingml/2006/main" xmlns:pic="http://schemas.openxmlformats.org/drawingml/2006/picture">
            <wp:extent cx="4800600" cy="2701773"/>
            <wp:docPr id="1" name="Picture 1" descr="Распределённые центры вычислений, защищённые узлы данных и управляющий слой объединяются в логический метакомпьютер." title="Вычислительный ГРИ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ychislitelnyi_grid_her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7017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"/>
        <w:jc w:val="center"/>
      </w:pPr>
      <w:r>
        <w:t>Автор: Соколов Сергей Леонидович  ·  29 августа 2026 г.</w:t>
        <w:br/>
      </w:r>
      <w:r>
        <w:t>Статус: архитектурная гипотеза для технической, правовой и независимой экспертной проверки</w:t>
      </w:r>
    </w:p>
    <w:p>
      <w:r>
        <w:br w:type="page"/>
      </w:r>
    </w:p>
    <w:p>
      <w:pPr>
        <w:pStyle w:val="Eyebrow"/>
        <w:keepLines/>
        <w:widowControl/>
        <w:keepNext/>
      </w:pPr>
      <w:r>
        <w:t>02  /  РЕШЕНИЕ ДЛЯ РУКОВОДИТЕЛЯ</w:t>
      </w:r>
    </w:p>
    <w:p>
      <w:pPr>
        <w:pStyle w:val="Heading1"/>
        <w:keepLines/>
        <w:widowControl/>
        <w:keepNext/>
      </w:pPr>
      <w:r>
        <w:t>Разрешить 90-дневный пилот на трёх автономных контурах</w:t>
      </w:r>
    </w:p>
    <w:p>
      <w:pPr>
        <w:pStyle w:val="Lead"/>
        <w:spacing w:after="240"/>
      </w:pPr>
      <w:r>
        <w:t>Проверить, можно ли собрать под задачу временный метакомпьютер, выполнить вычисление рядом с данными и выпустить воспроизводимый результат — без централизации первичных массивов.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Главный тезис</w:t>
        <w:br/>
      </w:r>
      <w:r>
        <w:rPr>
          <w:rFonts w:ascii="Calibri" w:hAnsi="Calibri" w:eastAsia="Calibri"/>
          <w:color w:val="172033"/>
          <w:sz w:val="21"/>
        </w:rPr>
        <w:t>Не строить ещё один суперкомпьютер. Создать доверенный слой, который на время конкретной задачи объединяет разрозненные мощности, данные и правила в управляемый метакомпьютер.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Параметр</w:t>
            </w:r>
          </w:p>
        </w:tc>
        <w:tc>
          <w:tcPr>
            <w:tcW w:type="dxa" w:w="74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Предложение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Периметр</w:t>
            </w:r>
          </w:p>
        </w:tc>
        <w:tc>
          <w:tcPr>
            <w:tcW w:type="dxa" w:w="7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Три независимых административных домена: HPC/CPU, GPU/контейнерный контур и доменный узел данных.</w:t>
            </w:r>
          </w:p>
        </w:tc>
      </w:tr>
      <w:tr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Сценарии</w:t>
            </w:r>
          </w:p>
        </w:tc>
        <w:tc>
          <w:tcPr>
            <w:tcW w:type="dxa" w:w="74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Тесно связанный расчёт; массовый ансамбль; федеративная аналитика с переносом вычисления к данным.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Режим</w:t>
            </w:r>
          </w:p>
        </w:tc>
        <w:tc>
          <w:tcPr>
            <w:tcW w:type="dxa" w:w="7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Синтетические, обезличенные или специально разрешённые данные; без автоматического включения критических производственных наборов.</w:t>
            </w:r>
          </w:p>
        </w:tc>
      </w:tr>
      <w:tr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Результат</w:t>
            </w:r>
          </w:p>
        </w:tc>
        <w:tc>
          <w:tcPr>
            <w:tcW w:type="dxa" w:w="74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Рабочий прототип, журнал политик, манифесты происхождения, измерения времени/стоимости/сетевого обмена и независимый протокол.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Решение на 90-й день</w:t>
            </w:r>
          </w:p>
        </w:tc>
        <w:tc>
          <w:tcPr>
            <w:tcW w:type="dxa" w:w="7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GO, CONDITIONAL GO или STOP по заранее утверждённым критериям.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Рекомендуемое решение</w:t>
        <w:br/>
      </w:r>
      <w:r>
        <w:rPr>
          <w:rFonts w:ascii="Calibri" w:hAnsi="Calibri" w:eastAsia="Calibri"/>
          <w:color w:val="172033"/>
          <w:sz w:val="21"/>
        </w:rPr>
        <w:t>Утвердить проектировочный пилот; промышленное масштабирование, реальные чувствительные данные и межконтурные записи разрешать только отдельными решениями.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03  /  ПРОБЛЕМА И ЦЕЛЕВОЙ ЭФФЕКТ</w:t>
      </w:r>
    </w:p>
    <w:p>
      <w:pPr>
        <w:pStyle w:val="Heading1"/>
        <w:keepLines/>
        <w:widowControl/>
        <w:keepNext/>
      </w:pPr>
      <w:r>
        <w:t>Мощности есть, но они не образуют общий управляемый ресурс</w:t>
      </w:r>
    </w:p>
    <w:p>
      <w:pPr>
        <w:pStyle w:val="Lead"/>
        <w:spacing w:after="240"/>
      </w:pPr>
      <w:r>
        <w:t>Кластеры, облака, ускорители и базы принадлежат разным организациям, используют разные очереди, политики, идентификаторы и форматы результата.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1.</w:t>
      </w:r>
      <w:r>
        <w:t xml:space="preserve"> Трудно понять, где есть подходящие CPU, GPU, память, сеть, лицензии и локальные данные.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2.</w:t>
      </w:r>
      <w:r>
        <w:t xml:space="preserve"> Планировщики хорошо управляют площадкой, но не видят полномочия и возможности соседних доменов.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3.</w:t>
      </w:r>
      <w:r>
        <w:t xml:space="preserve"> Копирование больших массивов в центр создаёт задержки, дубли, риск утечки и спор о владельце.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4.</w:t>
      </w:r>
      <w:r>
        <w:t xml:space="preserve"> Тесно связанные HPC-задачи, массовые ансамбли и AI-нагрузки требуют разных исполнительных контуров.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5.</w:t>
      </w:r>
      <w:r>
        <w:t xml:space="preserve"> Результат без версии кода, входов, политики и среды нельзя независимо воспроизвести.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6.</w:t>
      </w:r>
      <w:r>
        <w:t xml:space="preserve"> Стоимость, энергия, ожидание в очереди и сетевой egress часто считаются раздельно.</w:t>
      </w: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Целевой эффект</w:t>
        <w:br/>
      </w:r>
      <w:r>
        <w:rPr>
          <w:rFonts w:ascii="Calibri" w:hAnsi="Calibri" w:eastAsia="Calibri"/>
          <w:color w:val="172033"/>
          <w:sz w:val="21"/>
        </w:rPr>
        <w:t>Сократить путь от вычислительного запроса до проверяемого результата, сохранив локальный суверенитет площадок и владельцев данных.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04  /  КАРТА ТЕРМИНОВ</w:t>
      </w:r>
    </w:p>
    <w:p>
      <w:pPr>
        <w:pStyle w:val="Heading1"/>
        <w:keepLines/>
        <w:widowControl/>
        <w:keepNext/>
      </w:pPr>
      <w:r>
        <w:t>Четыре определения задают границы системы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50"/>
        <w:gridCol w:w="4380"/>
        <w:gridCol w:w="3130"/>
      </w:tblGrid>
      <w:tr>
        <w:trPr>
          <w:tblHeader w:val="true"/>
        </w:trPr>
        <w:tc>
          <w:tcPr>
            <w:tcW w:type="dxa" w:w="18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Понятие</w:t>
            </w:r>
          </w:p>
        </w:tc>
        <w:tc>
          <w:tcPr>
            <w:tcW w:type="dxa" w:w="43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Рабочее определение</w:t>
            </w:r>
          </w:p>
        </w:tc>
        <w:tc>
          <w:tcPr>
            <w:tcW w:type="dxa" w:w="31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Жёсткая граница</w:t>
            </w:r>
          </w:p>
        </w:tc>
      </w:tr>
      <w:tr>
        <w:tc>
          <w:tcPr>
            <w:tcW w:type="dxa" w:w="1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Вычислительный ГРИД</w:t>
            </w:r>
          </w:p>
        </w:tc>
        <w:tc>
          <w:tcPr>
            <w:tcW w:type="dxa" w:w="43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Федерация ресурсов разных контуров управления с общими правилами идентификации, обнаружения, маршрутизации, запуска и учёта.</w:t>
            </w:r>
          </w:p>
        </w:tc>
        <w:tc>
          <w:tcPr>
            <w:tcW w:type="dxa" w:w="31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 единый кластер и не глобальный администратор.</w:t>
            </w:r>
          </w:p>
        </w:tc>
      </w:tr>
      <w:tr>
        <w:tc>
          <w:tcPr>
            <w:tcW w:type="dxa" w:w="18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Метакомпьютер</w:t>
            </w:r>
          </w:p>
        </w:tc>
        <w:tc>
          <w:tcPr>
            <w:tcW w:type="dxa" w:w="43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Временная логическая машина, собираемая под задачу из подходящих CPU, GPU, HPC, облачных и edge-ресурсов.</w:t>
            </w:r>
          </w:p>
        </w:tc>
        <w:tc>
          <w:tcPr>
            <w:tcW w:type="dxa" w:w="31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 обещает общей памяти и низкой задержки между всеми узлами.</w:t>
            </w:r>
          </w:p>
        </w:tc>
      </w:tr>
      <w:tr>
        <w:tc>
          <w:tcPr>
            <w:tcW w:type="dxa" w:w="1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Федеративный слой данных</w:t>
            </w:r>
          </w:p>
        </w:tc>
        <w:tc>
          <w:tcPr>
            <w:tcW w:type="dxa" w:w="43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Каталог, семантика, политика и исполнение разрешённых запросов над автономными источниками.</w:t>
            </w:r>
          </w:p>
        </w:tc>
        <w:tc>
          <w:tcPr>
            <w:tcW w:type="dxa" w:w="31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 единая мировая база и не автоматическая репликация исходников.</w:t>
            </w:r>
          </w:p>
        </w:tc>
      </w:tr>
      <w:tr>
        <w:tc>
          <w:tcPr>
            <w:tcW w:type="dxa" w:w="18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Большие вычисления</w:t>
            </w:r>
          </w:p>
        </w:tc>
        <w:tc>
          <w:tcPr>
            <w:tcW w:type="dxa" w:w="43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Задачи, превышающие возможности одного узла или контура по данным, операциям, памяти, ускорителям либо сроку ответа.</w:t>
            </w:r>
          </w:p>
        </w:tc>
        <w:tc>
          <w:tcPr>
            <w:tcW w:type="dxa" w:w="31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Размер определяется профилем задачи, а не рекламным ярлыком.</w:t>
            </w:r>
          </w:p>
        </w:tc>
      </w:tr>
    </w:tbl>
    <w:p>
      <w:pPr>
        <w:spacing w:after="20"/>
      </w:pPr>
    </w:p>
    <w:p>
      <w:pPr>
        <w:pStyle w:val="Source"/>
        <w:spacing w:before="80"/>
      </w:pPr>
      <w:r>
        <w:t>Критерии GRID основаны на работах Иэна Фостера: координация ресурсов разных административных доменов, открытые универсальные протоколы и нетривиальное качество сервиса [1–2].</w:t>
      </w:r>
    </w:p>
    <w:p>
      <w:pPr>
        <w:pStyle w:val="Callout"/>
        <w:spacing w:before="120" w:after="200" w:line="276" w:lineRule="auto"/>
        <w:shd w:fill="F2F4F7"/>
        <w:pBdr>
          <w:left w:val="single" w:sz="18" w:space="10" w:color="6DCBF4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Формула</w:t>
        <w:br/>
      </w:r>
      <w:r>
        <w:rPr>
          <w:rFonts w:ascii="Calibri" w:hAnsi="Calibri" w:eastAsia="Calibri"/>
          <w:color w:val="172033"/>
          <w:sz w:val="21"/>
        </w:rPr>
        <w:t>ГРИД = ДОВЕРИЕ + КАТАЛОГ + ПОЛИТИКА + МАРШРУТИЗАЦИЯ + ИСПОЛНЕНИЕ + УЧЁТ + ДОКАЗАТЕЛЬСТВО</w:t>
      </w:r>
    </w:p>
    <w:p>
      <w:r>
        <w:br w:type="page"/>
      </w:r>
    </w:p>
    <w:p>
      <w:pPr>
        <w:pStyle w:val="Eyebrow"/>
        <w:keepLines/>
        <w:widowControl/>
        <w:keepNext/>
      </w:pPr>
      <w:r>
        <w:t>05  /  ПРИНЦИПЫ И ИНВАРИАНТЫ</w:t>
      </w:r>
    </w:p>
    <w:p>
      <w:pPr>
        <w:pStyle w:val="Heading1"/>
        <w:keepLines/>
        <w:widowControl/>
        <w:keepNext/>
      </w:pPr>
      <w:r>
        <w:t>Федерация сильна только при заранее заданных ограничениях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1. Локальный суверенитет. </w:t>
      </w:r>
      <w:r>
        <w:t>площадка сохраняет владельца, локальный планировщик, квоты, правила доступа и право отказа.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2. Вычисление к данным. </w:t>
      </w:r>
      <w:r>
        <w:t>по возможности перемещаются код, план и разрешённая проекция, а не весь исходный массив.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3. Минимальное раскрытие. </w:t>
      </w:r>
      <w:r>
        <w:t>общий слой видит только необходимую карточку ресурса, политику, состояние и согласованный результат.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4. Открытые контракты. </w:t>
      </w:r>
      <w:r>
        <w:t>канонические описания задания, ресурса, данных и результата отделены от конкретного продукта.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5. Разные маршруты нагрузок. </w:t>
      </w:r>
      <w:r>
        <w:t>MPI/HPC, HTC, AI/GPU, SQL-федерация и потоковые задачи не сводятся к одной очереди.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6. Политика как код. </w:t>
      </w:r>
      <w:r>
        <w:t>допуск, зона данных, срок, цель, лимит egress и полномочия проверяются до запуска и во время него.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7. Воспроизводимость. </w:t>
      </w:r>
      <w:r>
        <w:t>результат содержит версии кода, среды, входов, параметров, политики и контрольные суммы.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8. Независимая проверка. </w:t>
      </w:r>
      <w:r>
        <w:t>оператор не подтверждает собственную безопасность и корректность единолично.</w:t>
      </w: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Инвариант</w:t>
        <w:br/>
      </w:r>
      <w:r>
        <w:rPr>
          <w:rFonts w:ascii="Calibri" w:hAnsi="Calibri" w:eastAsia="Calibri"/>
          <w:color w:val="172033"/>
          <w:sz w:val="21"/>
        </w:rPr>
        <w:t>Локальный контур может отклонить задание; общий слой не обходит локальную политику и не требует единого root-доступа.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06  /  МЕСТО В ЭКОСИСТЕМЕ</w:t>
      </w:r>
    </w:p>
    <w:p>
      <w:pPr>
        <w:pStyle w:val="Heading1"/>
        <w:keepLines/>
        <w:widowControl/>
        <w:keepNext/>
      </w:pPr>
      <w:r>
        <w:t>ГРИД превращает аналитический запрос в проверяемое вычислительное исполнение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20"/>
        <w:gridCol w:w="4470"/>
        <w:gridCol w:w="3170"/>
      </w:tblGrid>
      <w:tr>
        <w:trPr>
          <w:tblHeader w:val="true"/>
        </w:trPr>
        <w:tc>
          <w:tcPr>
            <w:tcW w:type="dxa" w:w="17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Контур</w:t>
            </w:r>
          </w:p>
        </w:tc>
        <w:tc>
          <w:tcPr>
            <w:tcW w:type="dxa" w:w="447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Роль</w:t>
            </w:r>
          </w:p>
        </w:tc>
        <w:tc>
          <w:tcPr>
            <w:tcW w:type="dxa" w:w="317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Граница ответственности</w:t>
            </w:r>
          </w:p>
        </w:tc>
      </w:tr>
      <w:tr>
        <w:tc>
          <w:tcPr>
            <w:tcW w:type="dxa" w:w="17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ЭКВИЛИБРИУМ</w:t>
            </w:r>
          </w:p>
        </w:tc>
        <w:tc>
          <w:tcPr>
            <w:tcW w:type="dxa" w:w="44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Формирует вопрос, сценарий, риск-модель и требования к результату.</w:t>
            </w:r>
          </w:p>
        </w:tc>
        <w:tc>
          <w:tcPr>
            <w:tcW w:type="dxa" w:w="31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 владеет исходными данными и не администрирует площадки.</w:t>
            </w:r>
          </w:p>
        </w:tc>
      </w:tr>
      <w:tr>
        <w:tc>
          <w:tcPr>
            <w:tcW w:type="dxa" w:w="17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Вычислительный ГРИД</w:t>
            </w:r>
          </w:p>
        </w:tc>
        <w:tc>
          <w:tcPr>
            <w:tcW w:type="dxa" w:w="44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Подбирает ресурсы, строит план, получает допуски, запускает и контролирует задание.</w:t>
            </w:r>
          </w:p>
        </w:tc>
        <w:tc>
          <w:tcPr>
            <w:tcW w:type="dxa" w:w="31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 заменяет локальные планировщики и владельцев.</w:t>
            </w:r>
          </w:p>
        </w:tc>
      </w:tr>
      <w:tr>
        <w:tc>
          <w:tcPr>
            <w:tcW w:type="dxa" w:w="17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Система фондов / ECO-PPA</w:t>
            </w:r>
          </w:p>
        </w:tc>
        <w:tc>
          <w:tcPr>
            <w:tcW w:type="dxa" w:w="44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Закрепляет мандат, бюджет, контракт, данные и ожидаемый результат проекта.</w:t>
            </w:r>
          </w:p>
        </w:tc>
        <w:tc>
          <w:tcPr>
            <w:tcW w:type="dxa" w:w="31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 является вычислительным backend.</w:t>
            </w:r>
          </w:p>
        </w:tc>
      </w:tr>
      <w:tr>
        <w:tc>
          <w:tcPr>
            <w:tcW w:type="dxa" w:w="17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СПЕЦЗАЩИТА</w:t>
            </w:r>
          </w:p>
        </w:tc>
        <w:tc>
          <w:tcPr>
            <w:tcW w:type="dxa" w:w="44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Развёртывание, укрепление, эксплуатация, реагирование и кооперация.</w:t>
            </w:r>
          </w:p>
        </w:tc>
        <w:tc>
          <w:tcPr>
            <w:tcW w:type="dxa" w:w="31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 валидирует собственную работу единолично.</w:t>
            </w:r>
          </w:p>
        </w:tc>
      </w:tr>
      <w:tr>
        <w:tc>
          <w:tcPr>
            <w:tcW w:type="dxa" w:w="17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СФЕРА</w:t>
            </w:r>
          </w:p>
        </w:tc>
        <w:tc>
          <w:tcPr>
            <w:tcW w:type="dxa" w:w="44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Участники, компетенции, случаи применения, знания и обратная связь.</w:t>
            </w:r>
          </w:p>
        </w:tc>
        <w:tc>
          <w:tcPr>
            <w:tcW w:type="dxa" w:w="31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 подменяет орган допуска и планировщик.</w:t>
            </w:r>
          </w:p>
        </w:tc>
      </w:tr>
      <w:tr>
        <w:tc>
          <w:tcPr>
            <w:tcW w:type="dxa" w:w="17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Архив наследия</w:t>
            </w:r>
          </w:p>
        </w:tc>
        <w:tc>
          <w:tcPr>
            <w:tcW w:type="dxa" w:w="44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Версии, происхождение, решения о доступе, манифесты и разрешённые результаты.</w:t>
            </w:r>
          </w:p>
        </w:tc>
        <w:tc>
          <w:tcPr>
            <w:tcW w:type="dxa" w:w="31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 обязан централизовать чувствительные исходники.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2F4F7"/>
        <w:pBdr>
          <w:left w:val="single" w:sz="18" w:space="10" w:color="6DCBF4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Формула</w:t>
        <w:br/>
      </w:r>
      <w:r>
        <w:rPr>
          <w:rFonts w:ascii="Calibri" w:hAnsi="Calibri" w:eastAsia="Calibri"/>
          <w:color w:val="172033"/>
          <w:sz w:val="21"/>
        </w:rPr>
        <w:t>ВОПРОС → ПАСПОРТ ЗАДАНИЯ → МЕТАКОМПЬЮТЕР → ВЫЧИСЛЕНИЕ → ПРОВЕРКА → АРХИВ → НОВЫЙ ЦИКЛ</w:t>
      </w:r>
    </w:p>
    <w:p>
      <w:r>
        <w:br w:type="page"/>
      </w:r>
    </w:p>
    <w:p>
      <w:pPr>
        <w:pStyle w:val="Eyebrow"/>
        <w:keepLines/>
        <w:widowControl/>
        <w:keepNext/>
      </w:pPr>
      <w:r>
        <w:t>07  /  ЦЕЛЕВАЯ АРХИТЕКТУРА</w:t>
      </w:r>
    </w:p>
    <w:p>
      <w:pPr>
        <w:pStyle w:val="Heading1"/>
        <w:keepLines/>
        <w:widowControl/>
        <w:keepNext/>
      </w:pPr>
      <w:r>
        <w:t>Пять плоскостей разделяют полномочия и потоки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1. Доверие. </w:t>
      </w:r>
      <w:r>
        <w:t>федеративная идентификация, атрибуты, роли, сертификаты, сервисные учётные записи, отзыв и журнал решений.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2. Управление. </w:t>
      </w:r>
      <w:r>
        <w:t>каталог ресурсов, брокер заданий, policy engine, оркестратор, квоты, SLA и адаптеры к локальным системам.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3. Вычисления. </w:t>
      </w:r>
      <w:r>
        <w:t>Slurm/MPI, HTCondor/workflow, Kubernetes Jobs, GPU/FPGA и иные специализированные исполнительные контуры.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4. Данные. </w:t>
      </w:r>
      <w:r>
        <w:t>доменные базы, объектные и файловые хранилища, каталоги, коннекторы, pushdown, staging и выпуск проекций.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5. Доказательность. </w:t>
      </w:r>
      <w:r>
        <w:t>telemetry, accounting, lineage, контрольные суммы, манифесты, независимая проверка и Архив наследия.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Разделение потоков</w:t>
        <w:br/>
      </w:r>
      <w:r>
        <w:rPr>
          <w:rFonts w:ascii="Calibri" w:hAnsi="Calibri" w:eastAsia="Calibri"/>
          <w:color w:val="172033"/>
          <w:sz w:val="21"/>
        </w:rPr>
        <w:t>Управляющий слой передаёт задания и состояние; массовые данные идут по разрешённому data path напрямую между площадками или обрабатываются на месте.</w:t>
      </w:r>
    </w:p>
    <w:p>
      <w:pPr>
        <w:pStyle w:val="Source"/>
        <w:spacing w:before="80"/>
      </w:pPr>
      <w:r>
        <w:t>Открытые интерфейсы снижают привязку к поставщику; локальные продукты подключаются адаптерами [3–4].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08  /  КОНТУР ДОВЕРИЯ И УПРАВЛЕНИЯ</w:t>
      </w:r>
    </w:p>
    <w:p>
      <w:pPr>
        <w:pStyle w:val="Heading1"/>
        <w:keepLines/>
        <w:widowControl/>
        <w:keepNext/>
      </w:pPr>
      <w:r>
        <w:t>До запуска система должна ответить на семь вопросов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4930"/>
        <w:gridCol w:w="2880"/>
      </w:tblGrid>
      <w:tr>
        <w:trPr>
          <w:tblHeader w:val="true"/>
        </w:trPr>
        <w:tc>
          <w:tcPr>
            <w:tcW w:type="dxa" w:w="15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Вопрос</w:t>
            </w:r>
          </w:p>
        </w:tc>
        <w:tc>
          <w:tcPr>
            <w:tcW w:type="dxa" w:w="49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Проверяемый объект</w:t>
            </w:r>
          </w:p>
        </w:tc>
        <w:tc>
          <w:tcPr>
            <w:tcW w:type="dxa" w:w="28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Результат шлюза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Кто?</w:t>
            </w:r>
          </w:p>
        </w:tc>
        <w:tc>
          <w:tcPr>
            <w:tcW w:type="dxa" w:w="49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Пользователь, сервис, организация, роль, атрибуты.</w:t>
            </w:r>
          </w:p>
        </w:tc>
        <w:tc>
          <w:tcPr>
            <w:tcW w:type="dxa" w:w="28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Подтверждённая идентичность.</w:t>
            </w:r>
          </w:p>
        </w:tc>
      </w:tr>
      <w:tr>
        <w:tc>
          <w:tcPr>
            <w:tcW w:type="dxa" w:w="1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Зачем?</w:t>
            </w:r>
          </w:p>
        </w:tc>
        <w:tc>
          <w:tcPr>
            <w:tcW w:type="dxa" w:w="49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Цель обработки, проект, правовое и договорное основание.</w:t>
            </w:r>
          </w:p>
        </w:tc>
        <w:tc>
          <w:tcPr>
            <w:tcW w:type="dxa" w:w="28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Разрешённое назначение.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Что?</w:t>
            </w:r>
          </w:p>
        </w:tc>
        <w:tc>
          <w:tcPr>
            <w:tcW w:type="dxa" w:w="49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Код, контейнер, модель, версия, зависимости, SBOM.</w:t>
            </w:r>
          </w:p>
        </w:tc>
        <w:tc>
          <w:tcPr>
            <w:tcW w:type="dxa" w:w="28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Допущенный артефакт.</w:t>
            </w:r>
          </w:p>
        </w:tc>
      </w:tr>
      <w:tr>
        <w:tc>
          <w:tcPr>
            <w:tcW w:type="dxa" w:w="1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Над чем?</w:t>
            </w:r>
          </w:p>
        </w:tc>
        <w:tc>
          <w:tcPr>
            <w:tcW w:type="dxa" w:w="49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Dataset ID, класс данных, владелец, разрешённая проекция.</w:t>
            </w:r>
          </w:p>
        </w:tc>
        <w:tc>
          <w:tcPr>
            <w:tcW w:type="dxa" w:w="28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Разрешённые входы.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Где?</w:t>
            </w:r>
          </w:p>
        </w:tc>
        <w:tc>
          <w:tcPr>
            <w:tcW w:type="dxa" w:w="49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Контур, регион, аппаратный профиль, доверенная зона.</w:t>
            </w:r>
          </w:p>
        </w:tc>
        <w:tc>
          <w:tcPr>
            <w:tcW w:type="dxa" w:w="28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Допустимое размещение.</w:t>
            </w:r>
          </w:p>
        </w:tc>
      </w:tr>
      <w:tr>
        <w:tc>
          <w:tcPr>
            <w:tcW w:type="dxa" w:w="1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Сколько?</w:t>
            </w:r>
          </w:p>
        </w:tc>
        <w:tc>
          <w:tcPr>
            <w:tcW w:type="dxa" w:w="49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CPU/GPU, память, время, egress, бюджет, энергия.</w:t>
            </w:r>
          </w:p>
        </w:tc>
        <w:tc>
          <w:tcPr>
            <w:tcW w:type="dxa" w:w="28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Квота и пределы.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Что можно выпустить?</w:t>
            </w:r>
          </w:p>
        </w:tc>
        <w:tc>
          <w:tcPr>
            <w:tcW w:type="dxa" w:w="49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Агрегаты, модель, отчёт, артефакт, чувствительность.</w:t>
            </w:r>
          </w:p>
        </w:tc>
        <w:tc>
          <w:tcPr>
            <w:tcW w:type="dxa" w:w="28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Политика выхода результата.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Принцип Zero Trust</w:t>
        <w:br/>
      </w:r>
      <w:r>
        <w:rPr>
          <w:rFonts w:ascii="Calibri" w:hAnsi="Calibri" w:eastAsia="Calibri"/>
          <w:color w:val="172033"/>
          <w:sz w:val="21"/>
        </w:rPr>
        <w:t>Сетевое расположение не является достаточным основанием доверия. Доступ оценивается для конкретного субъекта, ресурса и контекста, а решение исполняется в точке применения политики [24].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09  /  ФОРМИРОВАНИЕ МЕТАКОМПЬЮТЕРА</w:t>
      </w:r>
    </w:p>
    <w:p>
      <w:pPr>
        <w:pStyle w:val="Heading1"/>
        <w:keepLines/>
        <w:widowControl/>
        <w:keepNext/>
      </w:pPr>
      <w:r>
        <w:t>Метакомпьютер собирается на время задачи и затем демонтируется</w:t>
      </w:r>
    </w:p>
    <w:p>
      <w:pPr>
        <w:spacing w:after="160" w:line="280" w:lineRule="auto"/>
        <w:jc w:val="left"/>
        <w:numPr>
          <w:ilvl w:val="0"/>
          <w:numId w:val="62"/>
        </w:numPr>
      </w:pPr>
      <w:r>
        <w:t>Паспорт задания фиксирует цель, код, данные, SLA, ограничения, цену ошибки и критерии результата.</w:t>
      </w:r>
    </w:p>
    <w:p>
      <w:pPr>
        <w:spacing w:after="160" w:line="280" w:lineRule="auto"/>
        <w:jc w:val="left"/>
        <w:numPr>
          <w:ilvl w:val="0"/>
          <w:numId w:val="62"/>
        </w:numPr>
      </w:pPr>
      <w:r>
        <w:t>Каталог возвращает совместимые площадки, версии ПО, ускорители, сетевые условия и локальность данных.</w:t>
      </w:r>
    </w:p>
    <w:p>
      <w:pPr>
        <w:spacing w:after="160" w:line="280" w:lineRule="auto"/>
        <w:jc w:val="left"/>
        <w:numPr>
          <w:ilvl w:val="0"/>
          <w:numId w:val="62"/>
        </w:numPr>
      </w:pPr>
      <w:r>
        <w:t>Брокер строит несколько планов исполнения и оценивает время очереди, перенос данных, стоимость и риск.</w:t>
      </w:r>
    </w:p>
    <w:p>
      <w:pPr>
        <w:spacing w:after="160" w:line="280" w:lineRule="auto"/>
        <w:jc w:val="left"/>
        <w:numPr>
          <w:ilvl w:val="0"/>
          <w:numId w:val="62"/>
        </w:numPr>
      </w:pPr>
      <w:r>
        <w:t>Policy engine проверяет каждую площадку, набор данных, образ, полномочия и допустимый результат.</w:t>
      </w:r>
    </w:p>
    <w:p>
      <w:pPr>
        <w:spacing w:after="160" w:line="280" w:lineRule="auto"/>
        <w:jc w:val="left"/>
        <w:numPr>
          <w:ilvl w:val="0"/>
          <w:numId w:val="62"/>
        </w:numPr>
      </w:pPr>
      <w:r>
        <w:t>Оркестратор резервирует ресурсы и переводит каноническое задание в Slurm, HTCondor или Kubernetes.</w:t>
      </w:r>
    </w:p>
    <w:p>
      <w:pPr>
        <w:spacing w:after="160" w:line="280" w:lineRule="auto"/>
        <w:jc w:val="left"/>
        <w:numPr>
          <w:ilvl w:val="0"/>
          <w:numId w:val="62"/>
        </w:numPr>
      </w:pPr>
      <w:r>
        <w:t>Во время исполнения собираются telemetry, checkpoints, события политики, учёт ресурсов и lineage.</w:t>
      </w:r>
    </w:p>
    <w:p>
      <w:pPr>
        <w:spacing w:after="160" w:line="280" w:lineRule="auto"/>
        <w:jc w:val="left"/>
        <w:numPr>
          <w:ilvl w:val="0"/>
          <w:numId w:val="62"/>
        </w:numPr>
      </w:pPr>
      <w:r>
        <w:t>После проверки выпускается результат; временные полномочия отзываются, staging очищается по политике.</w:t>
      </w: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Ограничение</w:t>
        <w:br/>
      </w:r>
      <w:r>
        <w:rPr>
          <w:rFonts w:ascii="Calibri" w:hAnsi="Calibri" w:eastAsia="Calibri"/>
          <w:color w:val="172033"/>
          <w:sz w:val="21"/>
        </w:rPr>
        <w:t>WAN не превращается в локальную шину. Тесно связанную MPI-задачу обычно размещают целиком в одном низколатентном HPC-контуре; между площадками федерализуются задания, данные и результаты [10].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10  /  КЛАССЫ НАГРУЗКИ И МАРШРУТИЗАЦИЯ</w:t>
      </w:r>
    </w:p>
    <w:p>
      <w:pPr>
        <w:pStyle w:val="Heading1"/>
        <w:keepLines/>
        <w:widowControl/>
        <w:keepNext/>
      </w:pPr>
      <w:r>
        <w:t>Правильный backend важнее единой универсальной очереди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70"/>
        <w:gridCol w:w="2730"/>
        <w:gridCol w:w="3030"/>
        <w:gridCol w:w="2230"/>
      </w:tblGrid>
      <w:tr>
        <w:trPr>
          <w:tblHeader w:val="true"/>
        </w:trPr>
        <w:tc>
          <w:tcPr>
            <w:tcW w:type="dxa" w:w="137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Класс</w:t>
            </w:r>
          </w:p>
        </w:tc>
        <w:tc>
          <w:tcPr>
            <w:tcW w:type="dxa" w:w="27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Признак</w:t>
            </w:r>
          </w:p>
        </w:tc>
        <w:tc>
          <w:tcPr>
            <w:tcW w:type="dxa" w:w="30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Предпочтительный маршрут</w:t>
            </w:r>
          </w:p>
        </w:tc>
        <w:tc>
          <w:tcPr>
            <w:tcW w:type="dxa" w:w="22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Ключевая метрика</w:t>
            </w:r>
          </w:p>
        </w:tc>
      </w:tr>
      <w:tr>
        <w:tc>
          <w:tcPr>
            <w:tcW w:type="dxa" w:w="13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HPC / MPI</w:t>
            </w:r>
          </w:p>
        </w:tc>
        <w:tc>
          <w:tcPr>
            <w:tcW w:type="dxa" w:w="27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Тесная связь, низкая задержка, коллективные обмены.</w:t>
            </w:r>
          </w:p>
        </w:tc>
        <w:tc>
          <w:tcPr>
            <w:tcW w:type="dxa" w:w="30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Slurm + MPI в одной площадке.</w:t>
            </w:r>
          </w:p>
        </w:tc>
        <w:tc>
          <w:tcPr>
            <w:tcW w:type="dxa" w:w="22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Time-to-solution, масштабирование.</w:t>
            </w:r>
          </w:p>
        </w:tc>
      </w:tr>
      <w:tr>
        <w:tc>
          <w:tcPr>
            <w:tcW w:type="dxa" w:w="13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HTC / ансамбли</w:t>
            </w:r>
          </w:p>
        </w:tc>
        <w:tc>
          <w:tcPr>
            <w:tcW w:type="dxa" w:w="27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Много независимых или слабосвязанных запусков.</w:t>
            </w:r>
          </w:p>
        </w:tc>
        <w:tc>
          <w:tcPr>
            <w:tcW w:type="dxa" w:w="30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HTCondor + DAG/workflow.</w:t>
            </w:r>
          </w:p>
        </w:tc>
        <w:tc>
          <w:tcPr>
            <w:tcW w:type="dxa" w:w="22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Заданий/сутки, success rate.</w:t>
            </w:r>
          </w:p>
        </w:tc>
      </w:tr>
      <w:tr>
        <w:tc>
          <w:tcPr>
            <w:tcW w:type="dxa" w:w="13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AI / GPU</w:t>
            </w:r>
          </w:p>
        </w:tc>
        <w:tc>
          <w:tcPr>
            <w:tcW w:type="dxa" w:w="27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Ускорители, большие модели, контейнеры, данные рядом.</w:t>
            </w:r>
          </w:p>
        </w:tc>
        <w:tc>
          <w:tcPr>
            <w:tcW w:type="dxa" w:w="30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Kubernetes Jobs или GPU-раздел Slurm.</w:t>
            </w:r>
          </w:p>
        </w:tc>
        <w:tc>
          <w:tcPr>
            <w:tcW w:type="dxa" w:w="22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GPU utilization, время/эпоха.</w:t>
            </w:r>
          </w:p>
        </w:tc>
      </w:tr>
      <w:tr>
        <w:tc>
          <w:tcPr>
            <w:tcW w:type="dxa" w:w="13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Большие данные</w:t>
            </w:r>
          </w:p>
        </w:tc>
        <w:tc>
          <w:tcPr>
            <w:tcW w:type="dxa" w:w="27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Scan/join/aggregation над доменными источниками.</w:t>
            </w:r>
          </w:p>
        </w:tc>
        <w:tc>
          <w:tcPr>
            <w:tcW w:type="dxa" w:w="30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Federated query + pushdown/materialization.</w:t>
            </w:r>
          </w:p>
        </w:tc>
        <w:tc>
          <w:tcPr>
            <w:tcW w:type="dxa" w:w="22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Bytes moved, query latency.</w:t>
            </w:r>
          </w:p>
        </w:tc>
      </w:tr>
      <w:tr>
        <w:tc>
          <w:tcPr>
            <w:tcW w:type="dxa" w:w="13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Edge / поток</w:t>
            </w:r>
          </w:p>
        </w:tc>
        <w:tc>
          <w:tcPr>
            <w:tcW w:type="dxa" w:w="27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Реальное время, ограниченный канал, локальный контекст.</w:t>
            </w:r>
          </w:p>
        </w:tc>
        <w:tc>
          <w:tcPr>
            <w:tcW w:type="dxa" w:w="30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Локальное выполнение + агрегаты.</w:t>
            </w:r>
          </w:p>
        </w:tc>
        <w:tc>
          <w:tcPr>
            <w:tcW w:type="dxa" w:w="22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Задержка, потеря событий.</w:t>
            </w:r>
          </w:p>
        </w:tc>
      </w:tr>
      <w:tr>
        <w:tc>
          <w:tcPr>
            <w:tcW w:type="dxa" w:w="13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Workflow</w:t>
            </w:r>
          </w:p>
        </w:tc>
        <w:tc>
          <w:tcPr>
            <w:tcW w:type="dxa" w:w="27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Цепочка разных этапов и площадок.</w:t>
            </w:r>
          </w:p>
        </w:tc>
        <w:tc>
          <w:tcPr>
            <w:tcW w:type="dxa" w:w="30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Оркестратор + checkpoints + lineage.</w:t>
            </w:r>
          </w:p>
        </w:tc>
        <w:tc>
          <w:tcPr>
            <w:tcW w:type="dxa" w:w="22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Critical path, повторяемость.</w:t>
            </w:r>
          </w:p>
        </w:tc>
      </w:tr>
    </w:tbl>
    <w:p>
      <w:pPr>
        <w:spacing w:after="20"/>
      </w:pPr>
    </w:p>
    <w:p>
      <w:pPr>
        <w:pStyle w:val="Source"/>
        <w:spacing w:before="80"/>
      </w:pPr>
      <w:r>
        <w:t>Slurm управляет ресурсами и очередью внутри кластера [5–7]; HTCondor оптимизирует накопленный объём вычислений во времени [8–9]; Kubernetes Jobs — один из backend для завершаемых контейнерных задач [11–13].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11  /  ФЕДЕРАТИВНЫЙ СЛОЙ ДАННЫХ</w:t>
      </w:r>
    </w:p>
    <w:p>
      <w:pPr>
        <w:pStyle w:val="Heading1"/>
        <w:keepLines/>
        <w:widowControl/>
        <w:keepNext/>
      </w:pPr>
      <w:r>
        <w:t>Запрос проходит между контурами, первичные данные остаются у владельца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Каталог. </w:t>
      </w:r>
      <w:r>
        <w:t>публикует Dataset ID, владельца, схему, версию, качество, классификацию, статистику и endpoint без обязательной публикации самих данных.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Семантика. </w:t>
      </w:r>
      <w:r>
        <w:t>доменные словари и версионированные mappings связывают термины; единая гигантская схема не требуется.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План запроса. </w:t>
      </w:r>
      <w:r>
        <w:t>фильтр, проекция, агрегация и допустимый join переносятся к источнику; план и оценка transfer проверяются до запуска.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Data path. </w:t>
      </w:r>
      <w:r>
        <w:t>Arrow Flight/Flight SQL или иные шлюзы передают разрешённые большие потоки; транспорт не заменяет авторизацию.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Материализация. </w:t>
      </w:r>
      <w:r>
        <w:t>согласованные производные наборы и результаты фиксируются как версионированные snapshots; исходники остаются доменными.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Запись. </w:t>
      </w:r>
      <w:r>
        <w:t>междоменный OLTP не считается атомарным без доказанного distributed commit; предпочтительны локальная запись, идемпотентные задания и саги.</w:t>
      </w: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Правило допуска</w:t>
        <w:br/>
      </w:r>
      <w:r>
        <w:rPr>
          <w:rFonts w:ascii="Calibri" w:hAnsi="Calibri" w:eastAsia="Calibri"/>
          <w:color w:val="172033"/>
          <w:sz w:val="21"/>
        </w:rPr>
        <w:t>Full scan, cross-source cross join и неограниченный egress запрещены по умолчанию. Сначала доказываются pushdown, селективность, лимит результата и допустимая стоимость [15–19].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12  /  КОНТРАКТ ДАННЫХ И ПРОИСХОЖДЕНИЕ</w:t>
      </w:r>
    </w:p>
    <w:p>
      <w:pPr>
        <w:pStyle w:val="Heading1"/>
        <w:keepLines/>
        <w:widowControl/>
        <w:keepNext/>
      </w:pPr>
      <w:r>
        <w:t>Каждый вход и результат получает паспорт, а не только имя файла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40"/>
        <w:gridCol w:w="6920"/>
      </w:tblGrid>
      <w:tr>
        <w:trPr>
          <w:tblHeader w:val="true"/>
        </w:trPr>
        <w:tc>
          <w:tcPr>
            <w:tcW w:type="dxa" w:w="24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Поле контракта</w:t>
            </w:r>
          </w:p>
        </w:tc>
        <w:tc>
          <w:tcPr>
            <w:tcW w:type="dxa" w:w="69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Минимальное содержание</w:t>
            </w:r>
          </w:p>
        </w:tc>
      </w:tr>
      <w:tr>
        <w:tc>
          <w:tcPr>
            <w:tcW w:type="dxa" w:w="24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Идентичность</w:t>
            </w:r>
          </w:p>
        </w:tc>
        <w:tc>
          <w:tcPr>
            <w:tcW w:type="dxa" w:w="6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Canonical dataset_id / result_id, владелец, домен, контакт, назначение.</w:t>
            </w:r>
          </w:p>
        </w:tc>
      </w:tr>
      <w:tr>
        <w:tc>
          <w:tcPr>
            <w:tcW w:type="dxa" w:w="24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Версия</w:t>
            </w:r>
          </w:p>
        </w:tc>
        <w:tc>
          <w:tcPr>
            <w:tcW w:type="dxa" w:w="69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Схема, snapshot, временной срез, контрольная сумма, дата актуальности.</w:t>
            </w:r>
          </w:p>
        </w:tc>
      </w:tr>
      <w:tr>
        <w:tc>
          <w:tcPr>
            <w:tcW w:type="dxa" w:w="24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Семантика</w:t>
            </w:r>
          </w:p>
        </w:tc>
        <w:tc>
          <w:tcPr>
            <w:tcW w:type="dxa" w:w="6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Термины словаря, единицы, кодировки, часовой пояс, null/collation semantics.</w:t>
            </w:r>
          </w:p>
        </w:tc>
      </w:tr>
      <w:tr>
        <w:tc>
          <w:tcPr>
            <w:tcW w:type="dxa" w:w="24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Качество</w:t>
            </w:r>
          </w:p>
        </w:tc>
        <w:tc>
          <w:tcPr>
            <w:tcW w:type="dxa" w:w="69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Полнота, точность, допустимые пропуски, статистика и дата её обновления.</w:t>
            </w:r>
          </w:p>
        </w:tc>
      </w:tr>
      <w:tr>
        <w:tc>
          <w:tcPr>
            <w:tcW w:type="dxa" w:w="24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Политика</w:t>
            </w:r>
          </w:p>
        </w:tc>
        <w:tc>
          <w:tcPr>
            <w:tcW w:type="dxa" w:w="6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Класс, цель, субъекты, зоны, срок, egress, маскирование, retention.</w:t>
            </w:r>
          </w:p>
        </w:tc>
      </w:tr>
      <w:tr>
        <w:tc>
          <w:tcPr>
            <w:tcW w:type="dxa" w:w="24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Интерфейс</w:t>
            </w:r>
          </w:p>
        </w:tc>
        <w:tc>
          <w:tcPr>
            <w:tcW w:type="dxa" w:w="69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Endpoint, protocol, query capabilities, pushdown, rate/size limits.</w:t>
            </w:r>
          </w:p>
        </w:tc>
      </w:tr>
      <w:tr>
        <w:tc>
          <w:tcPr>
            <w:tcW w:type="dxa" w:w="24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Lineage</w:t>
            </w:r>
          </w:p>
        </w:tc>
        <w:tc>
          <w:tcPr>
            <w:tcW w:type="dxa" w:w="6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job_id/run_id, код, образ, параметры, входы, выходы, преобразования.</w:t>
            </w:r>
          </w:p>
        </w:tc>
      </w:tr>
      <w:tr>
        <w:tc>
          <w:tcPr>
            <w:tcW w:type="dxa" w:w="24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Выпуск</w:t>
            </w:r>
          </w:p>
        </w:tc>
        <w:tc>
          <w:tcPr>
            <w:tcW w:type="dxa" w:w="69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Валидатор, допуск, ограничения интерпретации, срок действия результата.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Архив наследия</w:t>
        <w:br/>
      </w:r>
      <w:r>
        <w:rPr>
          <w:rFonts w:ascii="Calibri" w:hAnsi="Calibri" w:eastAsia="Calibri"/>
          <w:color w:val="172033"/>
          <w:sz w:val="21"/>
        </w:rPr>
        <w:t>Хранит манифест, версии, решения о доступе, доказательства и разрешённые результаты. Чувствительные исходники могут оставаться у владельца; архив сохраняет ссылку и происхождение [20–22].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13  /  ЖИЗНЕННЫЙ ЦИКЛ ЗАДАНИЯ</w:t>
      </w:r>
    </w:p>
    <w:p>
      <w:pPr>
        <w:pStyle w:val="Heading1"/>
        <w:keepLines/>
        <w:widowControl/>
        <w:keepNext/>
      </w:pPr>
      <w:r>
        <w:t>Восемь шлюзов делают запуск управляемым и оспоримым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20"/>
        <w:gridCol w:w="3640"/>
        <w:gridCol w:w="4200"/>
      </w:tblGrid>
      <w:tr>
        <w:trPr>
          <w:tblHeader w:val="true"/>
        </w:trPr>
        <w:tc>
          <w:tcPr>
            <w:tcW w:type="dxa" w:w="15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Шлюз</w:t>
            </w:r>
          </w:p>
        </w:tc>
        <w:tc>
          <w:tcPr>
            <w:tcW w:type="dxa" w:w="36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Решение</w:t>
            </w:r>
          </w:p>
        </w:tc>
        <w:tc>
          <w:tcPr>
            <w:tcW w:type="dxa" w:w="4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Обязательный след</w:t>
            </w:r>
          </w:p>
        </w:tc>
      </w:tr>
      <w:tr>
        <w:tc>
          <w:tcPr>
            <w:tcW w:type="dxa" w:w="15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J0 · Запрос</w:t>
            </w:r>
          </w:p>
        </w:tc>
        <w:tc>
          <w:tcPr>
            <w:tcW w:type="dxa" w:w="36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Есть владелец вопроса и измеримый результат.</w:t>
            </w:r>
          </w:p>
        </w:tc>
        <w:tc>
          <w:tcPr>
            <w:tcW w:type="dxa" w:w="4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Паспорт запроса.</w:t>
            </w:r>
          </w:p>
        </w:tc>
      </w:tr>
      <w:tr>
        <w:tc>
          <w:tcPr>
            <w:tcW w:type="dxa" w:w="15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J1 · Классификация</w:t>
            </w:r>
          </w:p>
        </w:tc>
        <w:tc>
          <w:tcPr>
            <w:tcW w:type="dxa" w:w="36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Определены нагрузка, данные и зона.</w:t>
            </w:r>
          </w:p>
        </w:tc>
        <w:tc>
          <w:tcPr>
            <w:tcW w:type="dxa" w:w="4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Класс задания и данных.</w:t>
            </w:r>
          </w:p>
        </w:tc>
      </w:tr>
      <w:tr>
        <w:tc>
          <w:tcPr>
            <w:tcW w:type="dxa" w:w="15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J2 · Полномочия</w:t>
            </w:r>
          </w:p>
        </w:tc>
        <w:tc>
          <w:tcPr>
            <w:tcW w:type="dxa" w:w="36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Субъект и цель допущены.</w:t>
            </w:r>
          </w:p>
        </w:tc>
        <w:tc>
          <w:tcPr>
            <w:tcW w:type="dxa" w:w="4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Policy decision + основание.</w:t>
            </w:r>
          </w:p>
        </w:tc>
      </w:tr>
      <w:tr>
        <w:tc>
          <w:tcPr>
            <w:tcW w:type="dxa" w:w="15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J3 · План</w:t>
            </w:r>
          </w:p>
        </w:tc>
        <w:tc>
          <w:tcPr>
            <w:tcW w:type="dxa" w:w="36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Выбран допустимый маршрут и backend.</w:t>
            </w:r>
          </w:p>
        </w:tc>
        <w:tc>
          <w:tcPr>
            <w:tcW w:type="dxa" w:w="4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План, оценки времени/цены/egress.</w:t>
            </w:r>
          </w:p>
        </w:tc>
      </w:tr>
      <w:tr>
        <w:tc>
          <w:tcPr>
            <w:tcW w:type="dxa" w:w="15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J4 · Резерв</w:t>
            </w:r>
          </w:p>
        </w:tc>
        <w:tc>
          <w:tcPr>
            <w:tcW w:type="dxa" w:w="36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Выделены квоты, устройства, данные и окно.</w:t>
            </w:r>
          </w:p>
        </w:tc>
        <w:tc>
          <w:tcPr>
            <w:tcW w:type="dxa" w:w="4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Reservation / allocation IDs.</w:t>
            </w:r>
          </w:p>
        </w:tc>
      </w:tr>
      <w:tr>
        <w:tc>
          <w:tcPr>
            <w:tcW w:type="dxa" w:w="15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J5 · Выполнение</w:t>
            </w:r>
          </w:p>
        </w:tc>
        <w:tc>
          <w:tcPr>
            <w:tcW w:type="dxa" w:w="36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Задание в пределах политики и SLA.</w:t>
            </w:r>
          </w:p>
        </w:tc>
        <w:tc>
          <w:tcPr>
            <w:tcW w:type="dxa" w:w="4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Telemetry, events, checkpoints.</w:t>
            </w:r>
          </w:p>
        </w:tc>
      </w:tr>
      <w:tr>
        <w:tc>
          <w:tcPr>
            <w:tcW w:type="dxa" w:w="15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J6 · Проверка</w:t>
            </w:r>
          </w:p>
        </w:tc>
        <w:tc>
          <w:tcPr>
            <w:tcW w:type="dxa" w:w="36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Результат корректен и безопасен к выпуску.</w:t>
            </w:r>
          </w:p>
        </w:tc>
        <w:tc>
          <w:tcPr>
            <w:tcW w:type="dxa" w:w="4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Тесты, validator, checksum.</w:t>
            </w:r>
          </w:p>
        </w:tc>
      </w:tr>
      <w:tr>
        <w:tc>
          <w:tcPr>
            <w:tcW w:type="dxa" w:w="15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J7 · Архив</w:t>
            </w:r>
          </w:p>
        </w:tc>
        <w:tc>
          <w:tcPr>
            <w:tcW w:type="dxa" w:w="36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Цепочка воспроизводима; доступы отозваны.</w:t>
            </w:r>
          </w:p>
        </w:tc>
        <w:tc>
          <w:tcPr>
            <w:tcW w:type="dxa" w:w="4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Manifest, lineage, release record.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Fail closed</w:t>
        <w:br/>
      </w:r>
      <w:r>
        <w:rPr>
          <w:rFonts w:ascii="Calibri" w:hAnsi="Calibri" w:eastAsia="Calibri"/>
          <w:color w:val="172033"/>
          <w:sz w:val="21"/>
        </w:rPr>
        <w:t>Если отсутствует обязательный атрибут, политика, статистика, подпись, валидатор или лимит выхода, задание не переходит к следующему шлюзу.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14  /  СУВЕРЕНИТЕТ И БЕЗОПАСНОСТЬ</w:t>
      </w:r>
    </w:p>
    <w:p>
      <w:pPr>
        <w:pStyle w:val="Heading1"/>
        <w:keepLines/>
        <w:widowControl/>
        <w:keepNext/>
      </w:pPr>
      <w:r>
        <w:t>Защита строится вокруг ресурса, данных и выпуска результата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Идентичность. </w:t>
      </w:r>
      <w:r>
        <w:t>короткоживущие сервисные учётные данные, mTLS, федерация доверия, атрибуты и быстрый отзыв.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Авторизация. </w:t>
      </w:r>
      <w:r>
        <w:t>policy decision для каждого вызова и задания; локальная точка применения не доверяет центральному решению без проверки.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Изоляция. </w:t>
      </w:r>
      <w:r>
        <w:t>разделение tenant/job, sandbox, network policy, защищённые секреты, подписанные образы и allowlist артефактов.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Данные. </w:t>
      </w:r>
      <w:r>
        <w:t>классификация, минимизация, маскирование, encryption, ключи в локальном контуре и контроль egress.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Результат. </w:t>
      </w:r>
      <w:r>
        <w:t>проверка на раскрытие, агрегирование, лимиты строк/объёма, маркировка, утверждение владельца.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Supply chain. </w:t>
      </w:r>
      <w:r>
        <w:t>версия исходного кода, SBOM, подпись сборки, сканирование, provenance и воспроизводимый образ.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Инцидент. </w:t>
      </w:r>
      <w:r>
        <w:t>изоляция задания, отзыв credentials, сохранение доказательств, уведомление владельцев и независимый разбор.</w:t>
      </w: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Российский контур</w:t>
        <w:br/>
      </w:r>
      <w:r>
        <w:rPr>
          <w:rFonts w:ascii="Calibri" w:hAnsi="Calibri" w:eastAsia="Calibri"/>
          <w:color w:val="172033"/>
          <w:sz w:val="21"/>
        </w:rPr>
        <w:t>До пилота требуется правовая классификация данных и систем с учётом 149-ФЗ, 152-ФЗ, 187-ФЗ и подзаконных требований. Этот документ не является юридическим заключением [25–27].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15  /  НАДЁЖНОСТЬ И ОТКАЗОУСТОЙЧИВОСТЬ</w:t>
      </w:r>
    </w:p>
    <w:p>
      <w:pPr>
        <w:pStyle w:val="Heading1"/>
        <w:keepLines/>
        <w:widowControl/>
        <w:keepNext/>
      </w:pPr>
      <w:r>
        <w:t>Отказ одного домена не должен превращаться в отказ всей федерации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20"/>
        <w:gridCol w:w="4440"/>
        <w:gridCol w:w="3000"/>
      </w:tblGrid>
      <w:tr>
        <w:trPr>
          <w:tblHeader w:val="true"/>
        </w:trPr>
        <w:tc>
          <w:tcPr>
            <w:tcW w:type="dxa" w:w="19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Сбой</w:t>
            </w:r>
          </w:p>
        </w:tc>
        <w:tc>
          <w:tcPr>
            <w:tcW w:type="dxa" w:w="44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Реакция</w:t>
            </w:r>
          </w:p>
        </w:tc>
        <w:tc>
          <w:tcPr>
            <w:tcW w:type="dxa" w:w="30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Проверка пилота</w:t>
            </w:r>
          </w:p>
        </w:tc>
      </w:tr>
      <w:tr>
        <w:tc>
          <w:tcPr>
            <w:tcW w:type="dxa" w:w="1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Недоступна площадка</w:t>
            </w:r>
          </w:p>
        </w:tc>
        <w:tc>
          <w:tcPr>
            <w:tcW w:type="dxa" w:w="44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Перепланирование только на совместимый и разрешённый ресурс.</w:t>
            </w:r>
          </w:p>
        </w:tc>
        <w:tc>
          <w:tcPr>
            <w:tcW w:type="dxa" w:w="3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Искусственное отключение домена.</w:t>
            </w:r>
          </w:p>
        </w:tc>
      </w:tr>
      <w:tr>
        <w:tc>
          <w:tcPr>
            <w:tcW w:type="dxa" w:w="19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Разрыв сети</w:t>
            </w:r>
          </w:p>
        </w:tc>
        <w:tc>
          <w:tcPr>
            <w:tcW w:type="dxa" w:w="44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Локальное продолжение, буфер событий, checkpoint или безопасная остановка.</w:t>
            </w:r>
          </w:p>
        </w:tc>
        <w:tc>
          <w:tcPr>
            <w:tcW w:type="dxa" w:w="30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Ограничение канала/потеря связи.</w:t>
            </w:r>
          </w:p>
        </w:tc>
      </w:tr>
      <w:tr>
        <w:tc>
          <w:tcPr>
            <w:tcW w:type="dxa" w:w="1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Сбой узла</w:t>
            </w:r>
          </w:p>
        </w:tc>
        <w:tc>
          <w:tcPr>
            <w:tcW w:type="dxa" w:w="44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Повтор шага, восстановление из checkpoint, идемпотентность.</w:t>
            </w:r>
          </w:p>
        </w:tc>
        <w:tc>
          <w:tcPr>
            <w:tcW w:type="dxa" w:w="3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Kill node / pod / task.</w:t>
            </w:r>
          </w:p>
        </w:tc>
      </w:tr>
      <w:tr>
        <w:tc>
          <w:tcPr>
            <w:tcW w:type="dxa" w:w="19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Истёк допуск</w:t>
            </w:r>
          </w:p>
        </w:tc>
        <w:tc>
          <w:tcPr>
            <w:tcW w:type="dxa" w:w="44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Новый policy decision; без него — остановка и отзыв.</w:t>
            </w:r>
          </w:p>
        </w:tc>
        <w:tc>
          <w:tcPr>
            <w:tcW w:type="dxa" w:w="30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Отзыв роли во время задания.</w:t>
            </w:r>
          </w:p>
        </w:tc>
      </w:tr>
      <w:tr>
        <w:tc>
          <w:tcPr>
            <w:tcW w:type="dxa" w:w="1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Изменилась схема</w:t>
            </w:r>
          </w:p>
        </w:tc>
        <w:tc>
          <w:tcPr>
            <w:tcW w:type="dxa" w:w="44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Fail fast или версионированный adapter; запись факта несовместимости.</w:t>
            </w:r>
          </w:p>
        </w:tc>
        <w:tc>
          <w:tcPr>
            <w:tcW w:type="dxa" w:w="3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Контролируемый schema drift.</w:t>
            </w:r>
          </w:p>
        </w:tc>
      </w:tr>
      <w:tr>
        <w:tc>
          <w:tcPr>
            <w:tcW w:type="dxa" w:w="19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Недостоверный результат</w:t>
            </w:r>
          </w:p>
        </w:tc>
        <w:tc>
          <w:tcPr>
            <w:tcW w:type="dxa" w:w="44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Карантин, повтор, независимая проверка и запрет выпуска.</w:t>
            </w:r>
          </w:p>
        </w:tc>
        <w:tc>
          <w:tcPr>
            <w:tcW w:type="dxa" w:w="30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Fault injection / corrupted output.</w:t>
            </w:r>
          </w:p>
        </w:tc>
      </w:tr>
      <w:tr>
        <w:tc>
          <w:tcPr>
            <w:tcW w:type="dxa" w:w="1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Сбой control plane</w:t>
            </w:r>
          </w:p>
        </w:tc>
        <w:tc>
          <w:tcPr>
            <w:tcW w:type="dxa" w:w="44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Резервирование состояния; локальные задания не получают новых привилегий.</w:t>
            </w:r>
          </w:p>
        </w:tc>
        <w:tc>
          <w:tcPr>
            <w:tcW w:type="dxa" w:w="3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Перезапуск оркестратора.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2F4F7"/>
        <w:pBdr>
          <w:left w:val="single" w:sz="18" w:space="10" w:color="6DCBF4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Формула</w:t>
        <w:br/>
      </w:r>
      <w:r>
        <w:rPr>
          <w:rFonts w:ascii="Calibri" w:hAnsi="Calibri" w:eastAsia="Calibri"/>
          <w:color w:val="172033"/>
          <w:sz w:val="21"/>
        </w:rPr>
        <w:t>НАДЁЖНОСТЬ = ИДЕМПОТЕНТНОСТЬ + CHECKPOINT + ЛОКАЛИЗАЦИЯ ОТКАЗА + НАБЛЮДАЕМОСТЬ + ПРОВЕРКА</w:t>
      </w:r>
    </w:p>
    <w:p>
      <w:r>
        <w:br w:type="page"/>
      </w:r>
    </w:p>
    <w:p>
      <w:pPr>
        <w:pStyle w:val="Eyebrow"/>
        <w:keepLines/>
        <w:widowControl/>
        <w:keepNext/>
      </w:pPr>
      <w:r>
        <w:t>16  /  НАБЛЮДАЕМОСТЬ И РЕСУРСНЫЙ УЧЁТ</w:t>
      </w:r>
    </w:p>
    <w:p>
      <w:pPr>
        <w:pStyle w:val="Heading1"/>
        <w:keepLines/>
        <w:widowControl/>
        <w:keepNext/>
      </w:pPr>
      <w:r>
        <w:t>Единый trace связывает вопрос, план, запуск, данные и результат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3980"/>
        <w:gridCol w:w="3830"/>
      </w:tblGrid>
      <w:tr>
        <w:trPr>
          <w:tblHeader w:val="true"/>
        </w:trPr>
        <w:tc>
          <w:tcPr>
            <w:tcW w:type="dxa" w:w="15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Сигнал</w:t>
            </w:r>
          </w:p>
        </w:tc>
        <w:tc>
          <w:tcPr>
            <w:tcW w:type="dxa" w:w="39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Что измерять</w:t>
            </w:r>
          </w:p>
        </w:tc>
        <w:tc>
          <w:tcPr>
            <w:tcW w:type="dxa" w:w="38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Управленческий смысл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Trace</w:t>
            </w:r>
          </w:p>
        </w:tc>
        <w:tc>
          <w:tcPr>
            <w:tcW w:type="dxa" w:w="39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job_id/run_id, шлюзы, адаптеры, backend, data endpoints.</w:t>
            </w:r>
          </w:p>
        </w:tc>
        <w:tc>
          <w:tcPr>
            <w:tcW w:type="dxa" w:w="38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Где возникла задержка или отказ.</w:t>
            </w:r>
          </w:p>
        </w:tc>
      </w:tr>
      <w:tr>
        <w:tc>
          <w:tcPr>
            <w:tcW w:type="dxa" w:w="1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Metrics</w:t>
            </w:r>
          </w:p>
        </w:tc>
        <w:tc>
          <w:tcPr>
            <w:tcW w:type="dxa" w:w="39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queue time, wall time, CPU/GPU/memory, bytes moved, retries.</w:t>
            </w:r>
          </w:p>
        </w:tc>
        <w:tc>
          <w:tcPr>
            <w:tcW w:type="dxa" w:w="38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Эффективность и узкие места.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Logs</w:t>
            </w:r>
          </w:p>
        </w:tc>
        <w:tc>
          <w:tcPr>
            <w:tcW w:type="dxa" w:w="39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решения политики, события планировщиков, ошибки, ручные действия.</w:t>
            </w:r>
          </w:p>
        </w:tc>
        <w:tc>
          <w:tcPr>
            <w:tcW w:type="dxa" w:w="38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Расследование и ответственность.</w:t>
            </w:r>
          </w:p>
        </w:tc>
      </w:tr>
      <w:tr>
        <w:tc>
          <w:tcPr>
            <w:tcW w:type="dxa" w:w="1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Profiles</w:t>
            </w:r>
          </w:p>
        </w:tc>
        <w:tc>
          <w:tcPr>
            <w:tcW w:type="dxa" w:w="39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ресурсное потребление кода и горячие участки.</w:t>
            </w:r>
          </w:p>
        </w:tc>
        <w:tc>
          <w:tcPr>
            <w:tcW w:type="dxa" w:w="38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Оптимизация приложения.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Accounting</w:t>
            </w:r>
          </w:p>
        </w:tc>
        <w:tc>
          <w:tcPr>
            <w:tcW w:type="dxa" w:w="39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ресурс-время, лицензии, egress, энергия, ставка площадки.</w:t>
            </w:r>
          </w:p>
        </w:tc>
        <w:tc>
          <w:tcPr>
            <w:tcW w:type="dxa" w:w="38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Стоимость задания и квоты.</w:t>
            </w:r>
          </w:p>
        </w:tc>
      </w:tr>
      <w:tr>
        <w:tc>
          <w:tcPr>
            <w:tcW w:type="dxa" w:w="1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Lineage</w:t>
            </w:r>
          </w:p>
        </w:tc>
        <w:tc>
          <w:tcPr>
            <w:tcW w:type="dxa" w:w="39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версии входов, кода, образа, параметров и выходов.</w:t>
            </w:r>
          </w:p>
        </w:tc>
        <w:tc>
          <w:tcPr>
            <w:tcW w:type="dxa" w:w="38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Воспроизводимость результата.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Единица расчёта</w:t>
        <w:br/>
      </w:r>
      <w:r>
        <w:rPr>
          <w:rFonts w:ascii="Calibri" w:hAnsi="Calibri" w:eastAsia="Calibri"/>
          <w:color w:val="172033"/>
          <w:sz w:val="21"/>
        </w:rPr>
        <w:t>Учётная запись относится к конкретному job/run и подтверждается локальной площадкой. Предлагаемый пилотный допуск расхождения сводного и локального учёта — не более ±5%.</w:t>
      </w:r>
    </w:p>
    <w:p>
      <w:pPr>
        <w:pStyle w:val="Source"/>
        <w:spacing w:before="80"/>
      </w:pPr>
      <w:r>
        <w:t>OpenTelemetry связывает traces, metrics и logs через общий контекст [23]; Slurm поддерживает учёт ресурсов заданий и шагов [7].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17  /  ТОПОЛОГИЯ ПИЛОТА</w:t>
      </w:r>
    </w:p>
    <w:p>
      <w:pPr>
        <w:pStyle w:val="Heading1"/>
        <w:keepLines/>
        <w:widowControl/>
        <w:keepNext/>
      </w:pPr>
      <w:r>
        <w:t>Три домена достаточно, чтобы проверить сам принцип федерации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3210"/>
        <w:gridCol w:w="1900"/>
        <w:gridCol w:w="2700"/>
      </w:tblGrid>
      <w:tr>
        <w:trPr>
          <w:tblHeader w:val="true"/>
        </w:trPr>
        <w:tc>
          <w:tcPr>
            <w:tcW w:type="dxa" w:w="15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Домен</w:t>
            </w:r>
          </w:p>
        </w:tc>
        <w:tc>
          <w:tcPr>
            <w:tcW w:type="dxa" w:w="32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Ресурс и локальный контроль</w:t>
            </w:r>
          </w:p>
        </w:tc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Адаптер</w:t>
            </w:r>
          </w:p>
        </w:tc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Проверяемая гипотеза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A · HPC/CPU</w:t>
            </w:r>
          </w:p>
        </w:tc>
        <w:tc>
          <w:tcPr>
            <w:tcW w:type="dxa" w:w="32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Slurm, MPI, параллельная ФС, локальная IAM/QoS.</w:t>
            </w:r>
          </w:p>
        </w:tc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Grid→Slurm.</w:t>
            </w:r>
          </w:p>
        </w:tc>
        <w:tc>
          <w:tcPr>
            <w:tcW w:type="dxa" w:w="2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Тесно связанная задача остаётся на одной площадке.</w:t>
            </w:r>
          </w:p>
        </w:tc>
      </w:tr>
      <w:tr>
        <w:tc>
          <w:tcPr>
            <w:tcW w:type="dxa" w:w="1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B · GPU/контейнеры</w:t>
            </w:r>
          </w:p>
        </w:tc>
        <w:tc>
          <w:tcPr>
            <w:tcW w:type="dxa" w:w="32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Kubernetes Jobs или GPU-раздел Slurm, registry, device plugins.</w:t>
            </w:r>
          </w:p>
        </w:tc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Grid→K8s/Slurm.</w:t>
            </w:r>
          </w:p>
        </w:tc>
        <w:tc>
          <w:tcPr>
            <w:tcW w:type="dxa" w:w="27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Подбор ускорителя и воспроизводимого образа.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C · Данные/edge</w:t>
            </w:r>
          </w:p>
        </w:tc>
        <w:tc>
          <w:tcPr>
            <w:tcW w:type="dxa" w:w="32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Доменная БД/объектное хранилище, собственная политика и шлюз.</w:t>
            </w:r>
          </w:p>
        </w:tc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Federated query/Flight.</w:t>
            </w:r>
          </w:p>
        </w:tc>
        <w:tc>
          <w:tcPr>
            <w:tcW w:type="dxa" w:w="2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Вычисление к данным и выпуск проекции.</w:t>
            </w:r>
          </w:p>
        </w:tc>
      </w:tr>
    </w:tbl>
    <w:p>
      <w:pPr>
        <w:spacing w:after="20"/>
      </w:pP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Общий слой.</w:t>
      </w:r>
      <w:r>
        <w:t xml:space="preserve"> Федеративная идентичность, каталоги, policy engine, брокер, оркестратор, telemetry и lineage.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Локальный слой.</w:t>
      </w:r>
      <w:r>
        <w:t xml:space="preserve"> Владельцы сохраняют планировщики, данные, ключи, квоты, журналы и право STOP.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Независимый контроль.</w:t>
      </w:r>
      <w:r>
        <w:t xml:space="preserve"> Отдельно проверяет безопасность, измерения, воспроизводимость и критерии GO.</w:t>
      </w: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Не входит автоматически</w:t>
        <w:br/>
      </w:r>
      <w:r>
        <w:rPr>
          <w:rFonts w:ascii="Calibri" w:hAnsi="Calibri" w:eastAsia="Calibri"/>
          <w:color w:val="172033"/>
          <w:sz w:val="21"/>
        </w:rPr>
        <w:t>Критическая КИИ, боевые персональные данные, межконтурный OLTP и обещание производственного SLA. Их подключение требует отдельного допуска.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18  /  ТРИ СКВОЗНЫХ СЦЕНАРИЯ</w:t>
      </w:r>
    </w:p>
    <w:p>
      <w:pPr>
        <w:pStyle w:val="Heading1"/>
        <w:keepLines/>
        <w:widowControl/>
        <w:keepNext/>
      </w:pPr>
      <w:r>
        <w:t>Пилот проверяет разные вычислительные режимы одной системой правил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50"/>
        <w:gridCol w:w="3500"/>
        <w:gridCol w:w="3410"/>
      </w:tblGrid>
      <w:tr>
        <w:trPr>
          <w:tblHeader w:val="true"/>
        </w:trPr>
        <w:tc>
          <w:tcPr>
            <w:tcW w:type="dxa" w:w="24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Сценарий</w:t>
            </w:r>
          </w:p>
        </w:tc>
        <w:tc>
          <w:tcPr>
            <w:tcW w:type="dxa" w:w="3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Маршрут</w:t>
            </w:r>
          </w:p>
        </w:tc>
        <w:tc>
          <w:tcPr>
            <w:tcW w:type="dxa" w:w="34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Проверяемый результат</w:t>
            </w:r>
          </w:p>
        </w:tc>
      </w:tr>
      <w:tr>
        <w:tc>
          <w:tcPr>
            <w:tcW w:type="dxa" w:w="2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1. Ансамблевое моделирование биосферного риска</w:t>
            </w:r>
          </w:p>
        </w:tc>
        <w:tc>
          <w:tcPr>
            <w:tcW w:type="dxa" w:w="3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Сотни независимых вариантов → HTC; агрегирование → HPC/аналитический узел.</w:t>
            </w:r>
          </w:p>
        </w:tc>
        <w:tc>
          <w:tcPr>
            <w:tcW w:type="dxa" w:w="34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Сокращение time-to-first-result, успешность повторов, lineage каждого варианта.</w:t>
            </w:r>
          </w:p>
        </w:tc>
      </w:tr>
      <w:tr>
        <w:tc>
          <w:tcPr>
            <w:tcW w:type="dxa" w:w="24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2. GPU-анализ пространственных данных</w:t>
            </w:r>
          </w:p>
        </w:tc>
        <w:tc>
          <w:tcPr>
            <w:tcW w:type="dxa" w:w="35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Контейнер и модель к разрешённому GPU/данным; выпуск маски/агрегата.</w:t>
            </w:r>
          </w:p>
        </w:tc>
        <w:tc>
          <w:tcPr>
            <w:tcW w:type="dxa" w:w="34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Подбор устройства, контроль образа, отсутствие неразрешённого вывода исходников.</w:t>
            </w:r>
          </w:p>
        </w:tc>
      </w:tr>
      <w:tr>
        <w:tc>
          <w:tcPr>
            <w:tcW w:type="dxa" w:w="2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3. Федеративная аналитика воды, почв и биоразнообразия</w:t>
            </w:r>
          </w:p>
        </w:tc>
        <w:tc>
          <w:tcPr>
            <w:tcW w:type="dxa" w:w="3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Каталог → pushdown к доменным источникам → согласованный результат.</w:t>
            </w:r>
          </w:p>
        </w:tc>
        <w:tc>
          <w:tcPr>
            <w:tcW w:type="dxa" w:w="34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Объём перемещения, корректность семантики, план запроса и воспроизводимость.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Baseline</w:t>
        <w:br/>
      </w:r>
      <w:r>
        <w:rPr>
          <w:rFonts w:ascii="Calibri" w:hAnsi="Calibri" w:eastAsia="Calibri"/>
          <w:color w:val="172033"/>
          <w:sz w:val="21"/>
        </w:rPr>
        <w:t>До интеграции каждый сценарий выполняется существующим способом. Сравнение строится с зафиксированной базой по времени, ручному труду, bytes moved, стоимости и качеству результата.</w:t>
      </w:r>
    </w:p>
    <w:p>
      <w:pPr>
        <w:pStyle w:val="Source"/>
        <w:spacing w:before="80"/>
      </w:pPr>
      <w:r>
        <w:t>Сценарии являются предложением для апробации, а не заявлением о достигнутой производительности.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19  /  ПЛАН НА 90 ДНЕЙ</w:t>
      </w:r>
    </w:p>
    <w:p>
      <w:pPr>
        <w:pStyle w:val="Heading1"/>
        <w:keepLines/>
        <w:widowControl/>
        <w:keepNext/>
      </w:pPr>
      <w:r>
        <w:t>Пять контрольных этапов ведут от паспорта к независимому решению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5300"/>
        <w:gridCol w:w="2560"/>
      </w:tblGrid>
      <w:tr>
        <w:trPr>
          <w:tblHeader w:val="true"/>
        </w:trPr>
        <w:tc>
          <w:tcPr>
            <w:tcW w:type="dxa" w:w="1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Период</w:t>
            </w:r>
          </w:p>
        </w:tc>
        <w:tc>
          <w:tcPr>
            <w:tcW w:type="dxa" w:w="53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Работы</w:t>
            </w:r>
          </w:p>
        </w:tc>
        <w:tc>
          <w:tcPr>
            <w:tcW w:type="dxa" w:w="25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Контрольный выход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Дни 1–15</w:t>
            </w:r>
          </w:p>
        </w:tc>
        <w:tc>
          <w:tcPr>
            <w:tcW w:type="dxa" w:w="5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Три задачи, baseline, владельцы, классификация данных, границы, SLA и STOP-критерии.</w:t>
            </w:r>
          </w:p>
        </w:tc>
        <w:tc>
          <w:tcPr>
            <w:tcW w:type="dxa" w:w="2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Паспорт пилота и архитектурные решения.</w:t>
            </w:r>
          </w:p>
        </w:tc>
      </w:tr>
      <w:tr>
        <w:tc>
          <w:tcPr>
            <w:tcW w:type="dxa" w:w="15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Дни 16–30</w:t>
            </w:r>
          </w:p>
        </w:tc>
        <w:tc>
          <w:tcPr>
            <w:tcW w:type="dxa" w:w="5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Подключение доменов, федеративная идентичность, каталоги ресурсов/данных, policy model.</w:t>
            </w:r>
          </w:p>
        </w:tc>
        <w:tc>
          <w:tcPr>
            <w:tcW w:type="dxa" w:w="25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Три зарегистрированных узла и сухие допуски.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Дни 31–55</w:t>
            </w:r>
          </w:p>
        </w:tc>
        <w:tc>
          <w:tcPr>
            <w:tcW w:type="dxa" w:w="5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Брокер, адаптеры, workflow, telemetry, accounting, lineage и первый сквозной запуск.</w:t>
            </w:r>
          </w:p>
        </w:tc>
        <w:tc>
          <w:tcPr>
            <w:tcW w:type="dxa" w:w="2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Рабочий прототип и манифест результата.</w:t>
            </w:r>
          </w:p>
        </w:tc>
      </w:tr>
      <w:tr>
        <w:tc>
          <w:tcPr>
            <w:tcW w:type="dxa" w:w="15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Дни 56–75</w:t>
            </w:r>
          </w:p>
        </w:tc>
        <w:tc>
          <w:tcPr>
            <w:tcW w:type="dxa" w:w="5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Повторные прогоны, нагрузка, отказ узла, разрыв сети, отзыв полномочий, контроль egress.</w:t>
            </w:r>
          </w:p>
        </w:tc>
        <w:tc>
          <w:tcPr>
            <w:tcW w:type="dxa" w:w="25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Протокол устойчивости и безопасности.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Дни 76–90</w:t>
            </w:r>
          </w:p>
        </w:tc>
        <w:tc>
          <w:tcPr>
            <w:tcW w:type="dxa" w:w="5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Независимая проверка, воспроизводимость, стоимость, runbooks, модель ответственности.</w:t>
            </w:r>
          </w:p>
        </w:tc>
        <w:tc>
          <w:tcPr>
            <w:tcW w:type="dxa" w:w="2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Заключение GO / CONDITIONAL GO / STOP.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Управление изменениями</w:t>
        <w:br/>
      </w:r>
      <w:r>
        <w:rPr>
          <w:rFonts w:ascii="Calibri" w:hAnsi="Calibri" w:eastAsia="Calibri"/>
          <w:color w:val="172033"/>
          <w:sz w:val="21"/>
        </w:rPr>
        <w:t>Любое расширение данных, площадок, полномочий или публичных обещаний оформляется как новая версия периметра и проходит повторный допуск.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20  /  KPI И КРИТЕРИИ ПРИЁМКИ</w:t>
      </w:r>
    </w:p>
    <w:p>
      <w:pPr>
        <w:pStyle w:val="Heading1"/>
        <w:keepLines/>
        <w:widowControl/>
        <w:keepNext/>
      </w:pPr>
      <w:r>
        <w:t>GO требует одновременно функционального, безопасного и экономического результата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50"/>
        <w:gridCol w:w="6810"/>
      </w:tblGrid>
      <w:tr>
        <w:trPr>
          <w:tblHeader w:val="true"/>
        </w:trPr>
        <w:tc>
          <w:tcPr>
            <w:tcW w:type="dxa" w:w="25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Критерий</w:t>
            </w:r>
          </w:p>
        </w:tc>
        <w:tc>
          <w:tcPr>
            <w:tcW w:type="dxa" w:w="68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Предлагаемый порог пилота</w:t>
            </w:r>
          </w:p>
        </w:tc>
      </w:tr>
      <w:tr>
        <w:tc>
          <w:tcPr>
            <w:tcW w:type="dxa" w:w="2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Федерация</w:t>
            </w:r>
          </w:p>
        </w:tc>
        <w:tc>
          <w:tcPr>
            <w:tcW w:type="dxa" w:w="68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Подключены ≥3 независимых административных домена; локальные политики сохраняются.</w:t>
            </w:r>
          </w:p>
        </w:tc>
      </w:tr>
      <w:tr>
        <w:tc>
          <w:tcPr>
            <w:tcW w:type="dxa" w:w="2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Сценарии</w:t>
            </w:r>
          </w:p>
        </w:tc>
        <w:tc>
          <w:tcPr>
            <w:tcW w:type="dxa" w:w="68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Выполнены 3 сквозных сценария разных классов нагрузки.</w:t>
            </w:r>
          </w:p>
        </w:tc>
      </w:tr>
      <w:tr>
        <w:tc>
          <w:tcPr>
            <w:tcW w:type="dxa" w:w="2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Надёжность</w:t>
            </w:r>
          </w:p>
        </w:tc>
        <w:tc>
          <w:tcPr>
            <w:tcW w:type="dxa" w:w="68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После стабилизации ≥95% запусков завершаются без ручного восстановления.</w:t>
            </w:r>
          </w:p>
        </w:tc>
      </w:tr>
      <w:tr>
        <w:tc>
          <w:tcPr>
            <w:tcW w:type="dxa" w:w="2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Скорость</w:t>
            </w:r>
          </w:p>
        </w:tc>
        <w:tc>
          <w:tcPr>
            <w:tcW w:type="dxa" w:w="68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Для 2 из 3 сценариев time-to-first-result лучше baseline минимум на 30%.</w:t>
            </w:r>
          </w:p>
        </w:tc>
      </w:tr>
      <w:tr>
        <w:tc>
          <w:tcPr>
            <w:tcW w:type="dxa" w:w="2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Суверенитет</w:t>
            </w:r>
          </w:p>
        </w:tc>
        <w:tc>
          <w:tcPr>
            <w:tcW w:type="dxa" w:w="68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0 неразрешённых перемещений первичных данных между контурами.</w:t>
            </w:r>
          </w:p>
        </w:tc>
      </w:tr>
      <w:tr>
        <w:tc>
          <w:tcPr>
            <w:tcW w:type="dxa" w:w="2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Политика</w:t>
            </w:r>
          </w:p>
        </w:tc>
        <w:tc>
          <w:tcPr>
            <w:tcW w:type="dxa" w:w="68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100% межконтурных операций проверены и журналированы.</w:t>
            </w:r>
          </w:p>
        </w:tc>
      </w:tr>
      <w:tr>
        <w:tc>
          <w:tcPr>
            <w:tcW w:type="dxa" w:w="2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Lineage</w:t>
            </w:r>
          </w:p>
        </w:tc>
        <w:tc>
          <w:tcPr>
            <w:tcW w:type="dxa" w:w="68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100% выпущенных результатов имеют владельца, входы, код, параметры и версии.</w:t>
            </w:r>
          </w:p>
        </w:tc>
      </w:tr>
      <w:tr>
        <w:tc>
          <w:tcPr>
            <w:tcW w:type="dxa" w:w="2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Воспроизводимость</w:t>
            </w:r>
          </w:p>
        </w:tc>
        <w:tc>
          <w:tcPr>
            <w:tcW w:type="dxa" w:w="68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≥90% контрольных результатов повторяются в установленном допуске.</w:t>
            </w:r>
          </w:p>
        </w:tc>
      </w:tr>
      <w:tr>
        <w:tc>
          <w:tcPr>
            <w:tcW w:type="dxa" w:w="2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Подключаемость</w:t>
            </w:r>
          </w:p>
        </w:tc>
        <w:tc>
          <w:tcPr>
            <w:tcW w:type="dxa" w:w="68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Новый совместимый узел подключается ≤5 рабочих дней по инструкции.</w:t>
            </w:r>
          </w:p>
        </w:tc>
      </w:tr>
      <w:tr>
        <w:tc>
          <w:tcPr>
            <w:tcW w:type="dxa" w:w="2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Учёт</w:t>
            </w:r>
          </w:p>
        </w:tc>
        <w:tc>
          <w:tcPr>
            <w:tcW w:type="dxa" w:w="68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Расхождение сводного и локального учёта ресурса/стоимости ≤±5%.</w:t>
            </w:r>
          </w:p>
        </w:tc>
      </w:tr>
      <w:tr>
        <w:tc>
          <w:tcPr>
            <w:tcW w:type="dxa" w:w="2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Безопасность</w:t>
            </w:r>
          </w:p>
        </w:tc>
        <w:tc>
          <w:tcPr>
            <w:tcW w:type="dxa" w:w="68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Нет незакрытых критических замечаний; есть независимый протокол.</w:t>
            </w:r>
          </w:p>
        </w:tc>
      </w:tr>
    </w:tbl>
    <w:p>
      <w:pPr>
        <w:spacing w:after="20"/>
      </w:pPr>
    </w:p>
    <w:p>
      <w:pPr>
        <w:pStyle w:val="Source"/>
        <w:spacing w:before="80"/>
      </w:pPr>
      <w:r>
        <w:t>Все численные пороги — проектные критерии пилота. Они не являются отраслевым стандартом и корректируются до старта вместе с baseline.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21  /  РИСКИ И МОДЕЛЬ УПРАВЛЕНИЯ</w:t>
      </w:r>
    </w:p>
    <w:p>
      <w:pPr>
        <w:pStyle w:val="Heading1"/>
        <w:keepLines/>
        <w:widowControl/>
        <w:keepNext/>
      </w:pPr>
      <w:r>
        <w:t>Главный риск — создать видимость единства там, где нужны явные границы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3300"/>
        <w:gridCol w:w="4010"/>
      </w:tblGrid>
      <w:tr>
        <w:trPr>
          <w:tblHeader w:val="true"/>
        </w:trPr>
        <w:tc>
          <w:tcPr>
            <w:tcW w:type="dxa" w:w="20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Риск</w:t>
            </w:r>
          </w:p>
        </w:tc>
        <w:tc>
          <w:tcPr>
            <w:tcW w:type="dxa" w:w="33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Ранний сигнал</w:t>
            </w:r>
          </w:p>
        </w:tc>
        <w:tc>
          <w:tcPr>
            <w:tcW w:type="dxa" w:w="40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Мера управления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Глобальный root</w:t>
            </w:r>
          </w:p>
        </w:tc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Центр требует постоянных привилегий на всех узлах.</w:t>
            </w:r>
          </w:p>
        </w:tc>
        <w:tc>
          <w:tcPr>
            <w:tcW w:type="dxa" w:w="40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Короткоживущие права, локальные PEP, разделение ролей.</w:t>
            </w:r>
          </w:p>
        </w:tc>
      </w:tr>
      <w:tr>
        <w:tc>
          <w:tcPr>
            <w:tcW w:type="dxa" w:w="2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Централизация данных</w:t>
            </w:r>
          </w:p>
        </w:tc>
        <w:tc>
          <w:tcPr>
            <w:tcW w:type="dxa" w:w="3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Пилот начинается с копирования всех наборов.</w:t>
            </w:r>
          </w:p>
        </w:tc>
        <w:tc>
          <w:tcPr>
            <w:tcW w:type="dxa" w:w="40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Каталог и pushdown; egress budget; локальные snapshots.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Универсальный планировщик</w:t>
            </w:r>
          </w:p>
        </w:tc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Одинаковая политика для MPI, HTC, AI и SQL.</w:t>
            </w:r>
          </w:p>
        </w:tc>
        <w:tc>
          <w:tcPr>
            <w:tcW w:type="dxa" w:w="40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Классификация нагрузки и адаптеры к backend.</w:t>
            </w:r>
          </w:p>
        </w:tc>
      </w:tr>
      <w:tr>
        <w:tc>
          <w:tcPr>
            <w:tcW w:type="dxa" w:w="2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Семантическая ошибка</w:t>
            </w:r>
          </w:p>
        </w:tc>
        <w:tc>
          <w:tcPr>
            <w:tcW w:type="dxa" w:w="3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Совпадают имена полей, но различаются смысл/единицы.</w:t>
            </w:r>
          </w:p>
        </w:tc>
        <w:tc>
          <w:tcPr>
            <w:tcW w:type="dxa" w:w="40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Глоссарий, mappings, проверки качества и версии.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Vendor lock-in</w:t>
            </w:r>
          </w:p>
        </w:tc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Каноническая модель повторяет API одного продукта.</w:t>
            </w:r>
          </w:p>
        </w:tc>
        <w:tc>
          <w:tcPr>
            <w:tcW w:type="dxa" w:w="40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Открытые контракты и тест замены адаптера.</w:t>
            </w:r>
          </w:p>
        </w:tc>
      </w:tr>
      <w:tr>
        <w:tc>
          <w:tcPr>
            <w:tcW w:type="dxa" w:w="2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Скрытая стоимость</w:t>
            </w:r>
          </w:p>
        </w:tc>
        <w:tc>
          <w:tcPr>
            <w:tcW w:type="dxa" w:w="3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 учитываются очередь, egress, лицензии, энергия.</w:t>
            </w:r>
          </w:p>
        </w:tc>
        <w:tc>
          <w:tcPr>
            <w:tcW w:type="dxa" w:w="40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Единый job accounting и сверка площадок.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Невоспроизводимость</w:t>
            </w:r>
          </w:p>
        </w:tc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Результат выпущен без входного snapshot или версии кода.</w:t>
            </w:r>
          </w:p>
        </w:tc>
        <w:tc>
          <w:tcPr>
            <w:tcW w:type="dxa" w:w="40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J6/J7 fail closed; манифест обязателен.</w:t>
            </w:r>
          </w:p>
        </w:tc>
      </w:tr>
      <w:tr>
        <w:tc>
          <w:tcPr>
            <w:tcW w:type="dxa" w:w="2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Самопроверка</w:t>
            </w:r>
          </w:p>
        </w:tc>
        <w:tc>
          <w:tcPr>
            <w:tcW w:type="dxa" w:w="3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Оператор единолично подтверждает безопасность и KPI.</w:t>
            </w:r>
          </w:p>
        </w:tc>
        <w:tc>
          <w:tcPr>
            <w:tcW w:type="dxa" w:w="40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Независимый валидатор и протокол приёмки.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STOP-критерии</w:t>
        <w:br/>
      </w:r>
      <w:r>
        <w:rPr>
          <w:rFonts w:ascii="Calibri" w:hAnsi="Calibri" w:eastAsia="Calibri"/>
          <w:color w:val="172033"/>
          <w:sz w:val="21"/>
        </w:rPr>
        <w:t>Неразрешённый egress, обход локальной политики, утрата происхождения, критическая уязвимость без компенсации или невозможность независимой проверки останавливают пилот.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22  /  РЕШЕНИЕ И СЛЕДУЮЩАЯ ОЧЕРЕДЬ</w:t>
      </w:r>
    </w:p>
    <w:p>
      <w:pPr>
        <w:pStyle w:val="Heading1"/>
        <w:keepLines/>
        <w:widowControl/>
        <w:keepNext/>
      </w:pPr>
      <w:r>
        <w:t>ГРИД создаёт общий порядок доверенного вычисления, а не общий склад ресурсов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Финальный тезис</w:t>
        <w:br/>
      </w:r>
      <w:r>
        <w:rPr>
          <w:rFonts w:ascii="Calibri" w:hAnsi="Calibri" w:eastAsia="Calibri"/>
          <w:color w:val="172033"/>
          <w:sz w:val="21"/>
        </w:rPr>
        <w:t>Площадка сохраняет ресурсы, данные и правила. ГРИД добавляет общую идентичность, каталог, планирование, доказательность и безопасный выпуск результата.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F7D68"/>
          <w:sz w:val="22"/>
        </w:rPr>
        <w:t xml:space="preserve">GO. </w:t>
      </w:r>
      <w:r>
        <w:t>все критические критерии выполнены; разрешается следующая очередь с новыми узлами и нагрузками.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A77B22"/>
          <w:sz w:val="22"/>
        </w:rPr>
        <w:t xml:space="preserve">CONDITIONAL GO. </w:t>
      </w:r>
      <w:r>
        <w:t>ценность подтверждена, но есть ограниченный перечень закрываемых разрывов и срок повторной проверки.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A64040"/>
          <w:sz w:val="22"/>
        </w:rPr>
        <w:t xml:space="preserve">STOP. </w:t>
      </w:r>
      <w:r>
        <w:t>суверенитет, безопасность, воспроизводимость или экономика не подтверждены; прототип архивируется без промышленного расширения.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Следующая очередь после GO</w:t>
            </w:r>
          </w:p>
        </w:tc>
        <w:tc>
          <w:tcPr>
            <w:tcW w:type="dxa" w:w="66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Предмет</w:t>
            </w:r>
          </w:p>
        </w:tc>
      </w:tr>
      <w:tr>
        <w:tc>
          <w:tcPr>
            <w:tcW w:type="dxa" w:w="2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Интероперабельность</w:t>
            </w:r>
          </w:p>
        </w:tc>
        <w:tc>
          <w:tcPr>
            <w:tcW w:type="dxa" w:w="66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Тест второго продукта в каждом классе: scheduler, catalog, data transport, observability.</w:t>
            </w:r>
          </w:p>
        </w:tc>
      </w:tr>
      <w:tr>
        <w:tc>
          <w:tcPr>
            <w:tcW w:type="dxa" w:w="27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Масштаб</w:t>
            </w:r>
          </w:p>
        </w:tc>
        <w:tc>
          <w:tcPr>
            <w:tcW w:type="dxa" w:w="66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Подключение новых организаций, квоты, многоуровневые политики и нагрузочное моделирование.</w:t>
            </w:r>
          </w:p>
        </w:tc>
      </w:tr>
      <w:tr>
        <w:tc>
          <w:tcPr>
            <w:tcW w:type="dxa" w:w="2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Экономика</w:t>
            </w:r>
          </w:p>
        </w:tc>
        <w:tc>
          <w:tcPr>
            <w:tcW w:type="dxa" w:w="66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Тарифные единицы, резервирование, cost allocation, энергия и механизм споров.</w:t>
            </w:r>
          </w:p>
        </w:tc>
      </w:tr>
      <w:tr>
        <w:tc>
          <w:tcPr>
            <w:tcW w:type="dxa" w:w="27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Право и доверие</w:t>
            </w:r>
          </w:p>
        </w:tc>
        <w:tc>
          <w:tcPr>
            <w:tcW w:type="dxa" w:w="66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Договор федерации, ответственность, сертификаты, аудит, реагирование и порядок выхода.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Запрашиваемое действие</w:t>
        <w:br/>
      </w:r>
      <w:r>
        <w:rPr>
          <w:rFonts w:ascii="Calibri" w:hAnsi="Calibri" w:eastAsia="Calibri"/>
          <w:color w:val="172033"/>
          <w:sz w:val="21"/>
        </w:rPr>
        <w:t>Назначить владельца пилота, владельцев трёх доменов и независимого валидатора; в течение 15 дней утвердить паспорт и baseline.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23  /  ОФИЦИАЛЬНЫЕ И ПЕРВИЧНЫЕ ИСТОЧНИКИ · 1</w:t>
      </w:r>
    </w:p>
    <w:p>
      <w:pPr>
        <w:pStyle w:val="Heading1"/>
        <w:keepLines/>
        <w:widowControl/>
        <w:keepNext/>
      </w:pPr>
      <w:r>
        <w:t>GRID, планирование и исполнительные контуры</w:t>
      </w:r>
    </w:p>
    <w:p>
      <w:pPr>
        <w:pStyle w:val="Source"/>
        <w:spacing w:after="80"/>
      </w:pPr>
      <w:r>
        <w:t xml:space="preserve">[1] </w:t>
      </w:r>
      <w:hyperlink r:id="rId12">
        <w:r>
          <w:rPr>
            <w:color w:val="2E74B5"/>
            <w:u w:val="single"/>
          </w:rPr>
          <w:t>Ian Foster: What Is the Grid? A Three Point Checklist</w:t>
        </w:r>
      </w:hyperlink>
    </w:p>
    <w:p>
      <w:pPr>
        <w:pStyle w:val="Source"/>
        <w:spacing w:after="80"/>
      </w:pPr>
      <w:r>
        <w:t xml:space="preserve">[2] </w:t>
      </w:r>
      <w:hyperlink r:id="rId13">
        <w:r>
          <w:rPr>
            <w:color w:val="2E74B5"/>
            <w:u w:val="single"/>
          </w:rPr>
          <w:t>Foster, Kesselman, Tuecke: The Anatomy of the Grid</w:t>
        </w:r>
      </w:hyperlink>
    </w:p>
    <w:p>
      <w:pPr>
        <w:pStyle w:val="Source"/>
        <w:spacing w:after="80"/>
      </w:pPr>
      <w:r>
        <w:t xml:space="preserve">[3] </w:t>
      </w:r>
      <w:hyperlink r:id="rId14">
        <w:r>
          <w:rPr>
            <w:color w:val="2E74B5"/>
            <w:u w:val="single"/>
          </w:rPr>
          <w:t>Open Grid Forum: Standards and interoperability</w:t>
        </w:r>
      </w:hyperlink>
    </w:p>
    <w:p>
      <w:pPr>
        <w:pStyle w:val="Source"/>
        <w:spacing w:after="80"/>
      </w:pPr>
      <w:r>
        <w:t xml:space="preserve">[4] </w:t>
      </w:r>
      <w:hyperlink r:id="rId15">
        <w:r>
          <w:rPr>
            <w:color w:val="2E74B5"/>
            <w:u w:val="single"/>
          </w:rPr>
          <w:t>Open Grid Forum: Authorization Framework (GFD.38)</w:t>
        </w:r>
      </w:hyperlink>
    </w:p>
    <w:p>
      <w:pPr>
        <w:pStyle w:val="Source"/>
        <w:spacing w:after="80"/>
      </w:pPr>
      <w:r>
        <w:t xml:space="preserve">[5] </w:t>
      </w:r>
      <w:hyperlink r:id="rId16">
        <w:r>
          <w:rPr>
            <w:color w:val="2E74B5"/>
            <w:u w:val="single"/>
          </w:rPr>
          <w:t>Slurm Workload Manager: Overview</w:t>
        </w:r>
      </w:hyperlink>
    </w:p>
    <w:p>
      <w:pPr>
        <w:pStyle w:val="Source"/>
        <w:spacing w:after="80"/>
      </w:pPr>
      <w:r>
        <w:t xml:space="preserve">[6] </w:t>
      </w:r>
      <w:hyperlink r:id="rId17">
        <w:r>
          <w:rPr>
            <w:color w:val="2E74B5"/>
            <w:u w:val="single"/>
          </w:rPr>
          <w:t>Slurm Workload Manager: Federation Guide</w:t>
        </w:r>
      </w:hyperlink>
    </w:p>
    <w:p>
      <w:pPr>
        <w:pStyle w:val="Source"/>
        <w:spacing w:after="80"/>
      </w:pPr>
      <w:r>
        <w:t xml:space="preserve">[7] </w:t>
      </w:r>
      <w:hyperlink r:id="rId18">
        <w:r>
          <w:rPr>
            <w:color w:val="2E74B5"/>
            <w:u w:val="single"/>
          </w:rPr>
          <w:t>Slurm Workload Manager: Accounting and Resource Limits</w:t>
        </w:r>
      </w:hyperlink>
    </w:p>
    <w:p>
      <w:pPr>
        <w:pStyle w:val="Source"/>
        <w:spacing w:after="80"/>
      </w:pPr>
      <w:r>
        <w:t xml:space="preserve">[8] </w:t>
      </w:r>
      <w:hyperlink r:id="rId19">
        <w:r>
          <w:rPr>
            <w:color w:val="2E74B5"/>
            <w:u w:val="single"/>
          </w:rPr>
          <w:t>HTCondor: High-Throughput Computing and its Requirements</w:t>
        </w:r>
      </w:hyperlink>
    </w:p>
    <w:p>
      <w:pPr>
        <w:pStyle w:val="Source"/>
        <w:spacing w:after="80"/>
      </w:pPr>
      <w:r>
        <w:t xml:space="preserve">[9] </w:t>
      </w:r>
      <w:hyperlink r:id="rId20">
        <w:r>
          <w:rPr>
            <w:color w:val="2E74B5"/>
            <w:u w:val="single"/>
          </w:rPr>
          <w:t>HTCondor Manual: Job Scheduling</w:t>
        </w:r>
      </w:hyperlink>
    </w:p>
    <w:p>
      <w:pPr>
        <w:pStyle w:val="Source"/>
        <w:spacing w:after="80"/>
      </w:pPr>
      <w:r>
        <w:t xml:space="preserve">[10] </w:t>
      </w:r>
      <w:hyperlink r:id="rId21">
        <w:r>
          <w:rPr>
            <w:color w:val="2E74B5"/>
            <w:u w:val="single"/>
          </w:rPr>
          <w:t>MPI Forum: MPI 5.0 Standard</w:t>
        </w:r>
      </w:hyperlink>
    </w:p>
    <w:p>
      <w:pPr>
        <w:pStyle w:val="Source"/>
        <w:spacing w:after="80"/>
      </w:pPr>
      <w:r>
        <w:t xml:space="preserve">[11] </w:t>
      </w:r>
      <w:hyperlink r:id="rId22">
        <w:r>
          <w:rPr>
            <w:color w:val="2E74B5"/>
            <w:u w:val="single"/>
          </w:rPr>
          <w:t>Kubernetes: Jobs</w:t>
        </w:r>
      </w:hyperlink>
    </w:p>
    <w:p>
      <w:pPr>
        <w:pStyle w:val="Source"/>
        <w:spacing w:after="80"/>
      </w:pPr>
      <w:r>
        <w:t xml:space="preserve">[12] </w:t>
      </w:r>
      <w:hyperlink r:id="rId23">
        <w:r>
          <w:rPr>
            <w:color w:val="2E74B5"/>
            <w:u w:val="single"/>
          </w:rPr>
          <w:t>Kubernetes: Scheduling Framework</w:t>
        </w:r>
      </w:hyperlink>
    </w:p>
    <w:p>
      <w:pPr>
        <w:pStyle w:val="Source"/>
        <w:spacing w:after="80"/>
      </w:pPr>
      <w:r>
        <w:t xml:space="preserve">[13] </w:t>
      </w:r>
      <w:hyperlink r:id="rId24">
        <w:r>
          <w:rPr>
            <w:color w:val="2E74B5"/>
            <w:u w:val="single"/>
          </w:rPr>
          <w:t>Kubernetes: Device Plugins</w:t>
        </w:r>
      </w:hyperlink>
    </w:p>
    <w:p>
      <w:pPr>
        <w:pStyle w:val="Source"/>
        <w:spacing w:after="80"/>
      </w:pPr>
      <w:r>
        <w:t xml:space="preserve">[14] </w:t>
      </w:r>
      <w:hyperlink r:id="rId25">
        <w:r>
          <w:rPr>
            <w:color w:val="2E74B5"/>
            <w:u w:val="single"/>
          </w:rPr>
          <w:t>Globus: Collections and Endpoints</w:t>
        </w:r>
      </w:hyperlink>
    </w:p>
    <w:p>
      <w:pPr>
        <w:pStyle w:val="Source"/>
        <w:spacing w:before="80"/>
      </w:pPr>
      <w:r>
        <w:t>Дата обращения: 29 августа 2026 г. Версии программных продуктов и документов следует повторно проверить перед проектированием пилота.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24  /  ОФИЦИАЛЬНЫЕ И ПЕРВИЧНЫЕ ИСТОЧНИКИ · 2</w:t>
      </w:r>
    </w:p>
    <w:p>
      <w:pPr>
        <w:pStyle w:val="Heading1"/>
        <w:keepLines/>
        <w:widowControl/>
        <w:keepNext/>
      </w:pPr>
      <w:r>
        <w:t>Федеративные данные, происхождение, наблюдаемость и безопасность</w:t>
      </w:r>
    </w:p>
    <w:p>
      <w:pPr>
        <w:pStyle w:val="Source"/>
        <w:spacing w:after="80"/>
      </w:pPr>
      <w:r>
        <w:t xml:space="preserve">[15] </w:t>
      </w:r>
      <w:hyperlink r:id="rId26">
        <w:r>
          <w:rPr>
            <w:color w:val="2E74B5"/>
            <w:u w:val="single"/>
          </w:rPr>
          <w:t>Trino: Concepts and federated catalogs</w:t>
        </w:r>
      </w:hyperlink>
    </w:p>
    <w:p>
      <w:pPr>
        <w:pStyle w:val="Source"/>
        <w:spacing w:after="80"/>
      </w:pPr>
      <w:r>
        <w:t xml:space="preserve">[16] </w:t>
      </w:r>
      <w:hyperlink r:id="rId27">
        <w:r>
          <w:rPr>
            <w:color w:val="2E74B5"/>
            <w:u w:val="single"/>
          </w:rPr>
          <w:t>Trino PostgreSQL connector: Pushdown</w:t>
        </w:r>
      </w:hyperlink>
    </w:p>
    <w:p>
      <w:pPr>
        <w:pStyle w:val="Source"/>
        <w:spacing w:after="80"/>
      </w:pPr>
      <w:r>
        <w:t xml:space="preserve">[17] </w:t>
      </w:r>
      <w:hyperlink r:id="rId28">
        <w:r>
          <w:rPr>
            <w:color w:val="2E74B5"/>
            <w:u w:val="single"/>
          </w:rPr>
          <w:t>PostgreSQL: postgres_fdw Remote Query Optimization</w:t>
        </w:r>
      </w:hyperlink>
    </w:p>
    <w:p>
      <w:pPr>
        <w:pStyle w:val="Source"/>
        <w:spacing w:after="80"/>
      </w:pPr>
      <w:r>
        <w:t xml:space="preserve">[18] </w:t>
      </w:r>
      <w:hyperlink r:id="rId29">
        <w:r>
          <w:rPr>
            <w:color w:val="2E74B5"/>
            <w:u w:val="single"/>
          </w:rPr>
          <w:t>Apache Iceberg: Table Specification</w:t>
        </w:r>
      </w:hyperlink>
    </w:p>
    <w:p>
      <w:pPr>
        <w:pStyle w:val="Source"/>
        <w:spacing w:after="80"/>
      </w:pPr>
      <w:r>
        <w:t xml:space="preserve">[19] </w:t>
      </w:r>
      <w:hyperlink r:id="rId30">
        <w:r>
          <w:rPr>
            <w:color w:val="2E74B5"/>
            <w:u w:val="single"/>
          </w:rPr>
          <w:t>Apache Arrow: Flight RPC and Flight SQL</w:t>
        </w:r>
      </w:hyperlink>
    </w:p>
    <w:p>
      <w:pPr>
        <w:pStyle w:val="Source"/>
        <w:spacing w:after="80"/>
      </w:pPr>
      <w:r>
        <w:t xml:space="preserve">[20] </w:t>
      </w:r>
      <w:hyperlink r:id="rId31">
        <w:r>
          <w:rPr>
            <w:color w:val="2E74B5"/>
            <w:u w:val="single"/>
          </w:rPr>
          <w:t>W3C: Data Catalog Vocabulary DCAT 3</w:t>
        </w:r>
      </w:hyperlink>
    </w:p>
    <w:p>
      <w:pPr>
        <w:pStyle w:val="Source"/>
        <w:spacing w:after="80"/>
      </w:pPr>
      <w:r>
        <w:t xml:space="preserve">[21] </w:t>
      </w:r>
      <w:hyperlink r:id="rId32">
        <w:r>
          <w:rPr>
            <w:color w:val="2E74B5"/>
            <w:u w:val="single"/>
          </w:rPr>
          <w:t>W3C: PROV-O — provenance ontology</w:t>
        </w:r>
      </w:hyperlink>
    </w:p>
    <w:p>
      <w:pPr>
        <w:pStyle w:val="Source"/>
        <w:spacing w:after="80"/>
      </w:pPr>
      <w:r>
        <w:t xml:space="preserve">[22] </w:t>
      </w:r>
      <w:hyperlink r:id="rId33">
        <w:r>
          <w:rPr>
            <w:color w:val="2E74B5"/>
            <w:u w:val="single"/>
          </w:rPr>
          <w:t>OpenLineage: Object Model</w:t>
        </w:r>
      </w:hyperlink>
    </w:p>
    <w:p>
      <w:pPr>
        <w:pStyle w:val="Source"/>
        <w:spacing w:after="80"/>
      </w:pPr>
      <w:r>
        <w:t xml:space="preserve">[23] </w:t>
      </w:r>
      <w:hyperlink r:id="rId34">
        <w:r>
          <w:rPr>
            <w:color w:val="2E74B5"/>
            <w:u w:val="single"/>
          </w:rPr>
          <w:t>OpenTelemetry: Signals and context propagation</w:t>
        </w:r>
      </w:hyperlink>
    </w:p>
    <w:p>
      <w:pPr>
        <w:pStyle w:val="Source"/>
        <w:spacing w:after="80"/>
      </w:pPr>
      <w:r>
        <w:t xml:space="preserve">[24] </w:t>
      </w:r>
      <w:hyperlink r:id="rId35">
        <w:r>
          <w:rPr>
            <w:color w:val="2E74B5"/>
            <w:u w:val="single"/>
          </w:rPr>
          <w:t>NIST SP 800-207: Zero Trust Architecture</w:t>
        </w:r>
      </w:hyperlink>
    </w:p>
    <w:p>
      <w:pPr>
        <w:pStyle w:val="Source"/>
        <w:spacing w:after="80"/>
      </w:pPr>
      <w:r>
        <w:t xml:space="preserve">[25] </w:t>
      </w:r>
      <w:hyperlink r:id="rId36">
        <w:r>
          <w:rPr>
            <w:color w:val="2E74B5"/>
            <w:u w:val="single"/>
          </w:rPr>
          <w:t>Федеральный закон № 149-ФЗ «Об информации, информационных технологиях и о защите информации»</w:t>
        </w:r>
      </w:hyperlink>
    </w:p>
    <w:p>
      <w:pPr>
        <w:pStyle w:val="Source"/>
        <w:spacing w:after="80"/>
      </w:pPr>
      <w:r>
        <w:t xml:space="preserve">[26] </w:t>
      </w:r>
      <w:hyperlink r:id="rId37">
        <w:r>
          <w:rPr>
            <w:color w:val="2E74B5"/>
            <w:u w:val="single"/>
          </w:rPr>
          <w:t>Федеральный закон № 152-ФЗ «О персональных данных»</w:t>
        </w:r>
      </w:hyperlink>
    </w:p>
    <w:p>
      <w:pPr>
        <w:pStyle w:val="Source"/>
        <w:spacing w:after="80"/>
      </w:pPr>
      <w:r>
        <w:t xml:space="preserve">[27] </w:t>
      </w:r>
      <w:hyperlink r:id="rId38">
        <w:r>
          <w:rPr>
            <w:color w:val="2E74B5"/>
            <w:u w:val="single"/>
          </w:rPr>
          <w:t>Федеральный закон № 187-ФЗ «О безопасности критической информационной инфраструктуры РФ»</w:t>
        </w:r>
      </w:hyperlink>
    </w:p>
    <w:p>
      <w:pPr>
        <w:pStyle w:val="Source"/>
        <w:spacing w:before="80"/>
      </w:pPr>
      <w:r>
        <w:t>Правовые ссылки приведены для ориентира. Применимость норм, редакции и подзаконных требований подтверждаются профильными юристами и владельцами информационных систем до допуска данных.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color w:val="5E6878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  <w:jc w:val="left"/>
    </w:pPr>
    <w:r>
      <w:t>ВЫЧИСЛИТЕЛЬНЫЙ ГРИД  /  МЕТАКОМПЬЮТЕРЫ  /  ФЕДЕРАТИВНЫЙ СЛОЙ ДАННЫХ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61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  <w:spacing w:after="160" w:line="280" w:lineRule="auto"/>
      </w:pPr>
      <w:rPr>
        <w:color w:val="2E74B5"/>
      </w:rPr>
    </w:lvl>
  </w:abstractNum>
  <w:num w:numId="61">
    <w:abstractNumId w:val="61"/>
  </w:num>
  <w:abstractNum w:abstractNumId="62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  <w:rPr>
        <w:color w:val="2E74B5"/>
      </w:rPr>
    </w:lvl>
  </w:abstractNum>
  <w:num w:numId="62">
    <w:abstractNumId w:val="62"/>
  </w:num>
  <w:abstractNum w:abstractNumId="63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  <w:rPr>
        <w:color w:val="2E74B5"/>
      </w:rPr>
    </w:lvl>
  </w:abstractNum>
  <w:num w:numId="63">
    <w:abstractNumId w:val="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i w:val="0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i w:val="0"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76" w:lineRule="auto" w:before="0"/>
      <w:contextualSpacing/>
    </w:pPr>
    <w:rPr>
      <w:rFonts w:asciiTheme="majorHAnsi" w:eastAsiaTheme="majorEastAsia" w:hAnsiTheme="majorHAnsi" w:cstheme="majorBidi" w:ascii="Calibri" w:hAnsi="Calibri"/>
      <w:b/>
      <w:i w:val="0"/>
      <w:color w:val="0B2545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 w:line="276" w:lineRule="auto"/>
    </w:pPr>
    <w:rPr>
      <w:rFonts w:asciiTheme="majorHAnsi" w:eastAsiaTheme="majorEastAsia" w:hAnsiTheme="majorHAnsi" w:cstheme="majorBidi" w:ascii="Calibri" w:hAnsi="Calibri"/>
      <w:b w:val="0"/>
      <w:i w:val="0"/>
      <w:iCs/>
      <w:color w:val="5E6878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yebrow">
    <w:name w:val="Eyebrow"/>
    <w:pPr>
      <w:spacing w:after="120" w:line="276" w:lineRule="auto"/>
      <w:jc w:val="left"/>
    </w:pPr>
    <w:rPr>
      <w:rFonts w:ascii="Calibri" w:hAnsi="Calibri"/>
      <w:b/>
      <w:i w:val="0"/>
      <w:color w:val="2E74B5"/>
      <w:sz w:val="18"/>
    </w:rPr>
  </w:style>
  <w:style w:type="paragraph" w:customStyle="1" w:styleId="Lead">
    <w:name w:val="Lead"/>
    <w:pPr>
      <w:spacing w:after="200" w:line="276" w:lineRule="auto"/>
      <w:jc w:val="left"/>
    </w:pPr>
    <w:rPr>
      <w:rFonts w:ascii="Calibri" w:hAnsi="Calibri"/>
      <w:b w:val="0"/>
      <w:i w:val="0"/>
      <w:color w:val="172033"/>
      <w:sz w:val="25"/>
    </w:rPr>
  </w:style>
  <w:style w:type="paragraph" w:customStyle="1" w:styleId="Callout">
    <w:name w:val="Callout"/>
    <w:pPr>
      <w:spacing w:after="160" w:line="276" w:lineRule="auto"/>
      <w:jc w:val="left"/>
    </w:pPr>
    <w:rPr>
      <w:rFonts w:ascii="Calibri" w:hAnsi="Calibri"/>
      <w:b w:val="0"/>
      <w:i w:val="0"/>
      <w:color w:val="0B2545"/>
      <w:sz w:val="22"/>
    </w:rPr>
  </w:style>
  <w:style w:type="paragraph" w:customStyle="1" w:styleId="Small">
    <w:name w:val="Small"/>
    <w:pPr>
      <w:spacing w:after="80" w:line="276" w:lineRule="auto"/>
      <w:jc w:val="left"/>
    </w:pPr>
    <w:rPr>
      <w:rFonts w:ascii="Calibri" w:hAnsi="Calibri"/>
      <w:b w:val="0"/>
      <w:i w:val="0"/>
      <w:color w:val="5E6878"/>
      <w:sz w:val="17"/>
    </w:rPr>
  </w:style>
  <w:style w:type="paragraph" w:customStyle="1" w:styleId="Source">
    <w:name w:val="Source"/>
    <w:pPr>
      <w:spacing w:after="60" w:line="276" w:lineRule="auto"/>
      <w:jc w:val="left"/>
    </w:pPr>
    <w:rPr>
      <w:rFonts w:ascii="Calibri" w:hAnsi="Calibri"/>
      <w:b w:val="0"/>
      <w:i w:val="0"/>
      <w:color w:val="5E6878"/>
      <w:sz w:val="16"/>
    </w:rPr>
  </w:style>
  <w:style w:type="paragraph" w:customStyle="1" w:styleId="Definition">
    <w:name w:val="Definition"/>
    <w:pPr>
      <w:spacing w:after="80" w:line="276" w:lineRule="auto"/>
      <w:jc w:val="left"/>
    </w:pPr>
    <w:rPr>
      <w:rFonts w:ascii="Calibri" w:hAnsi="Calibri"/>
      <w:b w:val="0"/>
      <w:i w:val="0"/>
      <w:color w:val="172033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mcs.anl.gov/~itf/Articles/WhatIsTheGrid.pdf" TargetMode="External"/><Relationship Id="rId13" Type="http://schemas.openxmlformats.org/officeDocument/2006/relationships/hyperlink" Target="https://arxiv.org/abs/cs/0103025" TargetMode="External"/><Relationship Id="rId14" Type="http://schemas.openxmlformats.org/officeDocument/2006/relationships/hyperlink" Target="https://ogf.org/ogf/doku.php/standards/standards.html" TargetMode="External"/><Relationship Id="rId15" Type="http://schemas.openxmlformats.org/officeDocument/2006/relationships/hyperlink" Target="https://ogf.org/documents/GFD.38.pdf" TargetMode="External"/><Relationship Id="rId16" Type="http://schemas.openxmlformats.org/officeDocument/2006/relationships/hyperlink" Target="https://slurm.schedmd.com/overview.html" TargetMode="External"/><Relationship Id="rId17" Type="http://schemas.openxmlformats.org/officeDocument/2006/relationships/hyperlink" Target="https://slurm.schedmd.com/federation.html" TargetMode="External"/><Relationship Id="rId18" Type="http://schemas.openxmlformats.org/officeDocument/2006/relationships/hyperlink" Target="https://slurm.schedmd.com/accounting.html" TargetMode="External"/><Relationship Id="rId19" Type="http://schemas.openxmlformats.org/officeDocument/2006/relationships/hyperlink" Target="https://htcondor.readthedocs.io/en/latest/overview/high-throughput-computing-requirements.html" TargetMode="External"/><Relationship Id="rId20" Type="http://schemas.openxmlformats.org/officeDocument/2006/relationships/hyperlink" Target="https://htcondor.readthedocs.io/en/main/users-manual/job-scheduling.html" TargetMode="External"/><Relationship Id="rId21" Type="http://schemas.openxmlformats.org/officeDocument/2006/relationships/hyperlink" Target="https://www.mpi-forum.org/docs/mpi-5.0/mpi50-report.pdf" TargetMode="External"/><Relationship Id="rId22" Type="http://schemas.openxmlformats.org/officeDocument/2006/relationships/hyperlink" Target="https://kubernetes.io/docs/concepts/workloads/controllers/job/" TargetMode="External"/><Relationship Id="rId23" Type="http://schemas.openxmlformats.org/officeDocument/2006/relationships/hyperlink" Target="https://kubernetes.io/docs/concepts/scheduling-eviction/scheduling-framework/" TargetMode="External"/><Relationship Id="rId24" Type="http://schemas.openxmlformats.org/officeDocument/2006/relationships/hyperlink" Target="https://kubernetes.io/docs/concepts/extend-kubernetes/compute-storage-net/device-plugins/" TargetMode="External"/><Relationship Id="rId25" Type="http://schemas.openxmlformats.org/officeDocument/2006/relationships/hyperlink" Target="https://docs.globus.org/guides/overviews/collections-and-endpoints/" TargetMode="External"/><Relationship Id="rId26" Type="http://schemas.openxmlformats.org/officeDocument/2006/relationships/hyperlink" Target="https://trino.io/docs/current/overview/concepts.html" TargetMode="External"/><Relationship Id="rId27" Type="http://schemas.openxmlformats.org/officeDocument/2006/relationships/hyperlink" Target="https://trino.io/docs/current/connector/postgresql.html#pushdown" TargetMode="External"/><Relationship Id="rId28" Type="http://schemas.openxmlformats.org/officeDocument/2006/relationships/hyperlink" Target="https://www.postgresql.org/docs/current/postgres-fdw.html#POSTGRES-FDW-REMOTE-QUERY-OPTIMIZATION" TargetMode="External"/><Relationship Id="rId29" Type="http://schemas.openxmlformats.org/officeDocument/2006/relationships/hyperlink" Target="https://iceberg.apache.org/spec/" TargetMode="External"/><Relationship Id="rId30" Type="http://schemas.openxmlformats.org/officeDocument/2006/relationships/hyperlink" Target="https://arrow.apache.org/docs/format/Flight.html" TargetMode="External"/><Relationship Id="rId31" Type="http://schemas.openxmlformats.org/officeDocument/2006/relationships/hyperlink" Target="https://www.w3.org/TR/vocab-dcat-3/" TargetMode="External"/><Relationship Id="rId32" Type="http://schemas.openxmlformats.org/officeDocument/2006/relationships/hyperlink" Target="https://www.w3.org/TR/prov-o/" TargetMode="External"/><Relationship Id="rId33" Type="http://schemas.openxmlformats.org/officeDocument/2006/relationships/hyperlink" Target="https://openlineage.io/docs/spec/object-model/" TargetMode="External"/><Relationship Id="rId34" Type="http://schemas.openxmlformats.org/officeDocument/2006/relationships/hyperlink" Target="https://opentelemetry.io/docs/concepts/signals/" TargetMode="External"/><Relationship Id="rId35" Type="http://schemas.openxmlformats.org/officeDocument/2006/relationships/hyperlink" Target="https://csrc.nist.gov/pubs/sp/800/207/final" TargetMode="External"/><Relationship Id="rId36" Type="http://schemas.openxmlformats.org/officeDocument/2006/relationships/hyperlink" Target="https://pravo.gov.ru/proxy/ips/?docbody=&amp;nd=102108264" TargetMode="External"/><Relationship Id="rId37" Type="http://schemas.openxmlformats.org/officeDocument/2006/relationships/hyperlink" Target="https://pravo.gov.ru/proxy/ips/?docbody=&amp;nd=102108261" TargetMode="External"/><Relationship Id="rId38" Type="http://schemas.openxmlformats.org/officeDocument/2006/relationships/hyperlink" Target="https://pravo.gov.ru/proxy/ips/?docbody=&amp;nd=1024407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Вычислительный ГРИД: метакомпьютеры, федеративные базы и большие вычисления</dc:title>
  <dc:subject>Концепция суверенной федерации вычислительных ресурсов и данных</dc:subject>
  <dc:creator>Соколов Сергей Леонидович</dc:creator>
  <cp:keywords>GRID, метакомпьютер, HPC, HTC, федеративные базы, большие вычисления, ЭКВИЛИБРИУМ, Архив наследия</cp:keywords>
  <dc:description>Стратегическая концепция вычислительного ГРИДа; создано для технического и экспертного обсуждения.</dc:description>
  <cp:lastModifiedBy/>
  <cp:revision>1</cp:revision>
  <dcterms:created xsi:type="dcterms:W3CDTF">2026-08-29T00:00:00Z</dcterms:created>
  <dcterms:modified xsi:type="dcterms:W3CDTF">2026-08-29T00:00:00Z</dcterms:modified>
  <cp:category/>
</cp:coreProperties>
</file>