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01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Предмет государственного решения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установить назначение системы  →  Результат: проект поручений и пилот</w:t>
      </w:r>
    </w:p>
    <w:p>
      <w:pPr>
        <w:spacing w:after="160" w:line="264" w:lineRule="auto"/>
      </w:pPr>
      <w:r>
        <w:rPr>
          <w:rFonts w:ascii="Arial" w:hAnsi="Arial" w:eastAsia="Arial"/>
          <w:b/>
          <w:i w:val="0"/>
          <w:color w:val="0B2545"/>
          <w:sz w:val="48"/>
        </w:rPr>
        <w:t>УПРАВЛЕНИЕ СТРАНОЙ. ГОСКОРПОРАЦИИ</w:t>
      </w:r>
    </w:p>
    <w:p>
      <w:pPr>
        <w:spacing w:after="280" w:line="264" w:lineRule="auto"/>
      </w:pPr>
      <w:r>
        <w:rPr>
          <w:rFonts w:ascii="Arial" w:hAnsi="Arial" w:eastAsia="Arial"/>
          <w:b w:val="0"/>
          <w:i w:val="0"/>
          <w:color w:val="5D6B7A"/>
          <w:sz w:val="26"/>
        </w:rPr>
        <w:t>Госкорпорации как исполнительный контур национальных балансов в архитектуре SUR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1"/>
              </w:rPr>
              <w:t xml:space="preserve">Тезис.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1"/>
              </w:rPr>
              <w:t>Государство определяет цели и пределы; балансы показывают состояние целого; госкорпорации и организации государственного сектора превращают цели в согласованные программы; SUR связывает данные, решения, ресурсы, исполнение и доказанный результат.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Предлагается запустить не новую надведомственную корпорацию, а правительственный портфельный контур координации. Он действует поверх существующих полномочий и обеспечивает прослеживаемость от национальной цели до объекта, договора, исполнителя, результата и обратной связи.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Утвердить концепцию управления корпоративным государственным портфелем через 19 взаимосвязанных национальных балансов.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Определить заказчика и ИАЦ пилота; включить 3–5 корпоративных участников, 2–3 территории, 5 балансов и 10–15 проектов.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Провести 100-дневный пилот без изменения действующих полномочий и без новых капиталоёмких обязательств вне утверждённых программ.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По итогам пилота представить регламент, цифровой прототип, перечень правовых изменений и решение о масштабировании до 2036 года.</w:t>
      </w:r>
    </w:p>
    <w:p>
      <w:pPr>
        <w:spacing w:before="100" w:after="0" w:line="264" w:lineRule="auto"/>
      </w:pPr>
      <w:r>
        <w:rPr>
          <w:rFonts w:ascii="Arial" w:hAnsi="Arial" w:eastAsia="Arial"/>
          <w:b w:val="0"/>
          <w:i/>
          <w:color w:val="5D6B7A"/>
          <w:sz w:val="16"/>
        </w:rPr>
        <w:t>Источник / правовая основа: Указ Президента РФ № 309 от 07.05.2024; Постановление Правительства РФ № 761 от 19.06.2026.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02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Проблема фрагментарного управления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выявить разрывы  →  Результат: карта управленческих разрывов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Крупные государственные организации обладают ресурсами, технологиями, инфраструктурой, данными и проектными компетенциями. Однако их стратегии, инвестиционные программы, закупки и KPI часто рассматриваются по отдельным юридическим лицам и отраслевым контурам. Государственный результат возникает между ними — на территории, в цепочке поставок и в совокупности эффектов.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32"/>
        <w:gridCol w:w="3240"/>
        <w:gridCol w:w="3888"/>
      </w:tblGrid>
      <w:tr>
        <w:trPr>
          <w:tblHeader w:val="true"/>
          <w:cantSplit/>
        </w:trPr>
        <w:tc>
          <w:tcPr>
            <w:tcW w:type="dxa" w:w="223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Разрыв</w:t>
            </w:r>
          </w:p>
        </w:tc>
        <w:tc>
          <w:tcPr>
            <w:tcW w:type="dxa" w:w="324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Проявление</w:t>
            </w:r>
          </w:p>
        </w:tc>
        <w:tc>
          <w:tcPr>
            <w:tcW w:type="dxa" w:w="388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Управленческое следствие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Цели ↔ программы</w:t>
            </w:r>
          </w:p>
        </w:tc>
        <w:tc>
          <w:tcPr>
            <w:tcW w:type="dxa" w:w="324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Национальный показатель не доведён до портфеля проектов</w:t>
            </w:r>
          </w:p>
        </w:tc>
        <w:tc>
          <w:tcPr>
            <w:tcW w:type="dxa" w:w="38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Нельзя установить вклад и ответственность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Активы ↔ результаты</w:t>
            </w:r>
          </w:p>
        </w:tc>
        <w:tc>
          <w:tcPr>
            <w:tcW w:type="dxa" w:w="324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Реестр имущества отделён от общественного эффекта</w:t>
            </w:r>
          </w:p>
        </w:tc>
        <w:tc>
          <w:tcPr>
            <w:tcW w:type="dxa" w:w="38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Стоимость актива видна, полезность — нет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Отрасли ↔ территории</w:t>
            </w:r>
          </w:p>
        </w:tc>
        <w:tc>
          <w:tcPr>
            <w:tcW w:type="dxa" w:w="324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Решения оптимальны внутри ведомства, но конфликтуют на местности</w:t>
            </w:r>
          </w:p>
        </w:tc>
        <w:tc>
          <w:tcPr>
            <w:tcW w:type="dxa" w:w="38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Скрытые дефициты и перенос издержек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Бюджет ↔ корпоративный капитал</w:t>
            </w:r>
          </w:p>
        </w:tc>
        <w:tc>
          <w:tcPr>
            <w:tcW w:type="dxa" w:w="324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Разные горизонты, классификаторы и правила оценки</w:t>
            </w:r>
          </w:p>
        </w:tc>
        <w:tc>
          <w:tcPr>
            <w:tcW w:type="dxa" w:w="38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Не виден полный жизненный цикл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Отчёт ↔ доказательство</w:t>
            </w:r>
          </w:p>
        </w:tc>
        <w:tc>
          <w:tcPr>
            <w:tcW w:type="dxa" w:w="324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Показатели не связаны с первичными данными</w:t>
            </w:r>
          </w:p>
        </w:tc>
        <w:tc>
          <w:tcPr>
            <w:tcW w:type="dxa" w:w="38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Слабая воспроизводимость выводов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Риск ↔ обратная связь</w:t>
            </w:r>
          </w:p>
        </w:tc>
        <w:tc>
          <w:tcPr>
            <w:tcW w:type="dxa" w:w="324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Отклонение фиксируется после события</w:t>
            </w:r>
          </w:p>
        </w:tc>
        <w:tc>
          <w:tcPr>
            <w:tcW w:type="dxa" w:w="38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Запоздалая коррекция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1"/>
              </w:rPr>
              <w:t xml:space="preserve">Ключевой переход.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1"/>
              </w:rPr>
              <w:t>Оценивать не организацию изолированно, а её вклад в состояние национальных балансов с сохранением отдельной финансовой, отраслевой и правовой ответственности.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Проблема не решается одной интегральной оценкой. Общий индекс обязан сопровождаться раскрытием критических отклонений, источников данных, ограничений модели и мер реагирования.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03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Балансы — система управления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определить единицу наблюдения  →  Результат: управляемая целостность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Баланс в модели SUR — не только бухгалтерская форма и не статическая сводка. Это паспорт управляемой пропорции: потребность, ресурс, мощность, доступность, риск, план, факт, прогноз, ответственный и доказательство результата.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1"/>
              </w:rPr>
              <w:t xml:space="preserve">Замкнутый цикл.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1"/>
              </w:rPr>
              <w:t>Наблюдение → анализ → сценарий → государственное решение → ресурсное обеспечение → исполнение → верификация → корректировка.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088"/>
        <w:gridCol w:w="3528"/>
        <w:gridCol w:w="3744"/>
      </w:tblGrid>
      <w:tr>
        <w:trPr>
          <w:tblHeader w:val="true"/>
          <w:cantSplit/>
        </w:trPr>
        <w:tc>
          <w:tcPr>
            <w:tcW w:type="dxa" w:w="208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Элемент паспорта</w:t>
            </w:r>
          </w:p>
        </w:tc>
        <w:tc>
          <w:tcPr>
            <w:tcW w:type="dxa" w:w="352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Что фиксируется</w:t>
            </w:r>
          </w:p>
        </w:tc>
        <w:tc>
          <w:tcPr>
            <w:tcW w:type="dxa" w:w="374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Почему это важно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Состояние</w:t>
            </w:r>
          </w:p>
        </w:tc>
        <w:tc>
          <w:tcPr>
            <w:tcW w:type="dxa" w:w="352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База, факт, динамика, территория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Единая исходная линия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Норма</w:t>
            </w:r>
          </w:p>
        </w:tc>
        <w:tc>
          <w:tcPr>
            <w:tcW w:type="dxa" w:w="352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Цель, диапазон, срок, критический порог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Понятен допустимый коридор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Потоки</w:t>
            </w:r>
          </w:p>
        </w:tc>
        <w:tc>
          <w:tcPr>
            <w:tcW w:type="dxa" w:w="352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Ресурсы, мощности, обмены, зависимости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Виден межотраслевой эффект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Решение</w:t>
            </w:r>
          </w:p>
        </w:tc>
        <w:tc>
          <w:tcPr>
            <w:tcW w:type="dxa" w:w="352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Вариант, допущения, полномочие, дата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Воспроизводимость выбора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Исполнение</w:t>
            </w:r>
          </w:p>
        </w:tc>
        <w:tc>
          <w:tcPr>
            <w:tcW w:type="dxa" w:w="352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Проект, контракт, актив, ответственный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Прослеживаемость действия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Результат</w:t>
            </w:r>
          </w:p>
        </w:tc>
        <w:tc>
          <w:tcPr>
            <w:tcW w:type="dxa" w:w="352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Общественный эффект и побочные последствия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Оценка пользы для целого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Доказательство</w:t>
            </w:r>
          </w:p>
        </w:tc>
        <w:tc>
          <w:tcPr>
            <w:tcW w:type="dxa" w:w="352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Источник, методика, версия, подпись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Доверие к данным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Для показателя роста используется нормирование s=(x−b)/(T−b), ограниченное диапазоном 0…1; для показателя снижения направление меняется. Оценка умножается на коэффициент доказательности c. Все веса, цели и методы утверждаются до периода оценки.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04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19 национальных балансов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создать единую систему координат  →  Результат: сопоставимость решений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Предлагаемый классификатор не заменяет документы стратегического планирования. Он связывает их по объектам воздействия и позволяет видеть перенос ресурсов, эффектов и рисков между секторами.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648"/>
        <w:gridCol w:w="3960"/>
        <w:gridCol w:w="648"/>
        <w:gridCol w:w="4104"/>
      </w:tblGrid>
      <w:tr>
        <w:trPr>
          <w:tblHeader w:val="true"/>
          <w:cantSplit/>
        </w:trPr>
        <w:tc>
          <w:tcPr>
            <w:tcW w:type="dxa" w:w="64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Код</w:t>
            </w:r>
          </w:p>
        </w:tc>
        <w:tc>
          <w:tcPr>
            <w:tcW w:type="dxa" w:w="396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Баланс</w:t>
            </w:r>
          </w:p>
        </w:tc>
        <w:tc>
          <w:tcPr>
            <w:tcW w:type="dxa" w:w="64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Код</w:t>
            </w:r>
          </w:p>
        </w:tc>
        <w:tc>
          <w:tcPr>
            <w:tcW w:type="dxa" w:w="410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Баланс</w:t>
            </w:r>
          </w:p>
        </w:tc>
      </w:tr>
      <w:tr>
        <w:trPr>
          <w:cantSplit/>
        </w:trPr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01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Демография и человеческий потенциал</w:t>
            </w:r>
          </w:p>
        </w:tc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11</w:t>
            </w:r>
          </w:p>
        </w:tc>
        <w:tc>
          <w:tcPr>
            <w:tcW w:type="dxa" w:w="410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Экология и биосфера</w:t>
            </w:r>
          </w:p>
        </w:tc>
      </w:tr>
      <w:tr>
        <w:trPr>
          <w:cantSplit/>
        </w:trPr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02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Здоровье и активная жизнь</w:t>
            </w:r>
          </w:p>
        </w:tc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12</w:t>
            </w:r>
          </w:p>
        </w:tc>
        <w:tc>
          <w:tcPr>
            <w:tcW w:type="dxa" w:w="410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Пространственное развитие</w:t>
            </w:r>
          </w:p>
        </w:tc>
      </w:tr>
      <w:tr>
        <w:trPr>
          <w:cantSplit/>
        </w:trPr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03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Образование и компетенции</w:t>
            </w:r>
          </w:p>
        </w:tc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13</w:t>
            </w:r>
          </w:p>
        </w:tc>
        <w:tc>
          <w:tcPr>
            <w:tcW w:type="dxa" w:w="410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Жильё и городская среда</w:t>
            </w:r>
          </w:p>
        </w:tc>
      </w:tr>
      <w:tr>
        <w:trPr>
          <w:cantSplit/>
        </w:trPr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04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Наука и технологии</w:t>
            </w:r>
          </w:p>
        </w:tc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14</w:t>
            </w:r>
          </w:p>
        </w:tc>
        <w:tc>
          <w:tcPr>
            <w:tcW w:type="dxa" w:w="410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Транспорт и логистика</w:t>
            </w:r>
          </w:p>
        </w:tc>
      </w:tr>
      <w:tr>
        <w:trPr>
          <w:cantSplit/>
        </w:trPr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05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Труд и занятость</w:t>
            </w:r>
          </w:p>
        </w:tc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15</w:t>
            </w:r>
          </w:p>
        </w:tc>
        <w:tc>
          <w:tcPr>
            <w:tcW w:type="dxa" w:w="410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Цифровая и информационная среда</w:t>
            </w:r>
          </w:p>
        </w:tc>
      </w:tr>
      <w:tr>
        <w:trPr>
          <w:cantSplit/>
        </w:trPr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06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Промышленность и мощности</w:t>
            </w:r>
          </w:p>
        </w:tc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16</w:t>
            </w:r>
          </w:p>
        </w:tc>
        <w:tc>
          <w:tcPr>
            <w:tcW w:type="dxa" w:w="410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Финансы, бюджет и инвестиции</w:t>
            </w:r>
          </w:p>
        </w:tc>
      </w:tr>
      <w:tr>
        <w:trPr>
          <w:cantSplit/>
        </w:trPr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07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Энергетика</w:t>
            </w:r>
          </w:p>
        </w:tc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17</w:t>
            </w:r>
          </w:p>
        </w:tc>
        <w:tc>
          <w:tcPr>
            <w:tcW w:type="dxa" w:w="410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Внешняя кооперация</w:t>
            </w:r>
          </w:p>
        </w:tc>
      </w:tr>
      <w:tr>
        <w:trPr>
          <w:cantSplit/>
        </w:trPr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08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Сырьё и ресурсы</w:t>
            </w:r>
          </w:p>
        </w:tc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18</w:t>
            </w:r>
          </w:p>
        </w:tc>
        <w:tc>
          <w:tcPr>
            <w:tcW w:type="dxa" w:w="410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Безопасность и устойчивость</w:t>
            </w:r>
          </w:p>
        </w:tc>
      </w:tr>
      <w:tr>
        <w:trPr>
          <w:cantSplit/>
        </w:trPr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09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Продовольствие</w:t>
            </w:r>
          </w:p>
        </w:tc>
        <w:tc>
          <w:tcPr>
            <w:tcW w:type="dxa" w:w="64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19</w:t>
            </w:r>
          </w:p>
        </w:tc>
        <w:tc>
          <w:tcPr>
            <w:tcW w:type="dxa" w:w="410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Культура и историческое наследие</w:t>
            </w:r>
          </w:p>
        </w:tc>
      </w:tr>
      <w:tr>
        <w:trPr>
          <w:cantSplit/>
        </w:trPr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10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Вода</w:t>
            </w:r>
          </w:p>
        </w:tc>
        <w:tc>
          <w:tcPr>
            <w:tcW w:type="dxa" w:w="64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</w:r>
          </w:p>
        </w:tc>
        <w:tc>
          <w:tcPr>
            <w:tcW w:type="dxa" w:w="410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1"/>
              </w:rPr>
              <w:t xml:space="preserve">Правило владельца.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1"/>
              </w:rPr>
              <w:t>Государство остаётся владельцем национальной цели и баланса. Корпоративный участник получает только согласованный мандат исполнения и обязан раскрывать вклад, риск и доказательство.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Каждый баланс имеет паспорт, владельца данных, ответственный орган и корпоративный портфель исполнения.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Проект входит в портфель только после проверки влияния минимум на основной и смежные балансы.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Нельзя улучшать один баланс ценой скрытого ухудшения другого; отрицательные эффекты показываются отдельно.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05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Принципы архитектуры SUR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закрепить правила  →  Результат: кодекс проектирования и контроля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Законность: новый контур не подменяет Президента, Правительство, Федеральное Собрание, Счётную палату, ФОИВ и органы корпоративного управления.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Целостность: решение оценивается по совокупному эффекту на национальные балансы.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Субсидиарность: задача решается на минимально достаточном уровне полномочий.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Единообразие данных: общие идентификаторы, классификаторы и правила версионирования.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Различение прав: казна, имущество госкорпорации, акции, дочерние активы и привлечённые средства не смешиваются.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Доказательность: показатель без источника и воспроизводимой методики не считается достигнутым.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Предварительное моделирование: значимое решение получает сценарный паспорт до запуска.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Жизненный цикл: учитываются создание, эксплуатация, обновление, утилизация и восстановление.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Отсутствие двойного счёта: один эффект распределяется между участниками по утверждённой атрибуции.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Двухконтурная прозрачность: открытая отчётность сочетается с защищённым приложением.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Обратимость: пилотные решения имеют условия остановки, пересмотра и масштабирования.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Преемственность: знания, основания и версии сохраняются в Архиве наследия.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Конституция Единого.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SUR является общим слоем правил, данных, идентичности и координации. Он связывает модули общими протоколами, не поглощая их.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06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Правовой периметр и роль госкорпораций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разделить формы и мандаты  →  Результат: матрица полномочий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По состоянию на 28 августа 2026 года в России действуют пять госкорпораций в строгом смысле статьи 7.1 Закона № 7‑ФЗ. Термин нельзя распространять на все крупные организации государственного сектора.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800"/>
        <w:gridCol w:w="3096"/>
        <w:gridCol w:w="4464"/>
      </w:tblGrid>
      <w:tr>
        <w:trPr>
          <w:tblHeader w:val="true"/>
          <w:cantSplit/>
        </w:trPr>
        <w:tc>
          <w:tcPr>
            <w:tcW w:type="dxa" w:w="180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Форма</w:t>
            </w:r>
          </w:p>
        </w:tc>
        <w:tc>
          <w:tcPr>
            <w:tcW w:type="dxa" w:w="309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Примеры</w:t>
            </w:r>
          </w:p>
        </w:tc>
        <w:tc>
          <w:tcPr>
            <w:tcW w:type="dxa" w:w="44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Механизм государственного управления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Госкорпорация</w:t>
            </w:r>
          </w:p>
        </w:tc>
        <w:tc>
          <w:tcPr>
            <w:tcW w:type="dxa" w:w="309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ВЭБ.РФ, Ростех, Росатом, Роскосмос, АСВ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Специальный федеральный закон; наблюдательный совет / совет директоров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Госкомпания</w:t>
            </w:r>
          </w:p>
        </w:tc>
        <w:tc>
          <w:tcPr>
            <w:tcW w:type="dxa" w:w="309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Российские автомобильные дороги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Статья 7.2 Закона № 7‑ФЗ и специальный закон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ППК</w:t>
            </w:r>
          </w:p>
        </w:tc>
        <w:tc>
          <w:tcPr>
            <w:tcW w:type="dxa" w:w="309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ФРТ, Роскадастр, Единый заказчик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Закон № 236‑ФЗ и акт о конкретной ППК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АО с госучастием</w:t>
            </w:r>
          </w:p>
        </w:tc>
        <w:tc>
          <w:tcPr>
            <w:tcW w:type="dxa" w:w="309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РЖД, ДОМ.РФ и другие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Государство действует как акционер через корпоративные процедуры и директивы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ФГУП / учреждение</w:t>
            </w:r>
          </w:p>
        </w:tc>
        <w:tc>
          <w:tcPr>
            <w:tcW w:type="dxa" w:w="309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 соответствующим реестрам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Полномочия собственника и отраслевого органа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Юридическая граница.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Имущество госкорпорации принадлежит ей, а не казне. Координационный центр не вправе распоряжаться активом, менять мандат или подменять наблюдательный совет без нормативного основания.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Постановление Правительства РФ № 761 от 19.06.2026 относит программные и плановые документы госкорпораций, госкомпаний и АО с госучастием к инструментам Единого плана. Следовательно, интеграция строится через связь целей, программ, показателей и мониторинга, а не через административное объединение юридических лиц.</w:t>
      </w:r>
    </w:p>
    <w:p>
      <w:pPr>
        <w:spacing w:before="100" w:after="0" w:line="264" w:lineRule="auto"/>
      </w:pPr>
      <w:r>
        <w:rPr>
          <w:rFonts w:ascii="Arial" w:hAnsi="Arial" w:eastAsia="Arial"/>
          <w:b w:val="0"/>
          <w:i/>
          <w:color w:val="5D6B7A"/>
          <w:sz w:val="16"/>
        </w:rPr>
        <w:t>Источник / правовая основа: 7‑ФЗ, специальные законы № 82‑ФЗ, 270‑ФЗ, 317‑ФЗ, 215‑ФЗ, 177‑ФЗ; Постановление № 761.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07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Целевая архитектура замкнутого цикла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связать контуры  →  Результат: полный управленческий цикл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Архитектура SUR организует единый маршрут решения. Каждый модуль имеет собственную функцию, владельца и критерий готовности; переход к следующему этапу допускается только через проверяемый шлюз.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32"/>
        <w:gridCol w:w="4392"/>
        <w:gridCol w:w="2736"/>
      </w:tblGrid>
      <w:tr>
        <w:trPr>
          <w:tblHeader w:val="true"/>
          <w:cantSplit/>
        </w:trPr>
        <w:tc>
          <w:tcPr>
            <w:tcW w:type="dxa" w:w="223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Контур</w:t>
            </w:r>
          </w:p>
        </w:tc>
        <w:tc>
          <w:tcPr>
            <w:tcW w:type="dxa" w:w="439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Роль</w:t>
            </w:r>
          </w:p>
        </w:tc>
        <w:tc>
          <w:tcPr>
            <w:tcW w:type="dxa" w:w="273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Выход / шлюз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ОКО / ЭКВИЛИБРИУМ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Наблюдение, балансировка, раннее предупреждение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Сигнал и карта отклонений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ИАЦ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Сведение данных, причинный и сценарный анализ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Варианты решения и риски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Цифровой двойник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Моделирование последствий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Сценарный паспорт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СФЕРА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Приём и структурирование инициатив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Паспорт проектного замысла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ECO‑PPA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Обязательства, ресурсы, контрактная рамка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Обеспеченный проект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СПЕЦЗАЩИТА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Консорциум, производство, пилот, масштабирование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Исполненный этап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ESG‑IR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Измерение и верификация воздействия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Доказанный результат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Архив наследия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Версии, основания, знания и права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Институциональная память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Обратная связь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Коррекция целей, модели и портфеля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Новое состояние балансов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Масштабирование по готовности.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Расширение определяется готовностью шлюзов данных, права, методики и исполнения, а не календарём как таковым.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08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ОКО / ЭКВИЛИБРИУМ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наблюдать и балансировать  →  Результат: карта угроз и возможностей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ЭКВИЛИБРИУМ — интеллектуальный контур наблюдения, анализа, прогнозирования и контроля национальных балансов. Он не принимает властных решений; его задача — своевременно показать отклонение, вероятную причину, последствия бездействия и возможные точки воздействия.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32"/>
        <w:gridCol w:w="3384"/>
        <w:gridCol w:w="3744"/>
      </w:tblGrid>
      <w:tr>
        <w:trPr>
          <w:tblHeader w:val="true"/>
          <w:cantSplit/>
        </w:trPr>
        <w:tc>
          <w:tcPr>
            <w:tcW w:type="dxa" w:w="223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Вопрос</w:t>
            </w:r>
          </w:p>
        </w:tc>
        <w:tc>
          <w:tcPr>
            <w:tcW w:type="dxa" w:w="338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Ответ системы</w:t>
            </w:r>
          </w:p>
        </w:tc>
        <w:tc>
          <w:tcPr>
            <w:tcW w:type="dxa" w:w="374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Управленческий продукт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Что происходит?</w:t>
            </w:r>
          </w:p>
        </w:tc>
        <w:tc>
          <w:tcPr>
            <w:tcW w:type="dxa" w:w="33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Факт, динамика, пространственная картина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Ситуационная карта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Это норма или угроза?</w:t>
            </w:r>
          </w:p>
        </w:tc>
        <w:tc>
          <w:tcPr>
            <w:tcW w:type="dxa" w:w="33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Сравнение с диапазоном и трендом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Класс отклонения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Почему?</w:t>
            </w:r>
          </w:p>
        </w:tc>
        <w:tc>
          <w:tcPr>
            <w:tcW w:type="dxa" w:w="33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Связи потоков, событий и решений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Гипотеза причин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Что будет дальше?</w:t>
            </w:r>
          </w:p>
        </w:tc>
        <w:tc>
          <w:tcPr>
            <w:tcW w:type="dxa" w:w="33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Прогноз и стресс‑сценарии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Окно предупреждения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Где воздействовать?</w:t>
            </w:r>
          </w:p>
        </w:tc>
        <w:tc>
          <w:tcPr>
            <w:tcW w:type="dxa" w:w="33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Узлы с максимальной чувствительностью</w:t>
            </w:r>
          </w:p>
        </w:tc>
        <w:tc>
          <w:tcPr>
            <w:tcW w:type="dxa" w:w="37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Набор рычагов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Что изменилось после действия?</w:t>
            </w:r>
          </w:p>
        </w:tc>
        <w:tc>
          <w:tcPr>
            <w:tcW w:type="dxa" w:w="33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Факт против сценария и плана</w:t>
            </w:r>
          </w:p>
        </w:tc>
        <w:tc>
          <w:tcPr>
            <w:tcW w:type="dxa" w:w="37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Оценка результата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Индекс показывает баланс, но не скрывает первичные показатели и критические провалы.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Сигналы разделяются на факты, прогнозы, сценарные оценки и экспертные допущения.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1"/>
        </w:rPr>
        <w:t>Закрытые данные обрабатываются в суверенном защищённом контуре; открытая часть содержит допустимые агрегаты.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Раннее предупреждение.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Наблюдение → распознавание → прогноз → предупреждение → мобилизация ресурсов → реагирование → восстановление → контроль результата.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09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ИАЦ и цифровой двойник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подготовить варианты решений  →  Результат: моделируемые последствия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ИАЦ переводит сигнал ЭКВИЛИБРИУМ в управленческий вопрос, собирает межотраслевые данные, формирует альтернативы и проверяет их на цифровом двойнике страны, отрасли или территории.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872"/>
        <w:gridCol w:w="4464"/>
        <w:gridCol w:w="3024"/>
      </w:tblGrid>
      <w:tr>
        <w:trPr>
          <w:tblHeader w:val="true"/>
          <w:cantSplit/>
        </w:trPr>
        <w:tc>
          <w:tcPr>
            <w:tcW w:type="dxa" w:w="187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Этап</w:t>
            </w:r>
          </w:p>
        </w:tc>
        <w:tc>
          <w:tcPr>
            <w:tcW w:type="dxa" w:w="44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Действие ИАЦ</w:t>
            </w:r>
          </w:p>
        </w:tc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 качества</w:t>
            </w:r>
          </w:p>
        </w:tc>
      </w:tr>
      <w:tr>
        <w:trPr>
          <w:cantSplit/>
        </w:trPr>
        <w:tc>
          <w:tcPr>
            <w:tcW w:type="dxa" w:w="18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1. Постановка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Объект, цель, границы, срок, полномочие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Однозначный вопрос</w:t>
            </w:r>
          </w:p>
        </w:tc>
      </w:tr>
      <w:tr>
        <w:trPr>
          <w:cantSplit/>
        </w:trPr>
        <w:tc>
          <w:tcPr>
            <w:tcW w:type="dxa" w:w="18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2. Исходная линия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Факт, база, взаимосвязи, ограничения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Паспорт данных</w:t>
            </w:r>
          </w:p>
        </w:tc>
      </w:tr>
      <w:tr>
        <w:trPr>
          <w:cantSplit/>
        </w:trPr>
        <w:tc>
          <w:tcPr>
            <w:tcW w:type="dxa" w:w="18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3. Альтернативы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Не менее двух вариантов и вариант бездействия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Сопоставимые условия</w:t>
            </w:r>
          </w:p>
        </w:tc>
      </w:tr>
      <w:tr>
        <w:trPr>
          <w:cantSplit/>
        </w:trPr>
        <w:tc>
          <w:tcPr>
            <w:tcW w:type="dxa" w:w="18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4. Моделирование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Прямые, косвенные и территориальные эффекты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Версия модели и допущений</w:t>
            </w:r>
          </w:p>
        </w:tc>
      </w:tr>
      <w:tr>
        <w:trPr>
          <w:cantSplit/>
        </w:trPr>
        <w:tc>
          <w:tcPr>
            <w:tcW w:type="dxa" w:w="18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5. Риск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Стресс‑тест, непрерывность, обратимость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Критические пороги</w:t>
            </w:r>
          </w:p>
        </w:tc>
      </w:tr>
      <w:tr>
        <w:trPr>
          <w:cantSplit/>
        </w:trPr>
        <w:tc>
          <w:tcPr>
            <w:tcW w:type="dxa" w:w="18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6. Решение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Матрица «эффект — ресурс — риск — срок»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Сценарный паспорт</w:t>
            </w:r>
          </w:p>
        </w:tc>
      </w:tr>
      <w:tr>
        <w:trPr>
          <w:cantSplit/>
        </w:trPr>
        <w:tc>
          <w:tcPr>
            <w:tcW w:type="dxa" w:w="18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7. Обучение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Сравнение прогноза с результатом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Коррекция модели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Для межотраслевых сценариев применяется модель Леонтьева: Δx=(I−A)⁻¹Δy. Мультипликатор и добавленная стоимость считаются сценарной оценкой; причинным доказанным эффектом они становятся только при подтверждённом контрфактическом сравнении.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Результат.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До запуска проекта государство видит вероятное влияние на смежные отрасли, территорию, бюджет, критические ресурсы, кадры и экологические обязательства.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10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Суверенный контур данных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установить происхождение и права  →  Результат: доверенная среда данных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Система не требует бесконтрольного объединения всех массивов. Она вводит единый каталог и правила доступа, сохраняя данные у законных владельцев. Обмен строится через паспорта, API/шлюзы, журналы событий и ролевые полномочия.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944"/>
        <w:gridCol w:w="4752"/>
        <w:gridCol w:w="2664"/>
      </w:tblGrid>
      <w:tr>
        <w:trPr>
          <w:tblHeader w:val="true"/>
          <w:cantSplit/>
        </w:trPr>
        <w:tc>
          <w:tcPr>
            <w:tcW w:type="dxa" w:w="194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Слой</w:t>
            </w:r>
          </w:p>
        </w:tc>
        <w:tc>
          <w:tcPr>
            <w:tcW w:type="dxa" w:w="475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Минимальный состав</w:t>
            </w:r>
          </w:p>
        </w:tc>
        <w:tc>
          <w:tcPr>
            <w:tcW w:type="dxa" w:w="26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Режим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Идентичность</w:t>
            </w:r>
          </w:p>
        </w:tc>
        <w:tc>
          <w:tcPr>
            <w:tcW w:type="dxa" w:w="47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Корпорация, проект, актив, территория, показатель, период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Единые коды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Происхождение</w:t>
            </w:r>
          </w:p>
        </w:tc>
        <w:tc>
          <w:tcPr>
            <w:tcW w:type="dxa" w:w="47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Источник, дата, метод, владелец, подпись, версия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Обязательный аудит‑след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Права</w:t>
            </w:r>
          </w:p>
        </w:tc>
        <w:tc>
          <w:tcPr>
            <w:tcW w:type="dxa" w:w="47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Основание, цель обработки, срок, получатель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Наименьшие привилегии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Качество</w:t>
            </w:r>
          </w:p>
        </w:tc>
        <w:tc>
          <w:tcPr>
            <w:tcW w:type="dxa" w:w="47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Полнота, актуальность, согласованность, ошибка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Автопроверка + эксперт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Безопасность</w:t>
            </w:r>
          </w:p>
        </w:tc>
        <w:tc>
          <w:tcPr>
            <w:tcW w:type="dxa" w:w="47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Класс, сегмент, шифрование, журнал доступа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Открытый / служебный / закрытый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Исправления</w:t>
            </w:r>
          </w:p>
        </w:tc>
        <w:tc>
          <w:tcPr>
            <w:tcW w:type="dxa" w:w="47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Новое значение, причина, автор, время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Предыдущая версия не удаляется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Базовый государственный контур: ГАС «Управление», ФИС стратегического планирования, ГИИС «Электронный бюджет» и официальная статистика.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SUR работает как федерация данных и не утверждает, что все системы уже интегрированы в реальном времени.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Цифровой двойник хранит ссылки на доказательства и версии, а не бесконтрольные копии всех первичных массивов.</w:t>
      </w:r>
    </w:p>
    <w:p>
      <w:pPr>
        <w:spacing w:before="100" w:after="0" w:line="264" w:lineRule="auto"/>
      </w:pPr>
      <w:r>
        <w:rPr>
          <w:rFonts w:ascii="Arial" w:hAnsi="Arial" w:eastAsia="Arial"/>
          <w:b w:val="0"/>
          <w:i/>
          <w:color w:val="5D6B7A"/>
          <w:sz w:val="16"/>
        </w:rPr>
        <w:t>Источник / правовая основа: Постановления Правительства РФ № 761 от 19.06.2026 и № 658 от 30.06.2015 в актуальной редакции.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11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Архив сохранения наследия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сохранить знания и основания  →  Результат: институциональная память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Архив сохранения наследия — интеллектуальный контур преемственности. Он соединяет правовые основания, документы, цифровые двойники, стандарты, технологические решения и подтверждённые результаты, чтобы новый управленческий цикл начинался не с потери опыта.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800"/>
        <w:gridCol w:w="4536"/>
        <w:gridCol w:w="3024"/>
      </w:tblGrid>
      <w:tr>
        <w:trPr>
          <w:tblHeader w:val="true"/>
          <w:cantSplit/>
        </w:trPr>
        <w:tc>
          <w:tcPr>
            <w:tcW w:type="dxa" w:w="180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Объект</w:t>
            </w:r>
          </w:p>
        </w:tc>
        <w:tc>
          <w:tcPr>
            <w:tcW w:type="dxa" w:w="453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Что сохраняется</w:t>
            </w:r>
          </w:p>
        </w:tc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Практическая ценность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Решение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Версия, авторство, полномочие, протокол, альтернативы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Воспроизводимость выбора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Проект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Паспорт, контракт, этапы, риски, результаты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Передача между командами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Технология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Права, испытания, стандарты, применимость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Повторное использование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Актив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Происхождение, состояние, ремонты, цифровой двойник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Жизненный цикл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Наследие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Классы C1–C6, паспорт, хранение, доступ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Межпоколенческая передача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Доказательство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Первичные данные, метод, подпись, хеш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Аудит и верификация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Принцип права.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Собственность остаётся у законного владельца или хранителя. Система обеспечивает идентификацию, сохранение, доказательство происхождения и контролируемый доступ.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Шлюз «Наследие Connect» может связать паспорт с хранением, страхованием, логистикой, государственными сервисами, исследованием и образованием. Инвестиционное использование допускается только в отдельном правовом режиме и не подменяет охрану наследия.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12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СФЕРА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структурировать инициативы  →  Результат: единый реестр проектных замыслов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СФЕРА — входной контур инициатив от органов власти, госкорпораций, науки, бизнеса, регионов и общества. Она отделяет идею от готового проекта и переводит предложение в сопоставимый паспорт.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944"/>
        <w:gridCol w:w="4392"/>
        <w:gridCol w:w="3024"/>
      </w:tblGrid>
      <w:tr>
        <w:trPr>
          <w:tblHeader w:val="true"/>
          <w:cantSplit/>
        </w:trPr>
        <w:tc>
          <w:tcPr>
            <w:tcW w:type="dxa" w:w="194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Поле паспорта</w:t>
            </w:r>
          </w:p>
        </w:tc>
        <w:tc>
          <w:tcPr>
            <w:tcW w:type="dxa" w:w="439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Содержание</w:t>
            </w:r>
          </w:p>
        </w:tc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Условие прохождения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Проблема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Наблюдаемое отклонение и затронутые балансы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Есть подтверждённая исходная линия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Результат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Изменение для граждан, территории, отрасли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Есть измеримый показатель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Решение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Технология, способ, жизненный цикл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Проверена реализуемость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Участники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Владелец результата, заказчик, исполнители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Нет конфликта полномочий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Ресурсы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Капитал, мощности, кадры, данные, права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Источники предварительно подтверждены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Риски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Зависимости, побочные эффекты, безопасность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Определены критические пороги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Доказательства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Документы, расчёты, испытания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Материалы доступны для проверки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Инициатива получает статус: сигнал → замысел → концепция → обеспеченный проект → пилот → масштабирование → завершение.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Отказ или возврат сопровождается основанием; история не удаляется и может быть пересмотрена при изменении условий.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Выход СФЕРЫ.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Не презентация идеи, а сопоставимый паспорт, готовый к сценарию ИАЦ и договорной сборке ECO‑PPA.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13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ECO‑PPA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связать обязательства и ресурсы  →  Результат: обеспеченный проект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ECO‑PPA — договорная и финансово‑ресурсная рамка, превращающая согласованный замысел в набор обязательств. Название PPA здесь используется как проектная модель соглашения о результате и требует правовой квалификации для каждого вида сделки.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32"/>
        <w:gridCol w:w="4464"/>
        <w:gridCol w:w="2664"/>
      </w:tblGrid>
      <w:tr>
        <w:trPr>
          <w:tblHeader w:val="true"/>
          <w:cantSplit/>
        </w:trPr>
        <w:tc>
          <w:tcPr>
            <w:tcW w:type="dxa" w:w="223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Блок соглашения</w:t>
            </w:r>
          </w:p>
        </w:tc>
        <w:tc>
          <w:tcPr>
            <w:tcW w:type="dxa" w:w="44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Фиксируется</w:t>
            </w:r>
          </w:p>
        </w:tc>
        <w:tc>
          <w:tcPr>
            <w:tcW w:type="dxa" w:w="26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Государственный результат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Показатель, база, цель, срок, получатель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Паспорт баланса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Предмет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Работы, поставки, услуги, данные, права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Техническое задание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Ресурсы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Деньги, активы, мощности, сырьё, кадры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Подтверждение источника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Распределение рисков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Кто управляет и кто несёт последствия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Матрица рисков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Платёж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Этап, условие, приемка, удержание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Связь с доказанным результатом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Данные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Состав, права, безопасность, сроки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Соглашение о данных</w:t>
            </w:r>
          </w:p>
        </w:tc>
      </w:tr>
      <w:tr>
        <w:trPr>
          <w:cantSplit/>
        </w:trPr>
        <w:tc>
          <w:tcPr>
            <w:tcW w:type="dxa" w:w="223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Верификация</w:t>
            </w:r>
          </w:p>
        </w:tc>
        <w:tc>
          <w:tcPr>
            <w:tcW w:type="dxa" w:w="44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Метод, независимость, класс доказательности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ESG‑IR</w:t>
            </w:r>
          </w:p>
        </w:tc>
      </w:tr>
      <w:tr>
        <w:trPr>
          <w:cantSplit/>
        </w:trPr>
        <w:tc>
          <w:tcPr>
            <w:tcW w:type="dxa" w:w="223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Изменения</w:t>
            </w:r>
          </w:p>
        </w:tc>
        <w:tc>
          <w:tcPr>
            <w:tcW w:type="dxa" w:w="44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Порог, процедура, версия, расторжение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Журнал решений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1"/>
              </w:rPr>
              <w:t xml:space="preserve">Экономический соединитель.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1"/>
              </w:rPr>
              <w:t>Задача + технология + кооперация + капитал + контракт + данные + результат.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ECO‑PPA не отменяет бюджетное, закупочное, концессионное, корпоративное или отраслевое право. Для пилота формируется библиотека допустимых договорных конструкций и таблица применимости.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14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СПЕЦЗАЩИТА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организовать кооперацию и исполнение  →  Результат: исполнительный консорциум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СПЕЦЗАЩИТА — кооперационный контур исполнения. Она соединяет предприятия, научные организации, регионы, поставщиков, экспертов и инфраструктурных операторов вокруг конкретного результата, не присваивая их активы и мандаты.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376"/>
        <w:gridCol w:w="4392"/>
        <w:gridCol w:w="2592"/>
      </w:tblGrid>
      <w:tr>
        <w:trPr>
          <w:tblHeader w:val="true"/>
          <w:cantSplit/>
        </w:trPr>
        <w:tc>
          <w:tcPr>
            <w:tcW w:type="dxa" w:w="237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Функция</w:t>
            </w:r>
          </w:p>
        </w:tc>
        <w:tc>
          <w:tcPr>
            <w:tcW w:type="dxa" w:w="439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Механизм</w:t>
            </w:r>
          </w:p>
        </w:tc>
        <w:tc>
          <w:tcPr>
            <w:tcW w:type="dxa" w:w="259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237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Сбор консорциума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Проверка компетенций, прав и ресурсов</w:t>
            </w:r>
          </w:p>
        </w:tc>
        <w:tc>
          <w:tcPr>
            <w:tcW w:type="dxa" w:w="25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Утверждённый состав</w:t>
            </w:r>
          </w:p>
        </w:tc>
      </w:tr>
      <w:tr>
        <w:trPr>
          <w:cantSplit/>
        </w:trPr>
        <w:tc>
          <w:tcPr>
            <w:tcW w:type="dxa" w:w="237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Декомпозиция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Работы, интерфейсы, контрольные точки</w:t>
            </w:r>
          </w:p>
        </w:tc>
        <w:tc>
          <w:tcPr>
            <w:tcW w:type="dxa" w:w="25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Матрица ответственности</w:t>
            </w:r>
          </w:p>
        </w:tc>
      </w:tr>
      <w:tr>
        <w:trPr>
          <w:cantSplit/>
        </w:trPr>
        <w:tc>
          <w:tcPr>
            <w:tcW w:type="dxa" w:w="237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Производственная кооперация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Заказы, мощности, качество, резервирование</w:t>
            </w:r>
          </w:p>
        </w:tc>
        <w:tc>
          <w:tcPr>
            <w:tcW w:type="dxa" w:w="25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Устойчивая цепочка</w:t>
            </w:r>
          </w:p>
        </w:tc>
      </w:tr>
      <w:tr>
        <w:trPr>
          <w:cantSplit/>
        </w:trPr>
        <w:tc>
          <w:tcPr>
            <w:tcW w:type="dxa" w:w="237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Пилотирование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Ограниченный контур, критерии допуска</w:t>
            </w:r>
          </w:p>
        </w:tc>
        <w:tc>
          <w:tcPr>
            <w:tcW w:type="dxa" w:w="25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Подтверждённая технология</w:t>
            </w:r>
          </w:p>
        </w:tc>
      </w:tr>
      <w:tr>
        <w:trPr>
          <w:cantSplit/>
        </w:trPr>
        <w:tc>
          <w:tcPr>
            <w:tcW w:type="dxa" w:w="237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Масштабирование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Типовые модули и требования</w:t>
            </w:r>
          </w:p>
        </w:tc>
        <w:tc>
          <w:tcPr>
            <w:tcW w:type="dxa" w:w="25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Повторяемый результат</w:t>
            </w:r>
          </w:p>
        </w:tc>
      </w:tr>
      <w:tr>
        <w:trPr>
          <w:cantSplit/>
        </w:trPr>
        <w:tc>
          <w:tcPr>
            <w:tcW w:type="dxa" w:w="237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Реагирование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Мобилизация при угрозе или дефиците</w:t>
            </w:r>
          </w:p>
        </w:tc>
        <w:tc>
          <w:tcPr>
            <w:tcW w:type="dxa" w:w="25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Сохранение функции</w:t>
            </w:r>
          </w:p>
        </w:tc>
      </w:tr>
      <w:tr>
        <w:trPr>
          <w:cantSplit/>
        </w:trPr>
        <w:tc>
          <w:tcPr>
            <w:tcW w:type="dxa" w:w="237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Завершение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Приёмка, архив, уроки, высвобождение ресурсов</w:t>
            </w:r>
          </w:p>
        </w:tc>
        <w:tc>
          <w:tcPr>
            <w:tcW w:type="dxa" w:w="25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Закрытый жизненный цикл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Единицей управления является не участник, а обязательство в кооперационной цепочке.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Критические операции имеют резервного исполнителя, альтернативный материал или план восстановления.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Выполнение подтверждается первичными данными и передаётся в ESG‑IR и Архив наследия.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Граница.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СПЕЦЗАЩИТА не подменяет государственного заказчика, корпоративный орган, технический надзор или лицензирующий орган.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15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ESG‑IR 1.0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измерить и подтвердить воздействие  →  Результат: верифицируемый результат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ESG‑IR — стандарт доказательности общественного, экологического и экономического результата. Он не сводится к рейтингу: каждое утверждение связано с границами, формулой, первичными данными, методом и ответственным.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936"/>
        <w:gridCol w:w="6912"/>
        <w:gridCol w:w="1512"/>
      </w:tblGrid>
      <w:tr>
        <w:trPr>
          <w:tblHeader w:val="true"/>
          <w:cantSplit/>
        </w:trPr>
        <w:tc>
          <w:tcPr>
            <w:tcW w:type="dxa" w:w="93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Класс</w:t>
            </w:r>
          </w:p>
        </w:tc>
        <w:tc>
          <w:tcPr>
            <w:tcW w:type="dxa" w:w="691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Требование</w:t>
            </w:r>
          </w:p>
        </w:tc>
        <w:tc>
          <w:tcPr>
            <w:tcW w:type="dxa" w:w="151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Коэффициент c</w:t>
            </w:r>
          </w:p>
        </w:tc>
      </w:tr>
      <w:tr>
        <w:trPr>
          <w:cantSplit/>
        </w:trPr>
        <w:tc>
          <w:tcPr>
            <w:tcW w:type="dxa" w:w="9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A</w:t>
            </w:r>
          </w:p>
        </w:tc>
        <w:tc>
          <w:tcPr>
            <w:tcW w:type="dxa" w:w="691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Первичные данные, подпись, сверка и независимая верификация</w:t>
            </w:r>
          </w:p>
        </w:tc>
        <w:tc>
          <w:tcPr>
            <w:tcW w:type="dxa" w:w="151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1,00</w:t>
            </w:r>
          </w:p>
        </w:tc>
      </w:tr>
      <w:tr>
        <w:trPr>
          <w:cantSplit/>
        </w:trPr>
        <w:tc>
          <w:tcPr>
            <w:tcW w:type="dxa" w:w="9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B</w:t>
            </w:r>
          </w:p>
        </w:tc>
        <w:tc>
          <w:tcPr>
            <w:tcW w:type="dxa" w:w="691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Первичные данные и сверка; независимая проверка не завершена</w:t>
            </w:r>
          </w:p>
        </w:tc>
        <w:tc>
          <w:tcPr>
            <w:tcW w:type="dxa" w:w="151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0,85</w:t>
            </w:r>
          </w:p>
        </w:tc>
      </w:tr>
      <w:tr>
        <w:trPr>
          <w:cantSplit/>
        </w:trPr>
        <w:tc>
          <w:tcPr>
            <w:tcW w:type="dxa" w:w="9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C</w:t>
            </w:r>
          </w:p>
        </w:tc>
        <w:tc>
          <w:tcPr>
            <w:tcW w:type="dxa" w:w="691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Воспроизводимая расчётная оценка с раскрытыми допущениями</w:t>
            </w:r>
          </w:p>
        </w:tc>
        <w:tc>
          <w:tcPr>
            <w:tcW w:type="dxa" w:w="151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0,60</w:t>
            </w:r>
          </w:p>
        </w:tc>
      </w:tr>
      <w:tr>
        <w:trPr>
          <w:cantSplit/>
        </w:trPr>
        <w:tc>
          <w:tcPr>
            <w:tcW w:type="dxa" w:w="9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D</w:t>
            </w:r>
          </w:p>
        </w:tc>
        <w:tc>
          <w:tcPr>
            <w:tcW w:type="dxa" w:w="691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Источник отсутствует либо расчёт невоспроизводим</w:t>
            </w:r>
          </w:p>
        </w:tc>
        <w:tc>
          <w:tcPr>
            <w:tcW w:type="dxa" w:w="151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0,00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Границы объекта, периода, базовые значения, цели, веса и формулы фиксируются до оценки.</w:t>
      </w: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Измеренные, расчётные, прогнозные и экспертные данные маркируются раздельно.</w:t>
      </w: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Числитель и знаменатель проходят отдельную проверку; межкорпоративные операции элиминируются.</w:t>
      </w: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Один эффект не зачитывается нескольким участникам сверх единицы атрибуции.</w:t>
      </w: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Исправление создаёт новую версию; исходная запись и причина изменения сохраняются.</w:t>
      </w:r>
    </w:p>
    <w:p>
      <w:pPr>
        <w:numPr>
          <w:ilvl w:val="0"/>
          <w:numId w:val="42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Для существенных KPI применяется независимая проверка и выборочное тестирование первичных записей.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Принцип.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Нет доказательства — нет достигнутого результата; отсутствие данных не трактуется как нейтральное значение.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16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Межкорпоративные цепочки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соединить компетенции  →  Результат: система систем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Госкорпорации и компании с государственным участием рассматриваются как узлы исполнения, а не автономные владельцы государственных целей. Кооперация строится вокруг баланса и проекта, с точным разграничением ролей.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3024"/>
        <w:gridCol w:w="3672"/>
        <w:gridCol w:w="2664"/>
      </w:tblGrid>
      <w:tr>
        <w:trPr>
          <w:tblHeader w:val="true"/>
          <w:cantSplit/>
        </w:trPr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Корпоративный контур*</w:t>
            </w:r>
          </w:p>
        </w:tc>
        <w:tc>
          <w:tcPr>
            <w:tcW w:type="dxa" w:w="367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Основной вклад</w:t>
            </w:r>
          </w:p>
        </w:tc>
        <w:tc>
          <w:tcPr>
            <w:tcW w:type="dxa" w:w="266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Связанные балансы</w:t>
            </w:r>
          </w:p>
        </w:tc>
      </w:tr>
      <w:tr>
        <w:trPr>
          <w:cantSplit/>
        </w:trPr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Финансы и развитие</w:t>
            </w:r>
          </w:p>
        </w:tc>
        <w:tc>
          <w:tcPr>
            <w:tcW w:type="dxa" w:w="36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Структурирование и финансирование портфелей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Инвестиции, регионы, технологии, экспорт</w:t>
            </w:r>
          </w:p>
        </w:tc>
      </w:tr>
      <w:tr>
        <w:trPr>
          <w:cantSplit/>
        </w:trPr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Промышленность и технологии</w:t>
            </w:r>
          </w:p>
        </w:tc>
        <w:tc>
          <w:tcPr>
            <w:tcW w:type="dxa" w:w="36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Мощности, кооперация, критические изделия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Промышленность, безопасность, труд</w:t>
            </w:r>
          </w:p>
        </w:tc>
      </w:tr>
      <w:tr>
        <w:trPr>
          <w:cantSplit/>
        </w:trPr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Атом и инженерия</w:t>
            </w:r>
          </w:p>
        </w:tc>
        <w:tc>
          <w:tcPr>
            <w:tcW w:type="dxa" w:w="36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Энергия, наука, сложные системы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Энергетика, технологии, экология</w:t>
            </w:r>
          </w:p>
        </w:tc>
      </w:tr>
      <w:tr>
        <w:trPr>
          <w:cantSplit/>
        </w:trPr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Космос и мониторинг</w:t>
            </w:r>
          </w:p>
        </w:tc>
        <w:tc>
          <w:tcPr>
            <w:tcW w:type="dxa" w:w="36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Наблюдение, связь, навигация, данные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Цифровая среда, безопасность, территория</w:t>
            </w:r>
          </w:p>
        </w:tc>
      </w:tr>
      <w:tr>
        <w:trPr>
          <w:cantSplit/>
        </w:trPr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Транспорт и логистика</w:t>
            </w:r>
          </w:p>
        </w:tc>
        <w:tc>
          <w:tcPr>
            <w:tcW w:type="dxa" w:w="36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Связанность и цепочки поставок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Транспорт, территория, экспорт</w:t>
            </w:r>
          </w:p>
        </w:tc>
      </w:tr>
      <w:tr>
        <w:trPr>
          <w:cantSplit/>
        </w:trPr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Жильё и города</w:t>
            </w:r>
          </w:p>
        </w:tc>
        <w:tc>
          <w:tcPr>
            <w:tcW w:type="dxa" w:w="367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Среда, коммунальная инфраструктура</w:t>
            </w:r>
          </w:p>
        </w:tc>
        <w:tc>
          <w:tcPr>
            <w:tcW w:type="dxa" w:w="266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Жильё, вода, экология, демография</w:t>
            </w:r>
          </w:p>
        </w:tc>
      </w:tr>
      <w:tr>
        <w:trPr>
          <w:cantSplit/>
        </w:trPr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Социальная и культурная сфера</w:t>
            </w:r>
          </w:p>
        </w:tc>
        <w:tc>
          <w:tcPr>
            <w:tcW w:type="dxa" w:w="367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Доступность услуг и человеческий потенциал</w:t>
            </w:r>
          </w:p>
        </w:tc>
        <w:tc>
          <w:tcPr>
            <w:tcW w:type="dxa" w:w="266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Здоровье, образование, наследие</w:t>
            </w:r>
          </w:p>
        </w:tc>
      </w:tr>
    </w:tbl>
    <w:p>
      <w:pPr>
        <w:spacing w:after="0" w:line="264" w:lineRule="auto"/>
      </w:pPr>
    </w:p>
    <w:p>
      <w:pPr>
        <w:spacing w:after="100" w:line="264" w:lineRule="auto"/>
      </w:pPr>
      <w:r>
        <w:rPr>
          <w:rFonts w:ascii="Arial" w:hAnsi="Arial" w:eastAsia="Arial"/>
          <w:b w:val="0"/>
          <w:i w:val="0"/>
          <w:color w:val="5D6B7A"/>
          <w:sz w:val="16"/>
        </w:rPr>
        <w:t>* Матрица является расчётным проектным предложением. Конкретные юридические лица и полномочия определяются после анализа законов, уставов, стратегий и решений собственника.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Владелец национального результата — государственный орган; лидер корпоративного потока отвечает за согласованный портфель.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Интерфейс между участниками фиксирует вход, выход, качество, срок, данные, риск и резервирование.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Эффект.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Устраняется дублирование проектов, раскрываются критические разрывы цепочек и появляется общий план мощностей, технологий и кадров.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17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Финансирование по результату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связать капитал с балансами  →  Результат: обеспеченный портфель развития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Финансовый контур объединяет федеральные и региональные программы, корпоративные инвестиции, институты развития, проектное финансирование и частный капитал на уровне портфеля — без смешения правовых источников.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800"/>
        <w:gridCol w:w="3960"/>
        <w:gridCol w:w="3600"/>
      </w:tblGrid>
      <w:tr>
        <w:trPr>
          <w:tblHeader w:val="true"/>
          <w:cantSplit/>
        </w:trPr>
        <w:tc>
          <w:tcPr>
            <w:tcW w:type="dxa" w:w="180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396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Решение</w:t>
            </w:r>
          </w:p>
        </w:tc>
        <w:tc>
          <w:tcPr>
            <w:tcW w:type="dxa" w:w="360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Контрольный вопрос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Национальный баланс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Лимит ресурса и целевой эффект</w:t>
            </w:r>
          </w:p>
        </w:tc>
        <w:tc>
          <w:tcPr>
            <w:tcW w:type="dxa" w:w="36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Какой дефицит закрывается?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Портфель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Приоритеты и взаимозависимости</w:t>
            </w:r>
          </w:p>
        </w:tc>
        <w:tc>
          <w:tcPr>
            <w:tcW w:type="dxa" w:w="36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Какая комбинация проектов лучше?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Проект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CAPEX, OPEX, EAC, график, доходы</w:t>
            </w:r>
          </w:p>
        </w:tc>
        <w:tc>
          <w:tcPr>
            <w:tcW w:type="dxa" w:w="36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Полна ли стоимость жизненного цикла?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Контракт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Этапы, платёж, обеспечение, санкции</w:t>
            </w:r>
          </w:p>
        </w:tc>
        <w:tc>
          <w:tcPr>
            <w:tcW w:type="dxa" w:w="36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Что считается исполнением?</w:t>
            </w:r>
          </w:p>
        </w:tc>
      </w:tr>
      <w:tr>
        <w:trPr>
          <w:cantSplit/>
        </w:trPr>
        <w:tc>
          <w:tcPr>
            <w:tcW w:type="dxa" w:w="18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Актив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Состояние, доступность, ремонт, остаточный ресурс</w:t>
            </w:r>
          </w:p>
        </w:tc>
        <w:tc>
          <w:tcPr>
            <w:tcW w:type="dxa" w:w="360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Как поддерживается функция?</w:t>
            </w:r>
          </w:p>
        </w:tc>
      </w:tr>
      <w:tr>
        <w:trPr>
          <w:cantSplit/>
        </w:trPr>
        <w:tc>
          <w:tcPr>
            <w:tcW w:type="dxa" w:w="18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Результат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Факт, атрибуция, доказательность</w:t>
            </w:r>
          </w:p>
        </w:tc>
        <w:tc>
          <w:tcPr>
            <w:tcW w:type="dxa" w:w="360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Что изменилось для страны?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Общественно необходимая, но коммерчески невыгодная функция учитывается отдельно и получает прозрачный механизм компенсации.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Положительный эффект не взаимозачитывается с ущербом, критическим риском или невыполненным обязательным требованием.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Капитал распределяется по готовности проекта, вкладу в баланс, риску, межотраслевому эффекту и качеству доказательств.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Портфельный принцип.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Оптимизируется не прибыль одной организации, а риск‑скорректированный национальный результат при сохранении финансовой устойчивости исполнителей.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18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Технологический и кадровый суверенитет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выявить зависимости  →  Результат: программы замещения и развития компетенций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Каждый значимый проект проходит проверку критических зависимостей по технологиям, компонентам, данным, кадрам, оборудованию, материалам и интеллектуальным правам. Реестр связывается с программами науки, образования, производства и закупок.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944"/>
        <w:gridCol w:w="4392"/>
        <w:gridCol w:w="3024"/>
      </w:tblGrid>
      <w:tr>
        <w:trPr>
          <w:tblHeader w:val="true"/>
          <w:cantSplit/>
        </w:trPr>
        <w:tc>
          <w:tcPr>
            <w:tcW w:type="dxa" w:w="194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Объект</w:t>
            </w:r>
          </w:p>
        </w:tc>
        <w:tc>
          <w:tcPr>
            <w:tcW w:type="dxa" w:w="439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Поля реестра</w:t>
            </w:r>
          </w:p>
        </w:tc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Управленческое действие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Технология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Готовность, права, испытания, альтернатива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НИОКР / лицензия / кооперация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Материал / компонент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Происхождение, критичность, запас, заменяемость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Квалификация поставщика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Оборудование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Состояние, сервис, ЗИП, программное обеспечение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Резервирование и локализация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Данные / алгоритм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Владелец, юрисдикция, модель, переносимость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Суверенный контур</w:t>
            </w:r>
          </w:p>
        </w:tc>
      </w:tr>
      <w:tr>
        <w:trPr>
          <w:cantSplit/>
        </w:trPr>
        <w:tc>
          <w:tcPr>
            <w:tcW w:type="dxa" w:w="194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Компетенция</w:t>
            </w:r>
          </w:p>
        </w:tc>
        <w:tc>
          <w:tcPr>
            <w:tcW w:type="dxa" w:w="439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Профиль, численность, возраст, дефицит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Заказ подготовки и наставничество</w:t>
            </w:r>
          </w:p>
        </w:tc>
      </w:tr>
      <w:tr>
        <w:trPr>
          <w:cantSplit/>
        </w:trPr>
        <w:tc>
          <w:tcPr>
            <w:tcW w:type="dxa" w:w="194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Знание</w:t>
            </w:r>
          </w:p>
        </w:tc>
        <w:tc>
          <w:tcPr>
            <w:tcW w:type="dxa" w:w="439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Документация, носитель, преемник, критичность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Архив и передача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Корпоративный заказ на компетенции агрегируется на горизонтах 1, 3, 6 и 12 лет.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Внедрённой считается технология, прошедшая валидацию и давшая подтверждённый эффект, а не только завершившая НИОКР.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Критическая зависимость закрывается только после испытания альтернативы в реальном производственном контуре.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Связка.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Наука → стандарт → испытание → производство → эксплуатация → данные результата → обновление образовательного заказа.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19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Устойчивость и безопасность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подготовить систему к шокам  →  Результат: непрерывность и восстановление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2"/>
        </w:rPr>
        <w:t>Устойчивость оценивается не наличием документа, а способностью сохранить критическую функцию и восстановить её в нормативное время. Для каждой функции определяются минимальный уровень сервиса, зависимости, резерв и порядок мобилизации.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088"/>
        <w:gridCol w:w="4536"/>
        <w:gridCol w:w="2736"/>
      </w:tblGrid>
      <w:tr>
        <w:trPr>
          <w:tblHeader w:val="true"/>
          <w:cantSplit/>
        </w:trPr>
        <w:tc>
          <w:tcPr>
            <w:tcW w:type="dxa" w:w="2088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Сценарий</w:t>
            </w:r>
          </w:p>
        </w:tc>
        <w:tc>
          <w:tcPr>
            <w:tcW w:type="dxa" w:w="453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Проверяется</w:t>
            </w:r>
          </w:p>
        </w:tc>
        <w:tc>
          <w:tcPr>
            <w:tcW w:type="dxa" w:w="273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Выход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Разрыв поставки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Запас, альтернативный поставщик, заменяемость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План переключения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Отказ инфраструктуры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Резерв мощности, обходной маршрут, автономность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План непрерывности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Киберинцидент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Сегментация, восстановление, чистые копии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Протокол реагирования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Кадровый дефицит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Дублирование компетенций, преемственность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План замещения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Природная угроза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Мониторинг, пороги, территориальные последствия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Раннее предупреждение</w:t>
            </w:r>
          </w:p>
        </w:tc>
      </w:tr>
      <w:tr>
        <w:trPr>
          <w:cantSplit/>
        </w:trPr>
        <w:tc>
          <w:tcPr>
            <w:tcW w:type="dxa" w:w="2088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Финансовый стресс</w:t>
            </w:r>
          </w:p>
        </w:tc>
        <w:tc>
          <w:tcPr>
            <w:tcW w:type="dxa" w:w="45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Ликвидность, обязательства, ковенанты</w:t>
            </w:r>
          </w:p>
        </w:tc>
        <w:tc>
          <w:tcPr>
            <w:tcW w:type="dxa" w:w="273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Антикризисный сценарий</w:t>
            </w:r>
          </w:p>
        </w:tc>
      </w:tr>
      <w:tr>
        <w:trPr>
          <w:cantSplit/>
        </w:trPr>
        <w:tc>
          <w:tcPr>
            <w:tcW w:type="dxa" w:w="2088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Регуляторное изменение</w:t>
            </w:r>
          </w:p>
        </w:tc>
        <w:tc>
          <w:tcPr>
            <w:tcW w:type="dxa" w:w="45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Права, сроки перехода, стоимость</w:t>
            </w:r>
          </w:p>
        </w:tc>
        <w:tc>
          <w:tcPr>
            <w:tcW w:type="dxa" w:w="273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План соответствия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Риск‑скорректированный индекс: ISBᴿᴬ = ISBᵍᵃᵗᵉ × (1−R) × (0,5+0,5U), где R — ожидаемая потеря результата, U — сохранение функции с учётом времени восстановления. Индекс, риск и устойчивость показываются также раздельно.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Недопустимая компенсация.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Высокая прибыль не может перекрыть провал безопасности, технологической независимости или обязательного государственного результата.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20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100‑дневный пилот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проверить архитектуру  →  Результат: работающий минимальный цикл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Пилот преимущественно управленческий и цифровой. Его масштаб — расчётное предложение: 3–5 корпоративных участников, 2–3 территории, 5 взаимосвязанных балансов и 10–15 проектов. Конкретный состав утверждается заказчиком.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152"/>
        <w:gridCol w:w="5184"/>
        <w:gridCol w:w="3024"/>
      </w:tblGrid>
      <w:tr>
        <w:trPr>
          <w:tblHeader w:val="true"/>
          <w:cantSplit/>
        </w:trPr>
        <w:tc>
          <w:tcPr>
            <w:tcW w:type="dxa" w:w="1152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Срок</w:t>
            </w:r>
          </w:p>
        </w:tc>
        <w:tc>
          <w:tcPr>
            <w:tcW w:type="dxa" w:w="518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Действия</w:t>
            </w:r>
          </w:p>
        </w:tc>
        <w:tc>
          <w:tcPr>
            <w:tcW w:type="dxa" w:w="302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Контрольный результат</w:t>
            </w:r>
          </w:p>
        </w:tc>
      </w:tr>
      <w:tr>
        <w:trPr>
          <w:cantSplit/>
        </w:trPr>
        <w:tc>
          <w:tcPr>
            <w:tcW w:type="dxa" w:w="11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1–10</w:t>
            </w:r>
          </w:p>
        </w:tc>
        <w:tc>
          <w:tcPr>
            <w:tcW w:type="dxa" w:w="51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Заказчик, мандат, участники, балансы, территория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Паспорт пилота</w:t>
            </w:r>
          </w:p>
        </w:tc>
      </w:tr>
      <w:tr>
        <w:trPr>
          <w:cantSplit/>
        </w:trPr>
        <w:tc>
          <w:tcPr>
            <w:tcW w:type="dxa" w:w="11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11–25</w:t>
            </w:r>
          </w:p>
        </w:tc>
        <w:tc>
          <w:tcPr>
            <w:tcW w:type="dxa" w:w="51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Инвентаризация стратегий, активов, данных, проектов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Исходная линия</w:t>
            </w:r>
          </w:p>
        </w:tc>
      </w:tr>
      <w:tr>
        <w:trPr>
          <w:cantSplit/>
        </w:trPr>
        <w:tc>
          <w:tcPr>
            <w:tcW w:type="dxa" w:w="11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26–40</w:t>
            </w:r>
          </w:p>
        </w:tc>
        <w:tc>
          <w:tcPr>
            <w:tcW w:type="dxa" w:w="51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Классификатор, паспорта балансов, соглашения о данных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Единая модель данных</w:t>
            </w:r>
          </w:p>
        </w:tc>
      </w:tr>
      <w:tr>
        <w:trPr>
          <w:cantSplit/>
        </w:trPr>
        <w:tc>
          <w:tcPr>
            <w:tcW w:type="dxa" w:w="11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41–60</w:t>
            </w:r>
          </w:p>
        </w:tc>
        <w:tc>
          <w:tcPr>
            <w:tcW w:type="dxa" w:w="51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Минимальный цифровой двойник и три сценария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Сценарные паспорта</w:t>
            </w:r>
          </w:p>
        </w:tc>
      </w:tr>
      <w:tr>
        <w:trPr>
          <w:cantSplit/>
        </w:trPr>
        <w:tc>
          <w:tcPr>
            <w:tcW w:type="dxa" w:w="11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61–75</w:t>
            </w:r>
          </w:p>
        </w:tc>
        <w:tc>
          <w:tcPr>
            <w:tcW w:type="dxa" w:w="51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СФЕРА, ECO‑PPA, исполнительные консорциумы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Обеспеченный портфель</w:t>
            </w:r>
          </w:p>
        </w:tc>
      </w:tr>
      <w:tr>
        <w:trPr>
          <w:cantSplit/>
        </w:trPr>
        <w:tc>
          <w:tcPr>
            <w:tcW w:type="dxa" w:w="1152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76–90</w:t>
            </w:r>
          </w:p>
        </w:tc>
        <w:tc>
          <w:tcPr>
            <w:tcW w:type="dxa" w:w="51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Контроль исполнения, ESG‑IR, стресс‑тест</w:t>
            </w:r>
          </w:p>
        </w:tc>
        <w:tc>
          <w:tcPr>
            <w:tcW w:type="dxa" w:w="302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Панель результата и риска</w:t>
            </w:r>
          </w:p>
        </w:tc>
      </w:tr>
      <w:tr>
        <w:trPr>
          <w:cantSplit/>
        </w:trPr>
        <w:tc>
          <w:tcPr>
            <w:tcW w:type="dxa" w:w="1152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91–100</w:t>
            </w:r>
          </w:p>
        </w:tc>
        <w:tc>
          <w:tcPr>
            <w:tcW w:type="dxa" w:w="51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Полный цикл, корректировка, итоговый доклад</w:t>
            </w:r>
          </w:p>
        </w:tc>
        <w:tc>
          <w:tcPr>
            <w:tcW w:type="dxa" w:w="302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Решение о следующей волне</w:t>
            </w:r>
          </w:p>
        </w:tc>
      </w:tr>
    </w:tbl>
    <w:p>
      <w:pPr>
        <w:spacing w:after="0" w:line="264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Критерий успеха.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Хотя бы один сигнал должен пройти полный путь: данные → анализ → решение → соглашение → исполнение → доказательство → корректировка баланса.</w:t>
            </w:r>
          </w:p>
        </w:tc>
      </w:tr>
    </w:tbl>
    <w:p>
      <w:pPr>
        <w:spacing w:after="0" w:line="264" w:lineRule="auto"/>
      </w:pP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Капиталоёмкие действия — только в рамках уже утверждённых программ и полномочий.</w:t>
      </w:r>
    </w:p>
    <w:p>
      <w:pPr>
        <w:numPr>
          <w:ilvl w:val="0"/>
          <w:numId w:val="41"/>
        </w:numPr>
        <w:spacing w:after="60"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На 25‑й день фиксируются исходная линия, формулы и целевые пороги; ретроспективная подгонка исключается.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21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KPI, индекс и контроль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измерять и корректировать  →  Результат: панель управления и реестр действий</w:t>
      </w: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20"/>
        </w:rPr>
        <w:t>С учётом методики Правительства целесообразно сохранить не более 10 вознаграждаемых верхнеуровневых KPI, а дополнительные показатели использовать как диагностические и риск‑контрольные. Для каждой корпорации набор адаптируется к специальному мандату.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Верхнеуровневый KPI (до 10)</w:t>
            </w:r>
          </w:p>
        </w:tc>
        <w:tc>
          <w:tcPr>
            <w:tcW w:type="dxa" w:w="468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Диагностические показатели</w:t>
            </w:r>
          </w:p>
        </w:tc>
      </w:tr>
      <w:tr>
        <w:trPr>
          <w:cantSplit/>
        </w:trPr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1. Достижение государственного результата</w:t>
            </w:r>
          </w:p>
        </w:tc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11. Критические внешние зависимости</w:t>
            </w:r>
          </w:p>
        </w:tc>
      </w:tr>
      <w:tr>
        <w:trPr>
          <w:cantSplit/>
        </w:trPr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2. Контрольные этапы в срок</w:t>
            </w:r>
          </w:p>
        </w:tc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12. Внедрение валидированных технологий</w:t>
            </w:r>
          </w:p>
        </w:tc>
      </w:tr>
      <w:tr>
        <w:trPr>
          <w:cantSplit/>
        </w:trPr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3. Охват получателей нормативным результатом</w:t>
            </w:r>
          </w:p>
        </w:tc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13. Экологическая интенсивность</w:t>
            </w:r>
          </w:p>
        </w:tc>
      </w:tr>
      <w:tr>
        <w:trPr>
          <w:cantSplit/>
        </w:trPr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4. Выполнение производственной программы</w:t>
            </w:r>
          </w:p>
        </w:tc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14. Частота тяжёлых происшествий</w:t>
            </w:r>
          </w:p>
        </w:tc>
      </w:tr>
      <w:tr>
        <w:trPr>
          <w:cantSplit/>
        </w:trPr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5. Техническая доступность активов</w:t>
            </w:r>
          </w:p>
        </w:tc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15. Непрерывность и время восстановления</w:t>
            </w:r>
          </w:p>
        </w:tc>
      </w:tr>
      <w:tr>
        <w:trPr>
          <w:cantSplit/>
        </w:trPr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6. Производительность труда</w:t>
            </w:r>
          </w:p>
        </w:tc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Отдельно: класс доказательности ESG‑IR</w:t>
            </w:r>
          </w:p>
        </w:tc>
      </w:tr>
      <w:tr>
        <w:trPr>
          <w:cantSplit/>
        </w:trPr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7. Стоимость жизненного цикла</w:t>
            </w:r>
          </w:p>
        </w:tc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Отдельно: риск и допуски безопасности</w:t>
            </w:r>
          </w:p>
        </w:tc>
      </w:tr>
      <w:tr>
        <w:trPr>
          <w:cantSplit/>
        </w:trPr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8. Покрытие обязательств денежным потоком</w:t>
            </w:r>
          </w:p>
        </w:tc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Отдельно: качество и актуальность данных</w:t>
            </w:r>
          </w:p>
        </w:tc>
      </w:tr>
      <w:tr>
        <w:trPr>
          <w:cantSplit/>
        </w:trPr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9. Доля внутренней добавленной стоимости</w:t>
            </w:r>
          </w:p>
        </w:tc>
        <w:tc>
          <w:tcPr>
            <w:tcW w:type="dxa" w:w="468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Отдельно: межотраслевая атрибуция</w:t>
            </w:r>
          </w:p>
        </w:tc>
      </w:tr>
      <w:tr>
        <w:trPr>
          <w:cantSplit/>
        </w:trPr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7"/>
              </w:rPr>
              <w:t>10. Межотраслевой вклад</w:t>
            </w:r>
          </w:p>
        </w:tc>
        <w:tc>
          <w:tcPr>
            <w:tcW w:type="dxa" w:w="468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7"/>
              </w:rPr>
              <w:t>Отдельно: корректирующие действия</w:t>
            </w:r>
          </w:p>
        </w:tc>
      </w:tr>
    </w:tbl>
    <w:p>
      <w:pPr>
        <w:spacing w:after="0" w:line="264" w:lineRule="auto"/>
      </w:pPr>
    </w:p>
    <w:p>
      <w:pPr>
        <w:spacing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Интегральный индекс стратегического баланса: ISB = 100 × exp(Σ vₖ ln max(ε,Bₖ)). Геометрическая агрегация ограничивает компенсацию провала одного блока успехом другого; обязательные требования применяются как отдельные шлюзы допуска.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19"/>
              </w:rPr>
              <w:t xml:space="preserve">Трёхуровневый контроль.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19"/>
              </w:rPr>
              <w:t>Автоматизированный контроль данных и лимитов → внутренний аудит корпорации → риск‑ориентированный внешний аудит законности и конечного государственного результата.</w:t>
            </w:r>
          </w:p>
        </w:tc>
      </w:tr>
    </w:tbl>
    <w:p>
      <w:pPr>
        <w:spacing w:after="0" w:line="264" w:lineRule="auto"/>
      </w:pPr>
    </w:p>
    <w:p>
      <w:pPr>
        <w:spacing w:before="100" w:after="0" w:line="264" w:lineRule="auto"/>
      </w:pPr>
      <w:r>
        <w:rPr>
          <w:rFonts w:ascii="Arial" w:hAnsi="Arial" w:eastAsia="Arial"/>
          <w:b w:val="0"/>
          <w:i/>
          <w:color w:val="5D6B7A"/>
          <w:sz w:val="16"/>
        </w:rPr>
        <w:t>Источник / правовая основа: Распоряжение Правительства РФ № 3579‑р в актуальной редакции; специальные законы о госкорпорациях.</w:t>
      </w:r>
    </w:p>
    <w:p>
      <w:pPr>
        <w:spacing w:line="264" w:lineRule="auto"/>
      </w:pPr>
      <w:r>
        <w:br w:type="page"/>
      </w:r>
    </w:p>
    <w:p>
      <w:pPr>
        <w:spacing w:before="0" w:after="40" w:line="264" w:lineRule="auto"/>
        <w:keepNext w:val="1"/>
      </w:pPr>
      <w:r>
        <w:rPr>
          <w:rFonts w:ascii="Arial" w:hAnsi="Arial" w:eastAsia="Arial"/>
          <w:b/>
          <w:i w:val="0"/>
          <w:color w:val="3D8DFF"/>
          <w:sz w:val="24"/>
        </w:rPr>
        <w:t>22</w:t>
      </w:r>
      <w:r>
        <w:rPr>
          <w:rFonts w:ascii="Arial" w:hAnsi="Arial" w:eastAsia="Arial"/>
          <w:b/>
          <w:i w:val="0"/>
          <w:color w:val="0B2545"/>
          <w:sz w:val="36"/>
        </w:rPr>
        <w:t xml:space="preserve">  Дорожная карта 2026–2036 и предлагаемые решения</w:t>
      </w:r>
    </w:p>
    <w:p>
      <w:pPr>
        <w:spacing w:after="200" w:line="264" w:lineRule="auto"/>
        <w:keepNext w:val="1"/>
      </w:pPr>
      <w:r>
        <w:rPr>
          <w:rFonts w:ascii="Arial" w:hAnsi="Arial" w:eastAsia="Arial"/>
          <w:b/>
          <w:i w:val="0"/>
          <w:color w:val="5D6B7A"/>
          <w:sz w:val="19"/>
        </w:rPr>
        <w:t>Функция: масштабировать по готовности  →  Результат: национальная система балансов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584"/>
        <w:gridCol w:w="3816"/>
        <w:gridCol w:w="3960"/>
      </w:tblGrid>
      <w:tr>
        <w:trPr>
          <w:tblHeader w:val="true"/>
          <w:cantSplit/>
        </w:trPr>
        <w:tc>
          <w:tcPr>
            <w:tcW w:type="dxa" w:w="1584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Период</w:t>
            </w:r>
          </w:p>
        </w:tc>
        <w:tc>
          <w:tcPr>
            <w:tcW w:type="dxa" w:w="3816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Этап</w:t>
            </w:r>
          </w:p>
        </w:tc>
        <w:tc>
          <w:tcPr>
            <w:tcW w:type="dxa" w:w="3960"/>
            <w:shd w:fill="0B2545"/>
            <w:tcBorders>
              <w:top w:val="single" w:sz="4" w:color="D4DFEA"/>
              <w:left w:val="single" w:sz="4" w:color="D4DFEA"/>
              <w:bottom w:val="single" w:sz="4" w:color="D4DFEA"/>
              <w:right w:val="single" w:sz="4" w:color="D4DFEA"/>
              <w:insideH w:val="single" w:sz="4" w:color="D4DFEA"/>
              <w:insideV w:val="single" w:sz="4" w:color="D4DFEA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Итог</w:t>
            </w:r>
          </w:p>
        </w:tc>
      </w:tr>
      <w:tr>
        <w:trPr>
          <w:cantSplit/>
        </w:trPr>
        <w:tc>
          <w:tcPr>
            <w:tcW w:type="dxa" w:w="15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2026</w:t>
            </w:r>
          </w:p>
        </w:tc>
        <w:tc>
          <w:tcPr>
            <w:tcW w:type="dxa" w:w="381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Концепция и 100‑дневный пилот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Проверенный минимальный цикл</w:t>
            </w:r>
          </w:p>
        </w:tc>
      </w:tr>
      <w:tr>
        <w:trPr>
          <w:cantSplit/>
        </w:trPr>
        <w:tc>
          <w:tcPr>
            <w:tcW w:type="dxa" w:w="15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2027–2028</w:t>
            </w:r>
          </w:p>
        </w:tc>
        <w:tc>
          <w:tcPr>
            <w:tcW w:type="dxa" w:w="381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Первая волна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Приоритетные корпоративные и территориальные контуры</w:t>
            </w:r>
          </w:p>
        </w:tc>
      </w:tr>
      <w:tr>
        <w:trPr>
          <w:cantSplit/>
        </w:trPr>
        <w:tc>
          <w:tcPr>
            <w:tcW w:type="dxa" w:w="15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2029–2030</w:t>
            </w:r>
          </w:p>
        </w:tc>
        <w:tc>
          <w:tcPr>
            <w:tcW w:type="dxa" w:w="381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Федерация балансов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Сопоставимые паспорта, данные и портфели</w:t>
            </w:r>
          </w:p>
        </w:tc>
      </w:tr>
      <w:tr>
        <w:trPr>
          <w:cantSplit/>
        </w:trPr>
        <w:tc>
          <w:tcPr>
            <w:tcW w:type="dxa" w:w="1584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2031–2033</w:t>
            </w:r>
          </w:p>
        </w:tc>
        <w:tc>
          <w:tcPr>
            <w:tcW w:type="dxa" w:w="3816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Предиктивное управление</w:t>
            </w:r>
          </w:p>
        </w:tc>
        <w:tc>
          <w:tcPr>
            <w:tcW w:type="dxa" w:w="3960"/>
            <w:shd w:fill="F2F4F7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Регулярные сценарии и раннее предупреждение</w:t>
            </w:r>
          </w:p>
        </w:tc>
      </w:tr>
      <w:tr>
        <w:trPr>
          <w:cantSplit/>
        </w:trPr>
        <w:tc>
          <w:tcPr>
            <w:tcW w:type="dxa" w:w="1584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/>
                <w:i w:val="0"/>
                <w:color w:val="101828"/>
                <w:sz w:val="18"/>
              </w:rPr>
              <w:t>2034–2036</w:t>
            </w:r>
          </w:p>
        </w:tc>
        <w:tc>
          <w:tcPr>
            <w:tcW w:type="dxa" w:w="3816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Зрелая система</w:t>
            </w:r>
          </w:p>
        </w:tc>
        <w:tc>
          <w:tcPr>
            <w:tcW w:type="dxa" w:w="3960"/>
            <w:shd w:fill="FFFFFF"/>
            <w:tcBorders>
              <w:top w:val="single" w:sz="4" w:color="D5DCE5"/>
              <w:left w:val="single" w:sz="4" w:color="D5DCE5"/>
              <w:bottom w:val="single" w:sz="4" w:color="D5DCE5"/>
              <w:right w:val="single" w:sz="4" w:color="D5DCE5"/>
              <w:insideH w:val="single" w:sz="4" w:color="D5DCE5"/>
              <w:insideV w:val="single" w:sz="4" w:color="D5DCE5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 w:eastAsia="Arial"/>
                <w:b w:val="0"/>
                <w:i w:val="0"/>
                <w:color w:val="101828"/>
                <w:sz w:val="18"/>
              </w:rPr>
              <w:t>Непрерывный цикл решения, исполнения и коррекции</w:t>
            </w:r>
          </w:p>
        </w:tc>
      </w:tr>
    </w:tbl>
    <w:p>
      <w:pPr>
        <w:spacing w:after="0" w:line="264" w:lineRule="auto"/>
      </w:pPr>
    </w:p>
    <w:p>
      <w:pPr>
        <w:spacing w:after="80" w:line="264" w:lineRule="auto"/>
      </w:pPr>
      <w:r>
        <w:rPr>
          <w:rFonts w:ascii="Arial" w:hAnsi="Arial" w:eastAsia="Arial"/>
          <w:b/>
          <w:i w:val="0"/>
          <w:color w:val="101828"/>
          <w:sz w:val="21"/>
        </w:rPr>
        <w:t>Предлагается оформить поручение Правительства:</w:t>
      </w:r>
      <w:r>
        <w:rPr>
          <w:rFonts w:ascii="Arial" w:hAnsi="Arial" w:eastAsia="Arial"/>
          <w:b w:val="0"/>
          <w:i w:val="0"/>
          <w:color w:val="101828"/>
          <w:sz w:val="21"/>
        </w:rPr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определить федерального заказчика, руководителя пилота и межведомственную рабочую группу;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утвердить 5 балансов, территории, участников и критерии допуска данных;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подготовить единый паспорт государственного мандата и карту правового периметра;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развернуть ИАЦ, минимальный цифровой двойник, СФЕРУ, ECO‑PPA, СПЕЦЗАЩИТУ, ESG‑IR и Архив наследия;</w:t>
      </w:r>
    </w:p>
    <w:p>
      <w:pPr>
        <w:numPr>
          <w:ilvl w:val="0"/>
          <w:numId w:val="42"/>
        </w:numPr>
        <w:spacing w:after="40" w:line="264" w:lineRule="auto"/>
      </w:pPr>
      <w:r>
        <w:rPr>
          <w:rFonts w:ascii="Arial" w:hAnsi="Arial" w:eastAsia="Arial"/>
          <w:b w:val="0"/>
          <w:i w:val="0"/>
          <w:color w:val="101828"/>
          <w:sz w:val="19"/>
        </w:rPr>
        <w:t>на 100‑й день представить результаты, правовые предложения, смету следующей волны и решение о масштабировании.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49"/>
        <w:gridCol w:w="8611"/>
      </w:tblGrid>
      <w:tr>
        <w:trPr/>
        <w:tc>
          <w:tcPr>
            <w:tcW w:type="dxa" w:w="749"/>
            <w:tcMar>
              <w:top w:w="80" w:type="dxa"/>
              <w:bottom w:w="80" w:type="dxa"/>
              <w:start w:w="120" w:type="dxa"/>
              <w:end w:w="120" w:type="dxa"/>
            </w:tcMar>
            <w:shd w:fill="2E74B5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/>
        </w:tc>
        <w:tc>
          <w:tcPr>
            <w:tcW w:type="dxa" w:w="8611"/>
            <w:tcMar>
              <w:top w:w="80" w:type="dxa"/>
              <w:bottom w:w="80" w:type="dxa"/>
              <w:start w:w="120" w:type="dxa"/>
              <w:end w:w="120" w:type="dxa"/>
            </w:tcMar>
            <w:shd w:fill="EAF5FB"/>
            <w:tcBorders>
              <w:top w:val="single" w:sz="0" w:color="EAF5FB"/>
              <w:left w:val="single" w:sz="0" w:color="EAF5FB"/>
              <w:bottom w:val="single" w:sz="0" w:color="EAF5FB"/>
              <w:right w:val="single" w:sz="0" w:color="EAF5FB"/>
              <w:insideH w:val="single" w:sz="0" w:color="EAF5FB"/>
              <w:insideV w:val="single" w:sz="0" w:color="EAF5FB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B2545"/>
                <w:sz w:val="20"/>
              </w:rPr>
              <w:t xml:space="preserve">Итог. </w:t>
            </w:r>
            <w:r>
              <w:rPr>
                <w:rFonts w:ascii="Arial" w:hAnsi="Arial" w:eastAsia="Arial"/>
                <w:b w:val="0"/>
                <w:i w:val="0"/>
                <w:color w:val="101828"/>
                <w:sz w:val="20"/>
              </w:rPr>
              <w:t>Госкорпорации становятся не параллельными центрами политики, а специализированными узлами исполнения. Государство получает общую картину активов, потоков, рисков и результатов при сохранении законных мандатов.</w:t>
            </w:r>
          </w:p>
        </w:tc>
      </w:tr>
    </w:tbl>
    <w:p>
      <w:pPr>
        <w:spacing w:after="0" w:line="264" w:lineRule="auto"/>
      </w:pPr>
    </w:p>
    <w:p>
      <w:pPr>
        <w:spacing w:before="80" w:after="20" w:line="264" w:lineRule="auto"/>
      </w:pPr>
      <w:r>
        <w:rPr>
          <w:rFonts w:ascii="Arial" w:hAnsi="Arial" w:eastAsia="Arial"/>
          <w:b/>
          <w:i w:val="0"/>
          <w:color w:val="0B2545"/>
          <w:sz w:val="18"/>
        </w:rPr>
        <w:t>Основные официальные источники</w:t>
      </w:r>
    </w:p>
    <w:p>
      <w:pPr>
        <w:numPr>
          <w:ilvl w:val="0"/>
          <w:numId w:val="41"/>
        </w:numPr>
        <w:spacing w:after="0" w:line="264" w:lineRule="auto"/>
      </w:pPr>
      <w:hyperlink r:id="rId11">
        <w:r>
          <w:rPr>
            <w:color w:val="2E74B5"/>
            <w:sz w:val="16"/>
            <w:rFonts w:ascii="Arial" w:hAnsi="Arial"/>
          </w:rPr>
          <w:t>172‑ФЗ «О стратегическом планировании»</w:t>
        </w:r>
      </w:hyperlink>
    </w:p>
    <w:p>
      <w:pPr>
        <w:numPr>
          <w:ilvl w:val="0"/>
          <w:numId w:val="41"/>
        </w:numPr>
        <w:spacing w:after="0" w:line="264" w:lineRule="auto"/>
      </w:pPr>
      <w:hyperlink r:id="rId12">
        <w:r>
          <w:rPr>
            <w:color w:val="2E74B5"/>
            <w:sz w:val="16"/>
            <w:rFonts w:ascii="Arial" w:hAnsi="Arial"/>
          </w:rPr>
          <w:t>Указ Президента РФ № 309 от 07.05.2024</w:t>
        </w:r>
      </w:hyperlink>
    </w:p>
    <w:p>
      <w:pPr>
        <w:numPr>
          <w:ilvl w:val="0"/>
          <w:numId w:val="41"/>
        </w:numPr>
        <w:spacing w:after="0" w:line="264" w:lineRule="auto"/>
      </w:pPr>
      <w:hyperlink r:id="rId13">
        <w:r>
          <w:rPr>
            <w:color w:val="2E74B5"/>
            <w:sz w:val="16"/>
            <w:rFonts w:ascii="Arial" w:hAnsi="Arial"/>
          </w:rPr>
          <w:t>Постановление Правительства РФ № 761 от 19.06.2026</w:t>
        </w:r>
      </w:hyperlink>
    </w:p>
    <w:p>
      <w:pPr>
        <w:numPr>
          <w:ilvl w:val="0"/>
          <w:numId w:val="41"/>
        </w:numPr>
        <w:spacing w:after="0" w:line="264" w:lineRule="auto"/>
      </w:pPr>
      <w:hyperlink r:id="rId14">
        <w:r>
          <w:rPr>
            <w:color w:val="2E74B5"/>
            <w:sz w:val="16"/>
            <w:rFonts w:ascii="Arial" w:hAnsi="Arial"/>
          </w:rPr>
          <w:t>7‑ФЗ «О некоммерческих организациях», статья 7.1</w:t>
        </w:r>
      </w:hyperlink>
    </w:p>
    <w:p>
      <w:pPr>
        <w:numPr>
          <w:ilvl w:val="0"/>
          <w:numId w:val="41"/>
        </w:numPr>
        <w:spacing w:after="0" w:line="264" w:lineRule="auto"/>
      </w:pPr>
      <w:hyperlink r:id="rId15">
        <w:r>
          <w:rPr>
            <w:color w:val="2E74B5"/>
            <w:sz w:val="16"/>
            <w:rFonts w:ascii="Arial" w:hAnsi="Arial"/>
          </w:rPr>
          <w:t>Методика КПЭ, распоряжение № 3579‑р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Arial" w:hAnsi="Arial" w:eastAsia="Arial"/>
        <w:b w:val="0"/>
        <w:i w:val="0"/>
        <w:color w:val="5D6B7A"/>
        <w:sz w:val="17"/>
      </w:rPr>
      <w:t>Версия 1.0  •  28 августа 2026 года</w:t>
    </w:r>
    <w:r>
      <w:rPr>
        <w:rFonts w:ascii="Arial" w:hAnsi="Arial" w:eastAsia="Arial"/>
        <w:b w:val="0"/>
        <w:i w:val="0"/>
        <w:color w:val="5D6B7A"/>
        <w:sz w:val="17"/>
      </w:rPr>
      <w:tab/>
    </w:r>
    <w:r>
      <w:rPr>
        <w:rFonts w:ascii="Arial" w:hAnsi="Arial" w:eastAsia="Arial"/>
        <w:b w:val="0"/>
        <w:i w:val="0"/>
        <w:color w:val="5D6B7A"/>
        <w:sz w:val="17"/>
      </w:rPr>
      <w:t xml:space="preserve">Страница </w:t>
    </w:r>
    <w:fldSimple w:instr="PAGE"/>
    <w:r>
      <w:rPr>
        <w:rFonts w:ascii="Arial" w:hAnsi="Arial" w:eastAsia="Arial"/>
        <w:b w:val="0"/>
        <w:i w:val="0"/>
        <w:color w:val="5D6B7A"/>
        <w:sz w:val="17"/>
      </w:rPr>
      <w:t xml:space="preserve"> / 22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i w:val="0"/>
        <w:color w:val="0B2545"/>
        <w:sz w:val="17"/>
      </w:rPr>
      <w:t>SUR  •  УПРАВЛЕНИЕ СТРАНОЙ</w:t>
    </w:r>
    <w:r>
      <w:rPr>
        <w:rFonts w:ascii="Arial" w:hAnsi="Arial" w:eastAsia="Arial"/>
        <w:b w:val="0"/>
        <w:i w:val="0"/>
        <w:color w:val="5D6B7A"/>
        <w:sz w:val="17"/>
      </w:rPr>
      <w:t xml:space="preserve">                                      СТРАТЕГИЧЕСКИЙ МАСТЕР-ДОКУМЕНТ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</w:pPr>
    </w:lvl>
  </w:abstractNum>
  <w:num w:numId="41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ravo.gov.ru/proxy/ips/?docbody=&amp;nd=102354386" TargetMode="External"/><Relationship Id="rId12" Type="http://schemas.openxmlformats.org/officeDocument/2006/relationships/hyperlink" Target="https://publication.pravo.gov.ru/document/0001202405070015" TargetMode="External"/><Relationship Id="rId13" Type="http://schemas.openxmlformats.org/officeDocument/2006/relationships/hyperlink" Target="https://government.ru/docs/all/165138/" TargetMode="External"/><Relationship Id="rId14" Type="http://schemas.openxmlformats.org/officeDocument/2006/relationships/hyperlink" Target="https://pravo.gov.ru/proxy/ips/?docbody=&amp;nd=102039064" TargetMode="External"/><Relationship Id="rId15" Type="http://schemas.openxmlformats.org/officeDocument/2006/relationships/hyperlink" Target="https://pravo.gov.ru/proxy/ips/?backlink=1&amp;docbody=&amp;nd=102981325&amp;prevDoc=102882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страной. Госкорпорации</dc:title>
  <dc:subject>SUR — система управления национальными балансами и корпоративным исполнением</dc:subject>
  <dc:creator>SUR</dc:creator>
  <cp:keywords>SUR, ЭКВИЛИБРИУМ, госкорпорации, национальные балансы, ECO-PPA, СПЕЦЗАЩИТА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