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/>
        <w:jc w:val="center"/>
      </w:pPr>
      <w:r>
        <w:rPr>
          <w:rFonts w:ascii="Arial" w:hAnsi="Arial"/>
          <w:b/>
          <w:color w:val="0B3D91"/>
          <w:sz w:val="68"/>
        </w:rPr>
        <w:t>Учетная Группа</w:t>
      </w:r>
    </w:p>
    <w:p>
      <w:pPr>
        <w:jc w:val="center"/>
      </w:pPr>
      <w:r>
        <w:rPr>
          <w:b/>
          <w:color w:val="145A8D"/>
          <w:sz w:val="48"/>
        </w:rPr>
        <w:t>Вычислительный ГРИД</w:t>
      </w:r>
    </w:p>
    <w:p>
      <w:pPr>
        <w:jc w:val="center"/>
      </w:pPr>
      <w:r>
        <w:rPr>
          <w:color w:val="54616E"/>
          <w:sz w:val="24"/>
        </w:rPr>
        <w:t>Мастер-документ: распределённая среда учета, данных, реестров, балансов и валидации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72200" cy="46291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учетная_группа_вычислительный_грид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62915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Назначение</w:t>
            </w:r>
          </w:p>
        </w:tc>
        <w:tc>
          <w:tcPr>
            <w:tcW w:type="dxa" w:w="5112"/>
            <w:shd w:fill="F8FB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8"/>
              </w:rPr>
              <w:t>создать распределённую учетную группу как цифровой контур управления данными, правами, активами, обязательствами и результатами</w:t>
            </w:r>
          </w:p>
        </w:tc>
      </w:tr>
      <w:tr>
        <w:tc>
          <w:tcPr>
            <w:tcW w:type="dxa" w:w="5112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Основа</w:t>
            </w:r>
          </w:p>
        </w:tc>
        <w:tc>
          <w:tcPr>
            <w:tcW w:type="dxa" w:w="5112"/>
            <w:shd w:fill="F8FB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8"/>
              </w:rPr>
              <w:t>федеративные базы данных, реестры, центры валидации, архив данных, ИИ-модели, аналитика и балансные контуры</w:t>
            </w:r>
          </w:p>
        </w:tc>
      </w:tr>
      <w:tr>
        <w:tc>
          <w:tcPr>
            <w:tcW w:type="dxa" w:w="5112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Формула</w:t>
            </w:r>
          </w:p>
        </w:tc>
        <w:tc>
          <w:tcPr>
            <w:tcW w:type="dxa" w:w="5112"/>
            <w:shd w:fill="F8FB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8"/>
              </w:rPr>
              <w:t>данные + правила + вычисления + валидация + ответственность = управляемый баланс</w:t>
            </w:r>
          </w:p>
        </w:tc>
      </w:tr>
    </w:tbl>
    <w:p>
      <w:r>
        <w:br w:type="page"/>
      </w:r>
    </w:p>
    <w:p>
      <w:pPr>
        <w:pStyle w:val="Heading1"/>
      </w:pPr>
      <w:r>
        <w:t>1. Суть концепции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23E6A"/>
                <w:sz w:val="19"/>
              </w:rPr>
              <w:t>Ключевая идея — Учетная Группа — это не просто бухгалтерия и не только дата-центр. Это распределённая вычислительно-учетная среда, где данные, документы, права, операции, показатели и балансы проходят единый цикл: регистрация → проверка → вычисление → согласование → архивирование → управленческое решение.</w:t>
            </w:r>
          </w:p>
        </w:tc>
      </w:tr>
    </w:tbl>
    <w:p>
      <w:pPr>
        <w:spacing w:after="0"/>
      </w:pPr>
    </w:p>
    <w:p>
      <w:pPr>
        <w:pStyle w:val="ListBullet"/>
        <w:spacing w:after="30"/>
      </w:pPr>
      <w:r>
        <w:t>ГРИД обеспечивает распределённую обработку: задачи выполняются на сети узлов, а результат собирается в единую картину.</w:t>
      </w:r>
    </w:p>
    <w:p>
      <w:pPr>
        <w:pStyle w:val="ListBullet"/>
        <w:spacing w:after="30"/>
      </w:pPr>
      <w:r>
        <w:t>Учетная группа обеспечивает смысловую дисциплину: каждый объект имеет код, паспорт, владельца, источник, статус, стоимость, связи и историю изменений.</w:t>
      </w:r>
    </w:p>
    <w:p>
      <w:pPr>
        <w:pStyle w:val="ListBullet"/>
        <w:spacing w:after="30"/>
      </w:pPr>
      <w:r>
        <w:t>Система связывает финансовый, материальный, нематериальный, экологический, технологический и социальный учет в единую модель балансов.</w:t>
      </w:r>
    </w:p>
    <w:p>
      <w:pPr>
        <w:pStyle w:val="ListBullet"/>
        <w:spacing w:after="30"/>
      </w:pPr>
      <w:r>
        <w:t>Главный результат — не накопление файлов, а управляемая среда доверенных данных и проверяемых расчетов.</w:t>
      </w:r>
    </w:p>
    <w:p>
      <w:pPr>
        <w:pStyle w:val="Heading1"/>
      </w:pPr>
      <w:r>
        <w:t>2. Архитектура вычислительного ГРИДа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Слой</w:t>
            </w:r>
          </w:p>
        </w:tc>
        <w:tc>
          <w:tcPr>
            <w:tcW w:type="dxa" w:w="2556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Состав</w:t>
            </w:r>
          </w:p>
        </w:tc>
        <w:tc>
          <w:tcPr>
            <w:tcW w:type="dxa" w:w="2556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Функция</w:t>
            </w:r>
          </w:p>
        </w:tc>
        <w:tc>
          <w:tcPr>
            <w:tcW w:type="dxa" w:w="2556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Данные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источники, датчики, документы, базы, архивы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сбор и нормализация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единое поле данных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Реестры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активы, НМА, обязательства, проекты, субъекты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идентификация объектов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паспорта и статусы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Вычисления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серверы, облако, HPC, контейнеры, очереди задач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расчет моделей и сценариев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производительность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Правила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классификаторы, методики, стандарты, контрольные процедуры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единообразие учета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сопоставимость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Валидация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центры проверки, аудит, контроль версий, подписи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доверие к данным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юридическая и управленческая надежность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Аналитика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BI, ИИ, цифровые двойники, прогнозы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выявление связей и отклонений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решения и приоритеты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Баланс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межотраслевые, проектные, фондовые, экологические балансы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сведение контуров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карта устойчивости</w:t>
            </w:r>
          </w:p>
        </w:tc>
      </w:tr>
    </w:tbl>
    <w:p>
      <w:pPr>
        <w:pStyle w:val="Heading1"/>
      </w:pPr>
      <w:r>
        <w:t>3. Логика учетной группы</w:t>
      </w:r>
    </w:p>
    <w:p>
      <w:pPr>
        <w:pStyle w:val="ListNumber"/>
        <w:spacing w:after="30"/>
      </w:pPr>
      <w:r>
        <w:t>Каждый объект получает уникальный код и паспорт.</w:t>
      </w:r>
    </w:p>
    <w:p>
      <w:pPr>
        <w:pStyle w:val="ListNumber"/>
        <w:spacing w:after="30"/>
      </w:pPr>
      <w:r>
        <w:t>Каждая операция фиксируется как событие с источником, временем, субъектом и основанием.</w:t>
      </w:r>
    </w:p>
    <w:p>
      <w:pPr>
        <w:pStyle w:val="ListNumber"/>
        <w:spacing w:after="30"/>
      </w:pPr>
      <w:r>
        <w:t>Каждое значение имеет происхождение: откуда взято, кем проверено, по какой методике рассчитано.</w:t>
      </w:r>
    </w:p>
    <w:p>
      <w:pPr>
        <w:pStyle w:val="ListNumber"/>
        <w:spacing w:after="30"/>
      </w:pPr>
      <w:r>
        <w:t>Каждый баланс собирается из связанных реестров, а не вручную из разрозненных таблиц.</w:t>
      </w:r>
    </w:p>
    <w:p>
      <w:pPr>
        <w:pStyle w:val="ListNumber"/>
        <w:spacing w:after="30"/>
      </w:pPr>
      <w:r>
        <w:t>Каждая модель ИИ работает только поверх верифицированных данных и сохраняет след расчета.</w:t>
      </w:r>
    </w:p>
    <w:p>
      <w:pPr>
        <w:pStyle w:val="ListNumber"/>
        <w:spacing w:after="30"/>
      </w:pPr>
      <w:r>
        <w:t>Каждое решение возвращается в систему как управляющее воздействие и новая запись истории.</w:t>
      </w:r>
    </w:p>
    <w:p>
      <w:pPr>
        <w:pStyle w:val="Heading1"/>
      </w:pPr>
      <w:r>
        <w:t>4. Основные реестры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Реестр</w:t>
            </w:r>
          </w:p>
        </w:tc>
        <w:tc>
          <w:tcPr>
            <w:tcW w:type="dxa" w:w="3408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Что учитывает</w:t>
            </w:r>
          </w:p>
        </w:tc>
        <w:tc>
          <w:tcPr>
            <w:tcW w:type="dxa" w:w="3408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Зачем нужен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субъектов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организации, люди, фонды, центры компетенций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ответственность и права доступа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активов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имущество, оборудование, инфраструктура, ресурсы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материальный баланс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НМА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права, ПО, базы данных, методики, бренды, ноу-хау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капитализация знаний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данных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наборы данных, источники, версии, качество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доверенная аналитика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проектов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программы, пилоты, задачи, сроки, KPI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управление исполнением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обязательств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договоры, поручения, условия, платежи, риски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контроль исполнения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моделей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алгоритмы, ИИ-модели, методики расчета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проверяемые вычисления</w:t>
            </w:r>
          </w:p>
        </w:tc>
      </w:tr>
      <w:tr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Реестр балансов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ресурсные, финансовые, экологические, отраслевые контуры</w:t>
            </w:r>
          </w:p>
        </w:tc>
        <w:tc>
          <w:tcPr>
            <w:tcW w:type="dxa" w:w="34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6"/>
              </w:rPr>
              <w:t>управление устойчивостью</w:t>
            </w:r>
          </w:p>
        </w:tc>
      </w:tr>
    </w:tbl>
    <w:p>
      <w:pPr>
        <w:pStyle w:val="Heading1"/>
      </w:pPr>
      <w:r>
        <w:t>5. Вычислительный контур</w:t>
      </w:r>
    </w:p>
    <w:p>
      <w:pPr>
        <w:pStyle w:val="ListBullet"/>
        <w:spacing w:after="30"/>
      </w:pPr>
      <w:r>
        <w:t>Федеративные базы данных: данные остаются у владельцев, но становятся доступными по правилам обмена и согласованным интерфейсам.</w:t>
      </w:r>
    </w:p>
    <w:p>
      <w:pPr>
        <w:pStyle w:val="ListBullet"/>
        <w:spacing w:after="30"/>
      </w:pPr>
      <w:r>
        <w:t>Распределённые вычислительные узлы: задачи можно запускать в ведомственных, корпоративных, региональных и проектных центрах.</w:t>
      </w:r>
    </w:p>
    <w:p>
      <w:pPr>
        <w:pStyle w:val="ListBullet"/>
        <w:spacing w:after="30"/>
      </w:pPr>
      <w:r>
        <w:t>Очередь задач: тяжелые расчеты, моделирование, сверки и обучение моделей распределяются по доступным ресурсам.</w:t>
      </w:r>
    </w:p>
    <w:p>
      <w:pPr>
        <w:pStyle w:val="ListBullet"/>
        <w:spacing w:after="30"/>
      </w:pPr>
      <w:r>
        <w:t>Каталог сервисов: расчет балансов, проверка данных, прогнозы, оптимизация, отчеты, паспорта объектов и сценарное моделирование.</w:t>
      </w:r>
    </w:p>
    <w:p>
      <w:pPr>
        <w:pStyle w:val="ListBullet"/>
        <w:spacing w:after="30"/>
      </w:pPr>
      <w:r>
        <w:t>Контур безопасности: шифрование, разграничение доступа, журналирование, контроль изменений и резервирование.</w:t>
      </w:r>
    </w:p>
    <w:p>
      <w:pPr>
        <w:pStyle w:val="Heading1"/>
      </w:pPr>
      <w:r>
        <w:t>6. Центры валидации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23E6A"/>
                <w:sz w:val="19"/>
              </w:rPr>
              <w:t>Принцип — Без валидации вычислительный ГРИД превращается в быструю машину распространения ошибок. Поэтому центры валидации должны быть встроены в архитектуру с первого дня.</w:t>
            </w:r>
          </w:p>
        </w:tc>
      </w:tr>
    </w:tbl>
    <w:p>
      <w:pPr>
        <w:spacing w:after="0"/>
      </w:pPr>
    </w:p>
    <w:p>
      <w:pPr>
        <w:pStyle w:val="ListBullet"/>
        <w:spacing w:after="30"/>
      </w:pPr>
      <w:r>
        <w:t>Методическая валидация: проверка формул, методик, классификаторов и правил расчета.</w:t>
      </w:r>
    </w:p>
    <w:p>
      <w:pPr>
        <w:pStyle w:val="ListBullet"/>
        <w:spacing w:after="30"/>
      </w:pPr>
      <w:r>
        <w:t>Данные: проверка источников, полноты, актуальности, непротиворечивости и прав доступа.</w:t>
      </w:r>
    </w:p>
    <w:p>
      <w:pPr>
        <w:pStyle w:val="ListBullet"/>
        <w:spacing w:after="30"/>
      </w:pPr>
      <w:r>
        <w:t>Правовая валидация: подтверждение прав, полномочий, договорных оснований и ограничений.</w:t>
      </w:r>
    </w:p>
    <w:p>
      <w:pPr>
        <w:pStyle w:val="ListBullet"/>
        <w:spacing w:after="30"/>
      </w:pPr>
      <w:r>
        <w:t>Финансовая валидация: сверка оценок, затрат, обязательств, платежей и эффектов.</w:t>
      </w:r>
    </w:p>
    <w:p>
      <w:pPr>
        <w:pStyle w:val="ListBullet"/>
        <w:spacing w:after="30"/>
      </w:pPr>
      <w:r>
        <w:t>Техническая валидация: тесты ПО, нагрузка, отказоустойчивость, кибербезопасность, воспроизводимость расчетов.</w:t>
      </w:r>
    </w:p>
    <w:p>
      <w:pPr>
        <w:pStyle w:val="Heading1"/>
      </w:pPr>
      <w:r>
        <w:t>7. Связь с ЭКВИЛИБРИУМ, Архивом и фондами</w:t>
      </w:r>
    </w:p>
    <w:p>
      <w:pPr>
        <w:pStyle w:val="ListBullet"/>
        <w:spacing w:after="30"/>
      </w:pPr>
      <w:r>
        <w:t>ЭКВИЛИБРИУМ: верхний аналитический слой, который видит балансы, связи, отклонения, риски и сценарии развития.</w:t>
      </w:r>
    </w:p>
    <w:p>
      <w:pPr>
        <w:pStyle w:val="ListBullet"/>
        <w:spacing w:after="30"/>
      </w:pPr>
      <w:r>
        <w:t>Архив сохранения наследия: долговременное хранение исходных документов, версий, авторства, доказательств и контекста происхождения.</w:t>
      </w:r>
    </w:p>
    <w:p>
      <w:pPr>
        <w:pStyle w:val="ListBullet"/>
        <w:spacing w:after="30"/>
      </w:pPr>
      <w:r>
        <w:t>Система фондов: распределение активов, НМА, прав, ресурсов и обязательств по личным, именным, проектным и отраслевым фондам.</w:t>
      </w:r>
    </w:p>
    <w:p>
      <w:pPr>
        <w:pStyle w:val="ListBullet"/>
        <w:spacing w:after="30"/>
      </w:pPr>
      <w:r>
        <w:t>СПЕЦЗАЩИТА: контур практического внедрения — сбор данных, развертывание узлов, проверка, интеграция и сопровождение.</w:t>
      </w:r>
    </w:p>
    <w:p>
      <w:pPr>
        <w:pStyle w:val="ListBullet"/>
        <w:spacing w:after="30"/>
      </w:pPr>
      <w:r>
        <w:t>SUR: управленческий слой развития, где балансы становятся механизмом решений, а не просто отчетностью.</w:t>
      </w:r>
    </w:p>
    <w:p>
      <w:pPr>
        <w:pStyle w:val="Heading1"/>
      </w:pPr>
      <w:r>
        <w:t>8. Матрица данных и балансов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Баланс</w:t>
            </w:r>
          </w:p>
        </w:tc>
        <w:tc>
          <w:tcPr>
            <w:tcW w:type="dxa" w:w="2045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Данные</w:t>
            </w:r>
          </w:p>
        </w:tc>
        <w:tc>
          <w:tcPr>
            <w:tcW w:type="dxa" w:w="2045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Вычисления</w:t>
            </w:r>
          </w:p>
        </w:tc>
        <w:tc>
          <w:tcPr>
            <w:tcW w:type="dxa" w:w="2045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2045"/>
            <w:shd w:fill="0B3D91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Решение</w:t>
            </w:r>
          </w:p>
        </w:tc>
      </w:tr>
      <w:tr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Финансовый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платежи, бюджеты, обязательства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свод, прогноз, кассовые разрывы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сверка и аудит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приоритет финансирования</w:t>
            </w:r>
          </w:p>
        </w:tc>
      </w:tr>
      <w:tr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Ресурсный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материалы, энергия, техника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дефициты и резервы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инвентаризация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перераспределение</w:t>
            </w:r>
          </w:p>
        </w:tc>
      </w:tr>
      <w:tr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НМА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права, ПО, данные, методики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стоимость и эффект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правовая чистота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капитализация</w:t>
            </w:r>
          </w:p>
        </w:tc>
      </w:tr>
      <w:tr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Экологический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воздух, вода, почва, биоценозы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нагрузка и восстановление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датчики и лаборатории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меры восстановления</w:t>
            </w:r>
          </w:p>
        </w:tc>
      </w:tr>
      <w:tr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Кадровый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компетенции, роли, загрузка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узкие места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аттестация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подготовка кадров</w:t>
            </w:r>
          </w:p>
        </w:tc>
      </w:tr>
      <w:tr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Проектный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этапы, KPI, риски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сценарии исполнения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контроль сроков</w:t>
            </w:r>
          </w:p>
        </w:tc>
        <w:tc>
          <w:tcPr>
            <w:tcW w:type="dxa" w:w="204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4"/>
              </w:rPr>
              <w:t>коррекция дорожной карты</w:t>
            </w:r>
          </w:p>
        </w:tc>
      </w:tr>
    </w:tbl>
    <w:p>
      <w:pPr>
        <w:pStyle w:val="Heading1"/>
      </w:pPr>
      <w:r>
        <w:t>9. Дорожная карта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2556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2556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Действия</w:t>
            </w:r>
          </w:p>
        </w:tc>
        <w:tc>
          <w:tcPr>
            <w:tcW w:type="dxa" w:w="2556"/>
            <w:shd w:fill="145A8D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Выход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0. Проектирование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0–30 дней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утвердить модель, классификаторы, роли, шаблоны паспортов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архитектура и регламент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1. Инвентаризация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30–90 дней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собрать источники, базы, документы, активы и НМА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первичный контур данных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2. Пилот ГРИДа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60–120 дней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развернуть узлы, хранилища, обмен, очередь задач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работающий вычислительный контур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3. Реестры и паспорта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90–180 дней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ввести реестры субъектов, активов, НМА, проектов, моделей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единая учетная группа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4. Балансы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120–240 дней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собрать финансовый, ресурсный, НМА, экологический и проектный балансы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управленческая панель</w:t>
            </w:r>
          </w:p>
        </w:tc>
      </w:tr>
      <w:tr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5. Масштабирование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180–365 дней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подключить фонды, архив, центры валидации и ИИ-сервисы</w:t>
            </w:r>
          </w:p>
        </w:tc>
        <w:tc>
          <w:tcPr>
            <w:tcW w:type="dxa" w:w="255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24364B"/>
                <w:sz w:val="15"/>
              </w:rPr>
              <w:t>национальная/корпоративная система</w:t>
            </w:r>
          </w:p>
        </w:tc>
      </w:tr>
    </w:tbl>
    <w:p>
      <w:pPr>
        <w:pStyle w:val="Heading1"/>
      </w:pPr>
      <w:r>
        <w:t>10. KPI и критерии зрелости</w:t>
      </w:r>
    </w:p>
    <w:p>
      <w:pPr>
        <w:pStyle w:val="ListBullet"/>
        <w:spacing w:after="30"/>
      </w:pPr>
      <w:r>
        <w:t>Доля объектов с паспортом и владельцем данных, %.</w:t>
      </w:r>
    </w:p>
    <w:p>
      <w:pPr>
        <w:pStyle w:val="ListBullet"/>
        <w:spacing w:after="30"/>
      </w:pPr>
      <w:r>
        <w:t>Доля операций с подтвержденным источником и неизменяемым журналом, %.</w:t>
      </w:r>
    </w:p>
    <w:p>
      <w:pPr>
        <w:pStyle w:val="ListBullet"/>
        <w:spacing w:after="30"/>
      </w:pPr>
      <w:r>
        <w:t>Время подготовки баланса: от недель и дней к часам и минутам.</w:t>
      </w:r>
    </w:p>
    <w:p>
      <w:pPr>
        <w:pStyle w:val="ListBullet"/>
        <w:spacing w:after="30"/>
      </w:pPr>
      <w:r>
        <w:t>Количество расхождений между реестрами и фактическими данными.</w:t>
      </w:r>
    </w:p>
    <w:p>
      <w:pPr>
        <w:pStyle w:val="ListBullet"/>
        <w:spacing w:after="30"/>
      </w:pPr>
      <w:r>
        <w:t>Производительность вычислений и стоимость одного расчета.</w:t>
      </w:r>
    </w:p>
    <w:p>
      <w:pPr>
        <w:pStyle w:val="ListBullet"/>
        <w:spacing w:after="30"/>
      </w:pPr>
      <w:r>
        <w:t>Количество моделей, прошедших методическую и техническую валидацию.</w:t>
      </w:r>
    </w:p>
    <w:p>
      <w:pPr>
        <w:pStyle w:val="ListBullet"/>
        <w:spacing w:after="30"/>
      </w:pPr>
      <w:r>
        <w:t>Доля управленческих решений, основанных на проверяемых данных и расчетах.</w:t>
      </w:r>
    </w:p>
    <w:p>
      <w:pPr>
        <w:pStyle w:val="ListBullet"/>
        <w:spacing w:after="30"/>
      </w:pPr>
      <w:r>
        <w:t>Уровень отказоустойчивости: резервирование, восстановление, киберзащита.</w:t>
      </w:r>
    </w:p>
    <w:p>
      <w:pPr>
        <w:pStyle w:val="Heading1"/>
      </w:pPr>
      <w:r>
        <w:t>11. Итоговое решение</w:t>
      </w:r>
    </w:p>
    <w:p>
      <w:pPr>
        <w:pStyle w:val="ListNumber"/>
        <w:spacing w:after="30"/>
      </w:pPr>
      <w:r>
        <w:t>Создать Учетную Группу как постоянный орган/контур ведения реестров, балансов и данных.</w:t>
      </w:r>
    </w:p>
    <w:p>
      <w:pPr>
        <w:pStyle w:val="ListNumber"/>
        <w:spacing w:after="30"/>
      </w:pPr>
      <w:r>
        <w:t>Развернуть вычислительный ГРИД как распределённую инфраструктуру обработки, сверки и моделирования.</w:t>
      </w:r>
    </w:p>
    <w:p>
      <w:pPr>
        <w:pStyle w:val="ListNumber"/>
        <w:spacing w:after="30"/>
      </w:pPr>
      <w:r>
        <w:t>Назначить владельцев данных, методик, реестров, моделей и балансов.</w:t>
      </w:r>
    </w:p>
    <w:p>
      <w:pPr>
        <w:pStyle w:val="ListNumber"/>
        <w:spacing w:after="30"/>
      </w:pPr>
      <w:r>
        <w:t>Запустить пилот на одном проектном контуре: НМА + фонды + архив + балансы + центры валидации.</w:t>
      </w:r>
    </w:p>
    <w:p>
      <w:pPr>
        <w:pStyle w:val="ListNumber"/>
        <w:spacing w:after="30"/>
      </w:pPr>
      <w:r>
        <w:t>Перевести лучшие практики пилота в стандарт масштабирования.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3FF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23E6A"/>
                <w:sz w:val="19"/>
              </w:rPr>
              <w:t>Формула запуска — Учетная Группа + Вычислительный ГРИД = цифровая счетная система развития, где каждый ресурс получает паспорт, каждое действие оставляет след, а каждый баланс становится инструментом управления.</w:t>
            </w:r>
          </w:p>
        </w:tc>
      </w:tr>
    </w:tbl>
    <w:p>
      <w:pPr>
        <w:spacing w:after="0"/>
      </w:pPr>
    </w:p>
    <w:sectPr w:rsidR="00FC693F" w:rsidRPr="0006063C" w:rsidSect="00034616">
      <w:pgSz w:w="12240" w:h="15840"/>
      <w:pgMar w:top="893" w:right="1008" w:bottom="89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3D9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45A8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2E6F9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3D91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Группа — Вычислительный ГРИД</dc:title>
  <dc:subject>Мастер-документ</dc:subject>
  <dc:creator>ChatGPT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