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520" w:line="264" w:lineRule="auto"/>
        <w:jc w:val="center"/>
      </w:pPr>
      <w:r>
        <w:rPr>
          <w:rFonts w:ascii="Calibri" w:hAnsi="Calibri"/>
          <w:b w:val="0"/>
          <w:i w:val="0"/>
          <w:color w:val="2F6B55"/>
          <w:sz w:val="22"/>
        </w:rPr>
        <w:t>СТРАТЕГИКО-ПРАВОВАЯ КОНЦЕПЦИЯ</w:t>
      </w:r>
    </w:p>
    <w:p>
      <w:pPr>
        <w:spacing w:before="1900" w:after="240"/>
        <w:jc w:val="center"/>
      </w:pPr>
      <w:r>
        <w:rPr>
          <w:rFonts w:ascii="Calibri" w:hAnsi="Calibri"/>
          <w:b/>
          <w:i w:val="0"/>
          <w:color w:val="17365D"/>
          <w:sz w:val="56"/>
        </w:rPr>
        <w:t>ИНТЕГРАЦИЯ UCC</w:t>
      </w:r>
    </w:p>
    <w:p>
      <w:pPr>
        <w:spacing w:after="200"/>
        <w:jc w:val="center"/>
      </w:pPr>
      <w:r>
        <w:rPr>
          <w:rFonts w:ascii="Calibri" w:hAnsi="Calibri"/>
          <w:b/>
          <w:i w:val="0"/>
          <w:color w:val="2E74B5"/>
          <w:sz w:val="34"/>
        </w:rPr>
        <w:t>в надсистему ЭКО-PPA — ЭКВИЛИБРИУМ — ЕУТ</w:t>
      </w:r>
    </w:p>
    <w:p>
      <w:pPr>
        <w:spacing w:after="600"/>
        <w:jc w:val="center"/>
      </w:pPr>
      <w:r>
        <w:rPr>
          <w:rFonts w:ascii="Calibri" w:hAnsi="Calibri"/>
          <w:b w:val="0"/>
          <w:i w:val="0"/>
          <w:color w:val="667085"/>
          <w:sz w:val="24"/>
        </w:rPr>
        <w:t>Архитектура трансграничных коммерческих операций, обеспечения, цифровых записей и правовой маршрутизации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tblHeader w:val="true"/>
          <w:cantSplit/>
        </w:trP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shd w:fill="EAF2EE"/>
          </w:tcPr>
          <w:p>
            <w:pPr>
              <w:spacing w:after="40"/>
            </w:pPr>
            <w:r>
              <w:rPr>
                <w:rFonts w:ascii="Calibri" w:hAnsi="Calibri"/>
                <w:b/>
                <w:i w:val="0"/>
                <w:color w:val="17365D"/>
                <w:sz w:val="22"/>
              </w:rPr>
              <w:t xml:space="preserve">Ключевой принцип: </w:t>
            </w:r>
            <w:r>
              <w:rPr>
                <w:rFonts w:ascii="Calibri" w:hAnsi="Calibri"/>
                <w:b w:val="0"/>
                <w:i w:val="0"/>
                <w:color w:val="1F2937"/>
                <w:sz w:val="22"/>
              </w:rPr>
              <w:t>одна надсистема данных и стандартов — множество юридически корректных контуров исполнения.</w:t>
            </w:r>
          </w:p>
        </w:tc>
      </w:tr>
    </w:tbl>
    <w:p>
      <w:pPr>
        <w:spacing w:before="0" w:after="60" w:line="264" w:lineRule="auto"/>
      </w:pPr>
      <w:r>
        <w:rPr>
          <w:rFonts w:ascii="Calibri" w:hAnsi="Calibri"/>
          <w:b w:val="0"/>
          <w:i w:val="0"/>
          <w:color w:val="1F2937"/>
          <w:sz w:val="22"/>
        </w:rPr>
      </w:r>
    </w:p>
    <w:p>
      <w:pPr>
        <w:spacing w:before="0" w:after="60" w:line="264" w:lineRule="auto"/>
        <w:jc w:val="center"/>
      </w:pPr>
      <w:r>
        <w:rPr>
          <w:rFonts w:ascii="Calibri" w:hAnsi="Calibri"/>
          <w:b w:val="0"/>
          <w:i w:val="0"/>
          <w:color w:val="1F2937"/>
          <w:sz w:val="22"/>
        </w:rPr>
        <w:t>Версия 1.0</w:t>
      </w:r>
    </w:p>
    <w:p>
      <w:pPr>
        <w:spacing w:before="0" w:after="60" w:line="264" w:lineRule="auto"/>
        <w:jc w:val="center"/>
      </w:pPr>
      <w:r>
        <w:rPr>
          <w:rFonts w:ascii="Calibri" w:hAnsi="Calibri"/>
          <w:b w:val="0"/>
          <w:i w:val="0"/>
          <w:color w:val="1F2937"/>
          <w:sz w:val="22"/>
        </w:rPr>
        <w:t>20 августа 2026 года</w:t>
      </w:r>
    </w:p>
    <w:p>
      <w:pPr>
        <w:spacing w:before="0" w:after="0" w:line="264" w:lineRule="auto"/>
        <w:jc w:val="center"/>
      </w:pPr>
      <w:r>
        <w:rPr>
          <w:rFonts w:ascii="Calibri" w:hAnsi="Calibri"/>
          <w:b w:val="0"/>
          <w:i w:val="0"/>
          <w:color w:val="667085"/>
          <w:sz w:val="22"/>
        </w:rPr>
        <w:t>Статус: концептуальный документ для последующей юридической, финансовой и технической верификации</w:t>
      </w:r>
    </w:p>
    <w:p>
      <w:r>
        <w:br w:type="page"/>
      </w:r>
    </w:p>
    <w:p>
      <w:pPr>
        <w:pStyle w:val="Heading1"/>
      </w:pPr>
      <w:r>
        <w:t>1. Резюме</w:t>
      </w:r>
    </w:p>
    <w:p>
      <w:pPr>
        <w:spacing w:before="0" w:after="120" w:line="264" w:lineRule="auto"/>
      </w:pPr>
      <w:r>
        <w:rPr>
          <w:rFonts w:ascii="Calibri" w:hAnsi="Calibri"/>
          <w:b w:val="0"/>
          <w:i w:val="0"/>
          <w:color w:val="1F2937"/>
          <w:sz w:val="22"/>
        </w:rPr>
        <w:t>UCC целесообразно интегрировать не как «высший закон» над государствами, а как специализированный американский коммерческий модуль внутри международной надсистемы ЭКО-PPA. Надсистема должна сохранять суверенитет применимого национального права, но обеспечивать единый язык сделок, активов, обязательств, обеспечения и результатов.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tblHeader w:val="true"/>
          <w:cantSplit/>
        </w:trP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pPr>
              <w:spacing w:after="40"/>
            </w:pPr>
            <w:r>
              <w:rPr>
                <w:rFonts w:ascii="Calibri" w:hAnsi="Calibri"/>
                <w:b/>
                <w:i w:val="0"/>
                <w:color w:val="17365D"/>
                <w:sz w:val="22"/>
              </w:rPr>
              <w:t xml:space="preserve">Формула: </w:t>
            </w:r>
            <w:r>
              <w:rPr>
                <w:rFonts w:ascii="Calibri" w:hAnsi="Calibri"/>
                <w:b w:val="0"/>
                <w:i w:val="0"/>
                <w:color w:val="1F2937"/>
                <w:sz w:val="22"/>
              </w:rPr>
              <w:t>Надсистема ЭКО-PPA = национальное право + международное торговое право + договорные стандарты + юрисдикционные модули UCC + ЕУТ + цифровой реестр доказательств.</w:t>
            </w:r>
          </w:p>
        </w:tc>
      </w:tr>
    </w:tbl>
    <w:p>
      <w:pPr>
        <w:spacing w:before="0" w:after="60" w:line="264" w:lineRule="auto"/>
      </w:pPr>
      <w:r>
        <w:rPr>
          <w:rFonts w:ascii="Calibri" w:hAnsi="Calibri"/>
          <w:b w:val="0"/>
          <w:i w:val="0"/>
          <w:color w:val="1F2937"/>
          <w:sz w:val="22"/>
        </w:rPr>
      </w:r>
    </w:p>
    <w:p>
      <w:pPr>
        <w:spacing w:before="0" w:after="120" w:line="264" w:lineRule="auto"/>
      </w:pPr>
      <w:r>
        <w:rPr>
          <w:rFonts w:ascii="Calibri" w:hAnsi="Calibri"/>
          <w:b w:val="0"/>
          <w:i w:val="0"/>
          <w:color w:val="1F2937"/>
          <w:sz w:val="22"/>
        </w:rPr>
        <w:t>UCC — модельный коммерческий кодекс, нормы которого вводятся законодательством отдельных штатов США. Поэтому юридически некорректно указывать в договоре только «применяется UCC»: необходимо определить право конкретного штата, связь сделки с выбранной юрисдикцией, применимые статьи, федеральные ограничения и порядок разрешения споров.</w:t>
      </w:r>
    </w:p>
    <w:p>
      <w:pPr>
        <w:pStyle w:val="Heading1"/>
      </w:pPr>
      <w:r>
        <w:t>2. Назначение интеграции</w:t>
      </w:r>
    </w:p>
    <w:p>
      <w:pPr>
        <w:pStyle w:val="ListBullet"/>
        <w:spacing w:after="160" w:line="280" w:lineRule="auto"/>
        <w:ind w:left="720" w:hanging="360"/>
      </w:pPr>
      <w:r>
        <w:rPr>
          <w:rFonts w:ascii="Calibri" w:hAnsi="Calibri"/>
          <w:b w:val="0"/>
          <w:i w:val="0"/>
          <w:color w:val="1F2937"/>
          <w:sz w:val="22"/>
        </w:rPr>
        <w:t>создать единый договорный каркас для энергетических, экологических и производственных проектов;</w:t>
      </w:r>
    </w:p>
    <w:p>
      <w:pPr>
        <w:pStyle w:val="ListBullet"/>
        <w:spacing w:after="160" w:line="280" w:lineRule="auto"/>
        <w:ind w:left="720" w:hanging="360"/>
      </w:pPr>
      <w:r>
        <w:rPr>
          <w:rFonts w:ascii="Calibri" w:hAnsi="Calibri"/>
          <w:b w:val="0"/>
          <w:i w:val="0"/>
          <w:color w:val="1F2937"/>
          <w:sz w:val="22"/>
        </w:rPr>
        <w:t>связать долгосрочный заказ ЭКО-PPA с банковским финансированием и обеспечением;</w:t>
      </w:r>
    </w:p>
    <w:p>
      <w:pPr>
        <w:pStyle w:val="ListBullet"/>
        <w:spacing w:after="160" w:line="280" w:lineRule="auto"/>
        <w:ind w:left="720" w:hanging="360"/>
      </w:pPr>
      <w:r>
        <w:rPr>
          <w:rFonts w:ascii="Calibri" w:hAnsi="Calibri"/>
          <w:b w:val="0"/>
          <w:i w:val="0"/>
          <w:color w:val="1F2937"/>
          <w:sz w:val="22"/>
        </w:rPr>
        <w:t>обеспечить совместимость российских, международных и американских коммерческих контуров;</w:t>
      </w:r>
    </w:p>
    <w:p>
      <w:pPr>
        <w:pStyle w:val="ListBullet"/>
        <w:spacing w:after="160" w:line="280" w:lineRule="auto"/>
        <w:ind w:left="720" w:hanging="360"/>
      </w:pPr>
      <w:r>
        <w:rPr>
          <w:rFonts w:ascii="Calibri" w:hAnsi="Calibri"/>
          <w:b w:val="0"/>
          <w:i w:val="0"/>
          <w:color w:val="1F2937"/>
          <w:sz w:val="22"/>
        </w:rPr>
        <w:t>создать доказуемую цепочку: право — обязательство — актив — обеспечение — исполнение — результат;</w:t>
      </w:r>
    </w:p>
    <w:p>
      <w:pPr>
        <w:pStyle w:val="ListBullet"/>
        <w:spacing w:after="160" w:line="280" w:lineRule="auto"/>
        <w:ind w:left="720" w:hanging="360"/>
      </w:pPr>
      <w:r>
        <w:rPr>
          <w:rFonts w:ascii="Calibri" w:hAnsi="Calibri"/>
          <w:b w:val="0"/>
          <w:i w:val="0"/>
          <w:color w:val="1F2937"/>
          <w:sz w:val="22"/>
        </w:rPr>
        <w:t>автоматизировать выбор применимого правового модуля без подмены законодательства цифровой платформой.</w:t>
      </w:r>
    </w:p>
    <w:p>
      <w:pPr>
        <w:pStyle w:val="Heading1"/>
      </w:pPr>
      <w:r>
        <w:t>3. Границы применимости UCC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2300"/>
        <w:gridCol w:w="7060"/>
      </w:tblGrid>
      <w:tr>
        <w:trPr>
          <w:tblHeader w:val="true"/>
          <w:cantSplit/>
        </w:trPr>
        <w:tc>
          <w:tcPr>
            <w:tcW w:type="dxa" w:w="2300"/>
            <w:tcMar>
              <w:top w:w="80" w:type="dxa"/>
              <w:start w:w="120" w:type="dxa"/>
              <w:bottom w:w="80" w:type="dxa"/>
              <w:end w:w="120" w:type="dxa"/>
            </w:tcMar>
            <w:shd w:fill="F2F4F7"/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7365D"/>
                <w:sz w:val="20"/>
              </w:rPr>
              <w:t>Положение</w:t>
            </w:r>
          </w:p>
        </w:tc>
        <w:tc>
          <w:tcPr>
            <w:tcW w:type="dxa" w:w="7060"/>
            <w:tcMar>
              <w:top w:w="80" w:type="dxa"/>
              <w:start w:w="120" w:type="dxa"/>
              <w:bottom w:w="80" w:type="dxa"/>
              <w:end w:w="120" w:type="dxa"/>
            </w:tcMar>
            <w:shd w:fill="F2F4F7"/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7365D"/>
                <w:sz w:val="20"/>
              </w:rPr>
              <w:t>Корректная трактовка</w:t>
            </w:r>
          </w:p>
        </w:tc>
      </w:tr>
      <w:tr>
        <w:trPr>
          <w:cantSplit/>
        </w:trPr>
        <w:tc>
          <w:tcPr>
            <w:tcW w:type="dxa" w:w="230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Calibri" w:hAnsi="Calibri"/>
                <w:b w:val="0"/>
                <w:i w:val="0"/>
                <w:color w:val="1F2937"/>
                <w:sz w:val="19"/>
              </w:rPr>
              <w:t>Правовой статус</w:t>
            </w:r>
          </w:p>
        </w:tc>
        <w:tc>
          <w:tcPr>
            <w:tcW w:type="dxa" w:w="706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Calibri" w:hAnsi="Calibri"/>
                <w:b w:val="0"/>
                <w:i w:val="0"/>
                <w:color w:val="1F2937"/>
                <w:sz w:val="19"/>
              </w:rPr>
              <w:t>UCC не является международным договором и не действует как универсальное мировое право.</w:t>
            </w:r>
          </w:p>
        </w:tc>
      </w:tr>
      <w:tr>
        <w:trPr>
          <w:cantSplit/>
        </w:trPr>
        <w:tc>
          <w:tcPr>
            <w:tcW w:type="dxa" w:w="230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Calibri" w:hAnsi="Calibri"/>
                <w:b w:val="0"/>
                <w:i w:val="0"/>
                <w:color w:val="1F2937"/>
                <w:sz w:val="19"/>
              </w:rPr>
              <w:t>Территориальность</w:t>
            </w:r>
          </w:p>
        </w:tc>
        <w:tc>
          <w:tcPr>
            <w:tcW w:type="dxa" w:w="706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Calibri" w:hAnsi="Calibri"/>
                <w:b w:val="0"/>
                <w:i w:val="0"/>
                <w:color w:val="1F2937"/>
                <w:sz w:val="19"/>
              </w:rPr>
              <w:t>Применяется редакция, принятая соответствующим штатом США, с учётом федерального права.</w:t>
            </w:r>
          </w:p>
        </w:tc>
      </w:tr>
      <w:tr>
        <w:trPr>
          <w:cantSplit/>
        </w:trPr>
        <w:tc>
          <w:tcPr>
            <w:tcW w:type="dxa" w:w="230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Calibri" w:hAnsi="Calibri"/>
                <w:b w:val="0"/>
                <w:i w:val="0"/>
                <w:color w:val="1F2937"/>
                <w:sz w:val="19"/>
              </w:rPr>
              <w:t>Выбор права</w:t>
            </w:r>
          </w:p>
        </w:tc>
        <w:tc>
          <w:tcPr>
            <w:tcW w:type="dxa" w:w="706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Calibri" w:hAnsi="Calibri"/>
                <w:b w:val="0"/>
                <w:i w:val="0"/>
                <w:color w:val="1F2937"/>
                <w:sz w:val="19"/>
              </w:rPr>
              <w:t>Допустимость выбора зависит от связи сделки с юрисдикцией и императивных коллизионных правил.</w:t>
            </w:r>
          </w:p>
        </w:tc>
      </w:tr>
      <w:tr>
        <w:trPr>
          <w:cantSplit/>
        </w:trPr>
        <w:tc>
          <w:tcPr>
            <w:tcW w:type="dxa" w:w="230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Calibri" w:hAnsi="Calibri"/>
                <w:b w:val="0"/>
                <w:i w:val="0"/>
                <w:color w:val="1F2937"/>
                <w:sz w:val="19"/>
              </w:rPr>
              <w:t>Регистрация UCC-1</w:t>
            </w:r>
          </w:p>
        </w:tc>
        <w:tc>
          <w:tcPr>
            <w:tcW w:type="dxa" w:w="706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Calibri" w:hAnsi="Calibri"/>
                <w:b w:val="0"/>
                <w:i w:val="0"/>
                <w:color w:val="1F2937"/>
                <w:sz w:val="19"/>
              </w:rPr>
              <w:t>Как правило, уведомляет о заявленном обеспечительном интересе, но сама по себе не создаёт актив или право собственности.</w:t>
            </w:r>
          </w:p>
        </w:tc>
      </w:tr>
      <w:tr>
        <w:trPr>
          <w:cantSplit/>
        </w:trPr>
        <w:tc>
          <w:tcPr>
            <w:tcW w:type="dxa" w:w="230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Calibri" w:hAnsi="Calibri"/>
                <w:b w:val="0"/>
                <w:i w:val="0"/>
                <w:color w:val="1F2937"/>
                <w:sz w:val="19"/>
              </w:rPr>
              <w:t>Цифровая запись</w:t>
            </w:r>
          </w:p>
        </w:tc>
        <w:tc>
          <w:tcPr>
            <w:tcW w:type="dxa" w:w="706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Calibri" w:hAnsi="Calibri"/>
                <w:b w:val="0"/>
                <w:i w:val="0"/>
                <w:color w:val="1F2937"/>
                <w:sz w:val="19"/>
              </w:rPr>
              <w:t>Внутренний реестр может подтверждать события и документы, но не заменяет обязательную государственную регистрацию.</w:t>
            </w:r>
          </w:p>
        </w:tc>
      </w:tr>
    </w:tbl>
    <w:p>
      <w:pPr>
        <w:spacing w:before="0" w:after="40" w:line="264" w:lineRule="auto"/>
      </w:pPr>
      <w:r>
        <w:rPr>
          <w:rFonts w:ascii="Calibri" w:hAnsi="Calibri"/>
          <w:b w:val="0"/>
          <w:i w:val="0"/>
          <w:color w:val="1F2937"/>
          <w:sz w:val="22"/>
        </w:rPr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tblHeader w:val="true"/>
          <w:cantSplit/>
        </w:trP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pPr>
              <w:spacing w:after="40"/>
            </w:pPr>
            <w:r>
              <w:rPr>
                <w:rFonts w:ascii="Calibri" w:hAnsi="Calibri"/>
                <w:b/>
                <w:i w:val="0"/>
                <w:color w:val="17365D"/>
                <w:sz w:val="22"/>
              </w:rPr>
              <w:t xml:space="preserve">Юридическая оговорка: </w:t>
            </w:r>
            <w:r>
              <w:rPr>
                <w:rFonts w:ascii="Calibri" w:hAnsi="Calibri"/>
                <w:b w:val="0"/>
                <w:i w:val="0"/>
                <w:color w:val="1F2937"/>
                <w:sz w:val="22"/>
              </w:rPr>
              <w:t>интеграция UCC должна проходить через лицензированных консультантов в каждой задействованной юрисдикции. Настоящий документ не является юридическим заключением.</w:t>
            </w:r>
          </w:p>
        </w:tc>
      </w:tr>
    </w:tbl>
    <w:p>
      <w:pPr>
        <w:spacing w:before="0" w:after="60" w:line="264" w:lineRule="auto"/>
      </w:pPr>
      <w:r>
        <w:rPr>
          <w:rFonts w:ascii="Calibri" w:hAnsi="Calibri"/>
          <w:b w:val="0"/>
          <w:i w:val="0"/>
          <w:color w:val="1F2937"/>
          <w:sz w:val="22"/>
        </w:rPr>
      </w:r>
    </w:p>
    <w:p>
      <w:pPr>
        <w:pStyle w:val="Heading1"/>
      </w:pPr>
      <w:r>
        <w:t>4. Архитектура надсистемы</w:t>
      </w:r>
    </w:p>
    <w:p>
      <w:pPr>
        <w:pStyle w:val="Heading2"/>
      </w:pPr>
      <w:r>
        <w:t>4.1. Уровень принципов — ЭКВИЛИБРИУМ</w:t>
      </w:r>
    </w:p>
    <w:p>
      <w:pPr>
        <w:spacing w:before="0" w:after="120" w:line="264" w:lineRule="auto"/>
      </w:pPr>
      <w:r>
        <w:rPr>
          <w:rFonts w:ascii="Calibri" w:hAnsi="Calibri"/>
          <w:b w:val="0"/>
          <w:i w:val="0"/>
          <w:color w:val="1F2937"/>
          <w:sz w:val="22"/>
        </w:rPr>
        <w:t>ЭКВИЛИБРИУМ определяет целевое состояние и системные ограничения: баланс интересов, добросовестность, доказательность, экологическую и социальную результативность, ответственность участников и недопустимость нарушения устойчивости всей системы. Этот уровень является доктриной проектирования, а не самостоятельным применимым правом.</w:t>
      </w:r>
    </w:p>
    <w:p>
      <w:pPr>
        <w:pStyle w:val="Heading2"/>
      </w:pPr>
      <w:r>
        <w:t>4.2. Операционная конституция — ЕУТ</w:t>
      </w:r>
    </w:p>
    <w:p>
      <w:pPr>
        <w:spacing w:before="0" w:after="120" w:line="264" w:lineRule="auto"/>
      </w:pPr>
      <w:r>
        <w:rPr>
          <w:rFonts w:ascii="Calibri" w:hAnsi="Calibri"/>
          <w:b w:val="0"/>
          <w:i w:val="0"/>
          <w:color w:val="1F2937"/>
          <w:sz w:val="22"/>
        </w:rPr>
        <w:t>ЕУТ формирует единый язык операций и данных:</w:t>
      </w:r>
    </w:p>
    <w:p>
      <w:pPr>
        <w:pStyle w:val="ListBullet"/>
        <w:spacing w:after="160" w:line="280" w:lineRule="auto"/>
        <w:ind w:left="720" w:hanging="360"/>
      </w:pPr>
      <w:r>
        <w:rPr>
          <w:rFonts w:ascii="Calibri" w:hAnsi="Calibri"/>
          <w:b w:val="0"/>
          <w:i w:val="0"/>
          <w:color w:val="1F2937"/>
          <w:sz w:val="22"/>
        </w:rPr>
        <w:t>идентификаторы участника, проекта, договора, актива и обязательства;</w:t>
      </w:r>
    </w:p>
    <w:p>
      <w:pPr>
        <w:pStyle w:val="ListBullet"/>
        <w:spacing w:after="160" w:line="280" w:lineRule="auto"/>
        <w:ind w:left="720" w:hanging="360"/>
      </w:pPr>
      <w:r>
        <w:rPr>
          <w:rFonts w:ascii="Calibri" w:hAnsi="Calibri"/>
          <w:b w:val="0"/>
          <w:i w:val="0"/>
          <w:color w:val="1F2937"/>
          <w:sz w:val="22"/>
        </w:rPr>
        <w:t>момент возникновения, изменения, передачи и прекращения права;</w:t>
      </w:r>
    </w:p>
    <w:p>
      <w:pPr>
        <w:pStyle w:val="ListBullet"/>
        <w:spacing w:after="160" w:line="280" w:lineRule="auto"/>
        <w:ind w:left="720" w:hanging="360"/>
      </w:pPr>
      <w:r>
        <w:rPr>
          <w:rFonts w:ascii="Calibri" w:hAnsi="Calibri"/>
          <w:b w:val="0"/>
          <w:i w:val="0"/>
          <w:color w:val="1F2937"/>
          <w:sz w:val="22"/>
        </w:rPr>
        <w:t>вид и приоритет обеспечения;</w:t>
      </w:r>
    </w:p>
    <w:p>
      <w:pPr>
        <w:pStyle w:val="ListBullet"/>
        <w:spacing w:after="160" w:line="280" w:lineRule="auto"/>
        <w:ind w:left="720" w:hanging="360"/>
      </w:pPr>
      <w:r>
        <w:rPr>
          <w:rFonts w:ascii="Calibri" w:hAnsi="Calibri"/>
          <w:b w:val="0"/>
          <w:i w:val="0"/>
          <w:color w:val="1F2937"/>
          <w:sz w:val="22"/>
        </w:rPr>
        <w:t>единицы измерения энергии и экологического результата;</w:t>
      </w:r>
    </w:p>
    <w:p>
      <w:pPr>
        <w:pStyle w:val="ListBullet"/>
        <w:spacing w:after="160" w:line="280" w:lineRule="auto"/>
        <w:ind w:left="720" w:hanging="360"/>
      </w:pPr>
      <w:r>
        <w:rPr>
          <w:rFonts w:ascii="Calibri" w:hAnsi="Calibri"/>
          <w:b w:val="0"/>
          <w:i w:val="0"/>
          <w:color w:val="1F2937"/>
          <w:sz w:val="22"/>
        </w:rPr>
        <w:t>события исполнения, нарушения и дефолта;</w:t>
      </w:r>
    </w:p>
    <w:p>
      <w:pPr>
        <w:pStyle w:val="ListBullet"/>
        <w:spacing w:after="160" w:line="280" w:lineRule="auto"/>
        <w:ind w:left="720" w:hanging="360"/>
      </w:pPr>
      <w:r>
        <w:rPr>
          <w:rFonts w:ascii="Calibri" w:hAnsi="Calibri"/>
          <w:b w:val="0"/>
          <w:i w:val="0"/>
          <w:color w:val="1F2937"/>
          <w:sz w:val="22"/>
        </w:rPr>
        <w:t>ссылки на первичные документы и официальные реестры;</w:t>
      </w:r>
    </w:p>
    <w:p>
      <w:pPr>
        <w:pStyle w:val="ListBullet"/>
        <w:spacing w:after="160" w:line="280" w:lineRule="auto"/>
        <w:ind w:left="720" w:hanging="360"/>
      </w:pPr>
      <w:r>
        <w:rPr>
          <w:rFonts w:ascii="Calibri" w:hAnsi="Calibri"/>
          <w:b w:val="0"/>
          <w:i w:val="0"/>
          <w:color w:val="1F2937"/>
          <w:sz w:val="22"/>
        </w:rPr>
        <w:t>правила верификации и аудиторский след.</w:t>
      </w:r>
    </w:p>
    <w:p>
      <w:pPr>
        <w:pStyle w:val="Heading2"/>
      </w:pPr>
      <w:r>
        <w:t>4.3. Правовой маршрутизатор</w:t>
      </w:r>
    </w:p>
    <w:p>
      <w:pPr>
        <w:spacing w:before="0" w:after="120" w:line="264" w:lineRule="auto"/>
      </w:pPr>
      <w:r>
        <w:rPr>
          <w:rFonts w:ascii="Calibri" w:hAnsi="Calibri"/>
          <w:b w:val="0"/>
          <w:i w:val="0"/>
          <w:color w:val="1F2937"/>
          <w:sz w:val="22"/>
        </w:rPr>
        <w:t>Правовой маршрутизатор — центральный механизм надсистемы. Для каждой операции он определяет:</w:t>
      </w:r>
    </w:p>
    <w:p>
      <w:pPr>
        <w:spacing w:after="160" w:line="280" w:lineRule="auto"/>
        <w:ind w:left="720" w:hanging="360"/>
        <w:numPr>
          <w:ilvl w:val="0"/>
          <w:numId w:val="10"/>
        </w:numPr>
      </w:pPr>
      <w:r>
        <w:rPr>
          <w:rFonts w:ascii="Calibri" w:hAnsi="Calibri"/>
          <w:b w:val="0"/>
          <w:i w:val="0"/>
          <w:color w:val="1F2937"/>
          <w:sz w:val="22"/>
        </w:rPr>
        <w:t>Статус, резидентность и юрисдикцию сторон.</w:t>
      </w:r>
    </w:p>
    <w:p>
      <w:pPr>
        <w:spacing w:after="160" w:line="280" w:lineRule="auto"/>
        <w:ind w:left="720" w:hanging="360"/>
        <w:numPr>
          <w:ilvl w:val="0"/>
          <w:numId w:val="10"/>
        </w:numPr>
      </w:pPr>
      <w:r>
        <w:rPr>
          <w:rFonts w:ascii="Calibri" w:hAnsi="Calibri"/>
          <w:b w:val="0"/>
          <w:i w:val="0"/>
          <w:color w:val="1F2937"/>
          <w:sz w:val="22"/>
        </w:rPr>
        <w:t>Место нахождения оборудования, товара, счёта и иного актива.</w:t>
      </w:r>
    </w:p>
    <w:p>
      <w:pPr>
        <w:spacing w:after="160" w:line="280" w:lineRule="auto"/>
        <w:ind w:left="720" w:hanging="360"/>
        <w:numPr>
          <w:ilvl w:val="0"/>
          <w:numId w:val="10"/>
        </w:numPr>
      </w:pPr>
      <w:r>
        <w:rPr>
          <w:rFonts w:ascii="Calibri" w:hAnsi="Calibri"/>
          <w:b w:val="0"/>
          <w:i w:val="0"/>
          <w:color w:val="1F2937"/>
          <w:sz w:val="22"/>
        </w:rPr>
        <w:t>Юридическую квалификацию предмета сделки.</w:t>
      </w:r>
    </w:p>
    <w:p>
      <w:pPr>
        <w:spacing w:after="160" w:line="280" w:lineRule="auto"/>
        <w:ind w:left="720" w:hanging="360"/>
        <w:numPr>
          <w:ilvl w:val="0"/>
          <w:numId w:val="10"/>
        </w:numPr>
      </w:pPr>
      <w:r>
        <w:rPr>
          <w:rFonts w:ascii="Calibri" w:hAnsi="Calibri"/>
          <w:b w:val="0"/>
          <w:i w:val="0"/>
          <w:color w:val="1F2937"/>
          <w:sz w:val="22"/>
        </w:rPr>
        <w:t>Применимое материальное и коллизионное право.</w:t>
      </w:r>
    </w:p>
    <w:p>
      <w:pPr>
        <w:spacing w:after="160" w:line="280" w:lineRule="auto"/>
        <w:ind w:left="720" w:hanging="360"/>
        <w:numPr>
          <w:ilvl w:val="0"/>
          <w:numId w:val="10"/>
        </w:numPr>
      </w:pPr>
      <w:r>
        <w:rPr>
          <w:rFonts w:ascii="Calibri" w:hAnsi="Calibri"/>
          <w:b w:val="0"/>
          <w:i w:val="0"/>
          <w:color w:val="1F2937"/>
          <w:sz w:val="22"/>
        </w:rPr>
        <w:t>Императивные публично-правовые ограничения.</w:t>
      </w:r>
    </w:p>
    <w:p>
      <w:pPr>
        <w:spacing w:after="160" w:line="280" w:lineRule="auto"/>
        <w:ind w:left="720" w:hanging="360"/>
        <w:numPr>
          <w:ilvl w:val="0"/>
          <w:numId w:val="10"/>
        </w:numPr>
      </w:pPr>
      <w:r>
        <w:rPr>
          <w:rFonts w:ascii="Calibri" w:hAnsi="Calibri"/>
          <w:b w:val="0"/>
          <w:i w:val="0"/>
          <w:color w:val="1F2937"/>
          <w:sz w:val="22"/>
        </w:rPr>
        <w:t>Порядок создания и регистрации обеспечения.</w:t>
      </w:r>
    </w:p>
    <w:p>
      <w:pPr>
        <w:spacing w:after="160" w:line="280" w:lineRule="auto"/>
        <w:ind w:left="720" w:hanging="360"/>
        <w:numPr>
          <w:ilvl w:val="0"/>
          <w:numId w:val="10"/>
        </w:numPr>
      </w:pPr>
      <w:r>
        <w:rPr>
          <w:rFonts w:ascii="Calibri" w:hAnsi="Calibri"/>
          <w:b w:val="0"/>
          <w:i w:val="0"/>
          <w:color w:val="1F2937"/>
          <w:sz w:val="22"/>
        </w:rPr>
        <w:t>Компетентный суд или согласованный арбитраж.</w:t>
      </w:r>
    </w:p>
    <w:p>
      <w:pPr>
        <w:spacing w:after="160" w:line="280" w:lineRule="auto"/>
        <w:ind w:left="720" w:hanging="360"/>
        <w:numPr>
          <w:ilvl w:val="0"/>
          <w:numId w:val="10"/>
        </w:numPr>
      </w:pPr>
      <w:r>
        <w:rPr>
          <w:rFonts w:ascii="Calibri" w:hAnsi="Calibri"/>
          <w:b w:val="0"/>
          <w:i w:val="0"/>
          <w:color w:val="1F2937"/>
          <w:sz w:val="22"/>
        </w:rPr>
        <w:t>Валютные, налоговые, санкционные и комплаенс-требования.</w:t>
      </w:r>
    </w:p>
    <w:p>
      <w:pPr>
        <w:pStyle w:val="Heading1"/>
      </w:pPr>
      <w:r>
        <w:t>5. Модульная карта UCC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1700"/>
        <w:gridCol w:w="7660"/>
      </w:tblGrid>
      <w:tr>
        <w:trPr>
          <w:tblHeader w:val="true"/>
          <w:cantSplit/>
        </w:trPr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shd w:fill="F2F4F7"/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7365D"/>
                <w:sz w:val="20"/>
              </w:rPr>
              <w:t>Модуль</w:t>
            </w:r>
          </w:p>
        </w:tc>
        <w:tc>
          <w:tcPr>
            <w:tcW w:type="dxa" w:w="7660"/>
            <w:tcMar>
              <w:top w:w="80" w:type="dxa"/>
              <w:start w:w="120" w:type="dxa"/>
              <w:bottom w:w="80" w:type="dxa"/>
              <w:end w:w="120" w:type="dxa"/>
            </w:tcMar>
            <w:shd w:fill="F2F4F7"/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7365D"/>
                <w:sz w:val="20"/>
              </w:rPr>
              <w:t>Функция в надсистеме</w:t>
            </w:r>
          </w:p>
        </w:tc>
      </w:tr>
      <w:tr>
        <w:trPr>
          <w:cantSplit/>
        </w:trPr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Calibri" w:hAnsi="Calibri"/>
                <w:b w:val="0"/>
                <w:i w:val="0"/>
                <w:color w:val="1F2937"/>
                <w:sz w:val="19"/>
              </w:rPr>
              <w:t>Article 1</w:t>
            </w:r>
          </w:p>
        </w:tc>
        <w:tc>
          <w:tcPr>
            <w:tcW w:type="dxa" w:w="766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Calibri" w:hAnsi="Calibri"/>
                <w:b w:val="0"/>
                <w:i w:val="0"/>
                <w:color w:val="1F2937"/>
                <w:sz w:val="19"/>
              </w:rPr>
              <w:t>Общие определения, добросовестность, договорная практика и базовые правила.</w:t>
            </w:r>
          </w:p>
        </w:tc>
      </w:tr>
      <w:tr>
        <w:trPr>
          <w:cantSplit/>
        </w:trPr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Calibri" w:hAnsi="Calibri"/>
                <w:b w:val="0"/>
                <w:i w:val="0"/>
                <w:color w:val="1F2937"/>
                <w:sz w:val="19"/>
              </w:rPr>
              <w:t>Article 2</w:t>
            </w:r>
          </w:p>
        </w:tc>
        <w:tc>
          <w:tcPr>
            <w:tcW w:type="dxa" w:w="766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Calibri" w:hAnsi="Calibri"/>
                <w:b w:val="0"/>
                <w:i w:val="0"/>
                <w:color w:val="1F2937"/>
                <w:sz w:val="19"/>
              </w:rPr>
              <w:t>Продажа оборудования, материалов, накопителей, экомодулей и комплектующих.</w:t>
            </w:r>
          </w:p>
        </w:tc>
      </w:tr>
      <w:tr>
        <w:trPr>
          <w:cantSplit/>
        </w:trPr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Calibri" w:hAnsi="Calibri"/>
                <w:b w:val="0"/>
                <w:i w:val="0"/>
                <w:color w:val="1F2937"/>
                <w:sz w:val="19"/>
              </w:rPr>
              <w:t>Article 2A</w:t>
            </w:r>
          </w:p>
        </w:tc>
        <w:tc>
          <w:tcPr>
            <w:tcW w:type="dxa" w:w="766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Calibri" w:hAnsi="Calibri"/>
                <w:b w:val="0"/>
                <w:i w:val="0"/>
                <w:color w:val="1F2937"/>
                <w:sz w:val="19"/>
              </w:rPr>
              <w:t>Лизинг энергетического и промышленного оборудования.</w:t>
            </w:r>
          </w:p>
        </w:tc>
      </w:tr>
      <w:tr>
        <w:trPr>
          <w:cantSplit/>
        </w:trPr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Calibri" w:hAnsi="Calibri"/>
                <w:b w:val="0"/>
                <w:i w:val="0"/>
                <w:color w:val="1F2937"/>
                <w:sz w:val="19"/>
              </w:rPr>
              <w:t>Articles 3–4A</w:t>
            </w:r>
          </w:p>
        </w:tc>
        <w:tc>
          <w:tcPr>
            <w:tcW w:type="dxa" w:w="766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Calibri" w:hAnsi="Calibri"/>
                <w:b w:val="0"/>
                <w:i w:val="0"/>
                <w:color w:val="1F2937"/>
                <w:sz w:val="19"/>
              </w:rPr>
              <w:t>Оборотные инструменты, банковские операции и коммерческие переводы.</w:t>
            </w:r>
          </w:p>
        </w:tc>
      </w:tr>
      <w:tr>
        <w:trPr>
          <w:cantSplit/>
        </w:trPr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Calibri" w:hAnsi="Calibri"/>
                <w:b w:val="0"/>
                <w:i w:val="0"/>
                <w:color w:val="1F2937"/>
                <w:sz w:val="19"/>
              </w:rPr>
              <w:t>Article 5</w:t>
            </w:r>
          </w:p>
        </w:tc>
        <w:tc>
          <w:tcPr>
            <w:tcW w:type="dxa" w:w="766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Calibri" w:hAnsi="Calibri"/>
                <w:b w:val="0"/>
                <w:i w:val="0"/>
                <w:color w:val="1F2937"/>
                <w:sz w:val="19"/>
              </w:rPr>
              <w:t>Аккредитивы и документарное обеспечение поставок.</w:t>
            </w:r>
          </w:p>
        </w:tc>
      </w:tr>
      <w:tr>
        <w:trPr>
          <w:cantSplit/>
        </w:trPr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Calibri" w:hAnsi="Calibri"/>
                <w:b w:val="0"/>
                <w:i w:val="0"/>
                <w:color w:val="1F2937"/>
                <w:sz w:val="19"/>
              </w:rPr>
              <w:t>Article 7</w:t>
            </w:r>
          </w:p>
        </w:tc>
        <w:tc>
          <w:tcPr>
            <w:tcW w:type="dxa" w:w="766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Calibri" w:hAnsi="Calibri"/>
                <w:b w:val="0"/>
                <w:i w:val="0"/>
                <w:color w:val="1F2937"/>
                <w:sz w:val="19"/>
              </w:rPr>
              <w:t>Складские свидетельства и товарораспорядительные документы.</w:t>
            </w:r>
          </w:p>
        </w:tc>
      </w:tr>
      <w:tr>
        <w:trPr>
          <w:cantSplit/>
        </w:trPr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Calibri" w:hAnsi="Calibri"/>
                <w:b w:val="0"/>
                <w:i w:val="0"/>
                <w:color w:val="1F2937"/>
                <w:sz w:val="19"/>
              </w:rPr>
              <w:t>Article 8</w:t>
            </w:r>
          </w:p>
        </w:tc>
        <w:tc>
          <w:tcPr>
            <w:tcW w:type="dxa" w:w="766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Calibri" w:hAnsi="Calibri"/>
                <w:b w:val="0"/>
                <w:i w:val="0"/>
                <w:color w:val="1F2937"/>
                <w:sz w:val="19"/>
              </w:rPr>
              <w:t>Инвестиционные ценные бумаги и связанные права.</w:t>
            </w:r>
          </w:p>
        </w:tc>
      </w:tr>
      <w:tr>
        <w:trPr>
          <w:cantSplit/>
        </w:trPr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Calibri" w:hAnsi="Calibri"/>
                <w:b w:val="0"/>
                <w:i w:val="0"/>
                <w:color w:val="1F2937"/>
                <w:sz w:val="19"/>
              </w:rPr>
              <w:t>Article 9</w:t>
            </w:r>
          </w:p>
        </w:tc>
        <w:tc>
          <w:tcPr>
            <w:tcW w:type="dxa" w:w="766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Calibri" w:hAnsi="Calibri"/>
                <w:b w:val="0"/>
                <w:i w:val="0"/>
                <w:color w:val="1F2937"/>
                <w:sz w:val="19"/>
              </w:rPr>
              <w:t>Обеспечительные интересы в активах и поступлениях.</w:t>
            </w:r>
          </w:p>
        </w:tc>
      </w:tr>
      <w:tr>
        <w:trPr>
          <w:cantSplit/>
        </w:trPr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Calibri" w:hAnsi="Calibri"/>
                <w:b w:val="0"/>
                <w:i w:val="0"/>
                <w:color w:val="1F2937"/>
                <w:sz w:val="19"/>
              </w:rPr>
              <w:t>Article 12</w:t>
            </w:r>
          </w:p>
        </w:tc>
        <w:tc>
          <w:tcPr>
            <w:tcW w:type="dxa" w:w="766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Calibri" w:hAnsi="Calibri"/>
                <w:b w:val="0"/>
                <w:i w:val="0"/>
                <w:color w:val="1F2937"/>
                <w:sz w:val="19"/>
              </w:rPr>
              <w:t>Контролируемые электронные записи и отдельные цифровые активы.</w:t>
            </w:r>
          </w:p>
        </w:tc>
      </w:tr>
    </w:tbl>
    <w:p>
      <w:pPr>
        <w:spacing w:before="0" w:after="40" w:line="264" w:lineRule="auto"/>
      </w:pPr>
      <w:r>
        <w:rPr>
          <w:rFonts w:ascii="Calibri" w:hAnsi="Calibri"/>
          <w:b w:val="0"/>
          <w:i w:val="0"/>
          <w:color w:val="1F2937"/>
          <w:sz w:val="22"/>
        </w:rPr>
      </w:r>
    </w:p>
    <w:p>
      <w:pPr>
        <w:spacing w:before="0" w:after="120" w:line="264" w:lineRule="auto"/>
      </w:pPr>
      <w:r>
        <w:rPr>
          <w:rFonts w:ascii="Calibri" w:hAnsi="Calibri"/>
          <w:b w:val="0"/>
          <w:i w:val="0"/>
          <w:color w:val="1F2937"/>
          <w:sz w:val="22"/>
        </w:rPr>
        <w:t>Для ЭКО-PPA приоритетное значение имеют Articles 2, 5, 7, 9 и 12: они связывают поставку оборудования, документарные расчёты, товарные документы, обеспечение финансирования и цифровой оборот прав.</w:t>
      </w:r>
    </w:p>
    <w:p>
      <w:pPr>
        <w:pStyle w:val="Heading1"/>
      </w:pPr>
      <w:r>
        <w:t>6. Ключевой финансовый контур: Article 9</w:t>
      </w:r>
    </w:p>
    <w:p>
      <w:pPr>
        <w:spacing w:before="0" w:after="120" w:line="264" w:lineRule="auto"/>
      </w:pPr>
      <w:r>
        <w:rPr>
          <w:rFonts w:ascii="Calibri" w:hAnsi="Calibri"/>
          <w:b w:val="0"/>
          <w:i w:val="0"/>
          <w:color w:val="1F2937"/>
          <w:sz w:val="22"/>
        </w:rPr>
        <w:t>В американском контуре Article 9 может использоваться для структурирования обеспечительных интересов в оборудовании, запасах, правах требования, выручке по PPA, страховых выплатах и иных поступлениях — при условии правильной квалификации актива и соблюдения требований применимого права.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tblHeader w:val="true"/>
          <w:cantSplit/>
        </w:trP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pPr>
              <w:spacing w:after="40"/>
            </w:pPr>
            <w:r>
              <w:rPr>
                <w:rFonts w:ascii="Calibri" w:hAnsi="Calibri"/>
                <w:b/>
                <w:i w:val="0"/>
                <w:color w:val="17365D"/>
                <w:sz w:val="22"/>
              </w:rPr>
              <w:t xml:space="preserve">Проектная модель: </w:t>
            </w:r>
            <w:r>
              <w:rPr>
                <w:rFonts w:ascii="Calibri" w:hAnsi="Calibri"/>
                <w:b w:val="0"/>
                <w:i w:val="0"/>
                <w:color w:val="1F2937"/>
                <w:sz w:val="22"/>
              </w:rPr>
              <w:t>проектная компания получает финансирование на создание мини-генерации; кредитору предоставляется обеспечение в отношении оборудования, уступаемой выручки по ЭКО-PPA, страховых выплат и связанных поступлений.</w:t>
            </w:r>
          </w:p>
        </w:tc>
      </w:tr>
    </w:tbl>
    <w:p>
      <w:pPr>
        <w:spacing w:before="0" w:after="60" w:line="264" w:lineRule="auto"/>
      </w:pPr>
      <w:r>
        <w:rPr>
          <w:rFonts w:ascii="Calibri" w:hAnsi="Calibri"/>
          <w:b w:val="0"/>
          <w:i w:val="0"/>
          <w:color w:val="1F2937"/>
          <w:sz w:val="22"/>
        </w:rPr>
      </w:r>
    </w:p>
    <w:p>
      <w:pPr>
        <w:spacing w:before="0" w:after="120" w:line="264" w:lineRule="auto"/>
      </w:pPr>
      <w:r>
        <w:rPr>
          <w:rFonts w:ascii="Calibri" w:hAnsi="Calibri"/>
          <w:b w:val="0"/>
          <w:i w:val="0"/>
          <w:color w:val="1F2937"/>
          <w:sz w:val="22"/>
        </w:rPr>
        <w:t>ЕУТ должна фиксировать не только регистрационную запись, но и всю юридическую цепочку:</w:t>
      </w:r>
    </w:p>
    <w:p>
      <w:pPr>
        <w:spacing w:after="160" w:line="280" w:lineRule="auto"/>
        <w:ind w:left="720" w:hanging="360"/>
        <w:numPr>
          <w:ilvl w:val="0"/>
          <w:numId w:val="11"/>
        </w:numPr>
      </w:pPr>
      <w:r>
        <w:rPr>
          <w:rFonts w:ascii="Calibri" w:hAnsi="Calibri"/>
          <w:b w:val="0"/>
          <w:i w:val="0"/>
          <w:color w:val="1F2937"/>
          <w:sz w:val="22"/>
        </w:rPr>
        <w:t>Основной договор и экономическое обязательство.</w:t>
      </w:r>
    </w:p>
    <w:p>
      <w:pPr>
        <w:spacing w:after="160" w:line="280" w:lineRule="auto"/>
        <w:ind w:left="720" w:hanging="360"/>
        <w:numPr>
          <w:ilvl w:val="0"/>
          <w:numId w:val="11"/>
        </w:numPr>
      </w:pPr>
      <w:r>
        <w:rPr>
          <w:rFonts w:ascii="Calibri" w:hAnsi="Calibri"/>
          <w:b w:val="0"/>
          <w:i w:val="0"/>
          <w:color w:val="1F2937"/>
          <w:sz w:val="22"/>
        </w:rPr>
        <w:t>Обеспечительное соглашение и описание предмета обеспечения.</w:t>
      </w:r>
    </w:p>
    <w:p>
      <w:pPr>
        <w:spacing w:after="160" w:line="280" w:lineRule="auto"/>
        <w:ind w:left="720" w:hanging="360"/>
        <w:numPr>
          <w:ilvl w:val="0"/>
          <w:numId w:val="11"/>
        </w:numPr>
      </w:pPr>
      <w:r>
        <w:rPr>
          <w:rFonts w:ascii="Calibri" w:hAnsi="Calibri"/>
          <w:b w:val="0"/>
          <w:i w:val="0"/>
          <w:color w:val="1F2937"/>
          <w:sz w:val="22"/>
        </w:rPr>
        <w:t>Возникновение обеспечительного интереса.</w:t>
      </w:r>
    </w:p>
    <w:p>
      <w:pPr>
        <w:spacing w:after="160" w:line="280" w:lineRule="auto"/>
        <w:ind w:left="720" w:hanging="360"/>
        <w:numPr>
          <w:ilvl w:val="0"/>
          <w:numId w:val="11"/>
        </w:numPr>
      </w:pPr>
      <w:r>
        <w:rPr>
          <w:rFonts w:ascii="Calibri" w:hAnsi="Calibri"/>
          <w:b w:val="0"/>
          <w:i w:val="0"/>
          <w:color w:val="1F2937"/>
          <w:sz w:val="22"/>
        </w:rPr>
        <w:t>Регистрация или установление контроля — в зависимости от вида актива.</w:t>
      </w:r>
    </w:p>
    <w:p>
      <w:pPr>
        <w:spacing w:after="160" w:line="280" w:lineRule="auto"/>
        <w:ind w:left="720" w:hanging="360"/>
        <w:numPr>
          <w:ilvl w:val="0"/>
          <w:numId w:val="11"/>
        </w:numPr>
      </w:pPr>
      <w:r>
        <w:rPr>
          <w:rFonts w:ascii="Calibri" w:hAnsi="Calibri"/>
          <w:b w:val="0"/>
          <w:i w:val="0"/>
          <w:color w:val="1F2937"/>
          <w:sz w:val="22"/>
        </w:rPr>
        <w:t>Проверка конкурирующих требований и приоритета.</w:t>
      </w:r>
    </w:p>
    <w:p>
      <w:pPr>
        <w:spacing w:after="160" w:line="280" w:lineRule="auto"/>
        <w:ind w:left="720" w:hanging="360"/>
        <w:numPr>
          <w:ilvl w:val="0"/>
          <w:numId w:val="11"/>
        </w:numPr>
      </w:pPr>
      <w:r>
        <w:rPr>
          <w:rFonts w:ascii="Calibri" w:hAnsi="Calibri"/>
          <w:b w:val="0"/>
          <w:i w:val="0"/>
          <w:color w:val="1F2937"/>
          <w:sz w:val="22"/>
        </w:rPr>
        <w:t>Мониторинг сохранности актива и поступлений.</w:t>
      </w:r>
    </w:p>
    <w:p>
      <w:pPr>
        <w:spacing w:after="160" w:line="280" w:lineRule="auto"/>
        <w:ind w:left="720" w:hanging="360"/>
        <w:numPr>
          <w:ilvl w:val="0"/>
          <w:numId w:val="11"/>
        </w:numPr>
      </w:pPr>
      <w:r>
        <w:rPr>
          <w:rFonts w:ascii="Calibri" w:hAnsi="Calibri"/>
          <w:b w:val="0"/>
          <w:i w:val="0"/>
          <w:color w:val="1F2937"/>
          <w:sz w:val="22"/>
        </w:rPr>
        <w:t>Порядок обращения взыскания при наступлении дефолта.</w:t>
      </w:r>
    </w:p>
    <w:p>
      <w:pPr>
        <w:pStyle w:val="Heading1"/>
      </w:pPr>
      <w:r>
        <w:t>7. Международный правовой мост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2300"/>
        <w:gridCol w:w="7060"/>
      </w:tblGrid>
      <w:tr>
        <w:trPr>
          <w:tblHeader w:val="true"/>
          <w:cantSplit/>
        </w:trPr>
        <w:tc>
          <w:tcPr>
            <w:tcW w:type="dxa" w:w="2300"/>
            <w:tcMar>
              <w:top w:w="80" w:type="dxa"/>
              <w:start w:w="120" w:type="dxa"/>
              <w:bottom w:w="80" w:type="dxa"/>
              <w:end w:w="120" w:type="dxa"/>
            </w:tcMar>
            <w:shd w:fill="F2F4F7"/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7365D"/>
                <w:sz w:val="20"/>
              </w:rPr>
              <w:t>Контур</w:t>
            </w:r>
          </w:p>
        </w:tc>
        <w:tc>
          <w:tcPr>
            <w:tcW w:type="dxa" w:w="7060"/>
            <w:tcMar>
              <w:top w:w="80" w:type="dxa"/>
              <w:start w:w="120" w:type="dxa"/>
              <w:bottom w:w="80" w:type="dxa"/>
              <w:end w:w="120" w:type="dxa"/>
            </w:tcMar>
            <w:shd w:fill="F2F4F7"/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7365D"/>
                <w:sz w:val="20"/>
              </w:rPr>
              <w:t>Базовый правовой режим</w:t>
            </w:r>
          </w:p>
        </w:tc>
      </w:tr>
      <w:tr>
        <w:trPr>
          <w:cantSplit/>
        </w:trPr>
        <w:tc>
          <w:tcPr>
            <w:tcW w:type="dxa" w:w="230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Calibri" w:hAnsi="Calibri"/>
                <w:b w:val="0"/>
                <w:i w:val="0"/>
                <w:color w:val="1F2937"/>
                <w:sz w:val="19"/>
              </w:rPr>
              <w:t>Российские операции</w:t>
            </w:r>
          </w:p>
        </w:tc>
        <w:tc>
          <w:tcPr>
            <w:tcW w:type="dxa" w:w="706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Calibri" w:hAnsi="Calibri"/>
                <w:b w:val="0"/>
                <w:i w:val="0"/>
                <w:color w:val="1F2937"/>
                <w:sz w:val="19"/>
              </w:rPr>
              <w:t>ГК РФ, энергетическое, экологическое, финансовое, валютное и публичное право РФ.</w:t>
            </w:r>
          </w:p>
        </w:tc>
      </w:tr>
      <w:tr>
        <w:trPr>
          <w:cantSplit/>
        </w:trPr>
        <w:tc>
          <w:tcPr>
            <w:tcW w:type="dxa" w:w="230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Calibri" w:hAnsi="Calibri"/>
                <w:b w:val="0"/>
                <w:i w:val="0"/>
                <w:color w:val="1F2937"/>
                <w:sz w:val="19"/>
              </w:rPr>
              <w:t>Международная поставка</w:t>
            </w:r>
          </w:p>
        </w:tc>
        <w:tc>
          <w:tcPr>
            <w:tcW w:type="dxa" w:w="706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Calibri" w:hAnsi="Calibri"/>
                <w:b w:val="0"/>
                <w:i w:val="0"/>
                <w:color w:val="1F2937"/>
                <w:sz w:val="19"/>
              </w:rPr>
              <w:t>CISG, когда Конвенция применима; национальное право — по вопросам вне её сферы.</w:t>
            </w:r>
          </w:p>
        </w:tc>
      </w:tr>
      <w:tr>
        <w:trPr>
          <w:cantSplit/>
        </w:trPr>
        <w:tc>
          <w:tcPr>
            <w:tcW w:type="dxa" w:w="230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Calibri" w:hAnsi="Calibri"/>
                <w:b w:val="0"/>
                <w:i w:val="0"/>
                <w:color w:val="1F2937"/>
                <w:sz w:val="19"/>
              </w:rPr>
              <w:t>Американская сделка</w:t>
            </w:r>
          </w:p>
        </w:tc>
        <w:tc>
          <w:tcPr>
            <w:tcW w:type="dxa" w:w="706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Calibri" w:hAnsi="Calibri"/>
                <w:b w:val="0"/>
                <w:i w:val="0"/>
                <w:color w:val="1F2937"/>
                <w:sz w:val="19"/>
              </w:rPr>
              <w:t>Право выбранного штата, соответствующая редакция UCC и применимое федеральное право США.</w:t>
            </w:r>
          </w:p>
        </w:tc>
      </w:tr>
      <w:tr>
        <w:trPr>
          <w:cantSplit/>
        </w:trPr>
        <w:tc>
          <w:tcPr>
            <w:tcW w:type="dxa" w:w="230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Calibri" w:hAnsi="Calibri"/>
                <w:b w:val="0"/>
                <w:i w:val="0"/>
                <w:color w:val="1F2937"/>
                <w:sz w:val="19"/>
              </w:rPr>
              <w:t>Цифровые документы</w:t>
            </w:r>
          </w:p>
        </w:tc>
        <w:tc>
          <w:tcPr>
            <w:tcW w:type="dxa" w:w="706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Calibri" w:hAnsi="Calibri"/>
                <w:b w:val="0"/>
                <w:i w:val="0"/>
                <w:color w:val="1F2937"/>
                <w:sz w:val="19"/>
              </w:rPr>
              <w:t>Национальные нормы об электронной подписи и документах; MLETR — только в имплементировавших юрисдикциях.</w:t>
            </w:r>
          </w:p>
        </w:tc>
      </w:tr>
      <w:tr>
        <w:trPr>
          <w:cantSplit/>
        </w:trPr>
        <w:tc>
          <w:tcPr>
            <w:tcW w:type="dxa" w:w="230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Calibri" w:hAnsi="Calibri"/>
                <w:b w:val="0"/>
                <w:i w:val="0"/>
                <w:color w:val="1F2937"/>
                <w:sz w:val="19"/>
              </w:rPr>
              <w:t>Споры</w:t>
            </w:r>
          </w:p>
        </w:tc>
        <w:tc>
          <w:tcPr>
            <w:tcW w:type="dxa" w:w="706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Calibri" w:hAnsi="Calibri"/>
                <w:b w:val="0"/>
                <w:i w:val="0"/>
                <w:color w:val="1F2937"/>
                <w:sz w:val="19"/>
              </w:rPr>
              <w:t>Национальный суд либо согласованный арбитраж с исполнимой оговоркой и проверкой признания решения.</w:t>
            </w:r>
          </w:p>
        </w:tc>
      </w:tr>
    </w:tbl>
    <w:p>
      <w:pPr>
        <w:spacing w:before="0" w:after="40" w:line="264" w:lineRule="auto"/>
      </w:pPr>
      <w:r>
        <w:rPr>
          <w:rFonts w:ascii="Calibri" w:hAnsi="Calibri"/>
          <w:b w:val="0"/>
          <w:i w:val="0"/>
          <w:color w:val="1F2937"/>
          <w:sz w:val="22"/>
        </w:rPr>
      </w:r>
    </w:p>
    <w:p>
      <w:pPr>
        <w:spacing w:before="0" w:after="120" w:line="264" w:lineRule="auto"/>
      </w:pPr>
      <w:r>
        <w:rPr>
          <w:rFonts w:ascii="Calibri" w:hAnsi="Calibri"/>
          <w:b w:val="0"/>
          <w:i w:val="0"/>
          <w:color w:val="1F2937"/>
          <w:sz w:val="22"/>
        </w:rPr>
        <w:t>CISG регулирует международную куплю-продажу товаров между коммерческими сторонами, но не охватывает весь комплекс услуг, проектного финансирования, залогов и публичных обязательств ЭКО-PPA. Поэтому мастер-соглашение должно отдельно распределять применимые режимы по каждому блоку отношений.</w:t>
      </w:r>
    </w:p>
    <w:p>
      <w:pPr>
        <w:pStyle w:val="Heading1"/>
      </w:pPr>
      <w:r>
        <w:t>8. Конструкция мастер-соглашения ЭКО-PPA</w:t>
      </w:r>
    </w:p>
    <w:p>
      <w:pPr>
        <w:pStyle w:val="Heading2"/>
      </w:pPr>
      <w:r>
        <w:t>Часть A. Универсальное ядро ЕУТ</w:t>
      </w:r>
    </w:p>
    <w:p>
      <w:pPr>
        <w:pStyle w:val="ListBullet"/>
        <w:spacing w:after="160" w:line="280" w:lineRule="auto"/>
        <w:ind w:left="720" w:hanging="360"/>
      </w:pPr>
      <w:r>
        <w:rPr>
          <w:rFonts w:ascii="Calibri" w:hAnsi="Calibri"/>
          <w:b w:val="0"/>
          <w:i w:val="0"/>
          <w:color w:val="1F2937"/>
          <w:sz w:val="22"/>
        </w:rPr>
        <w:t>стороны, роли и полномочия;</w:t>
      </w:r>
    </w:p>
    <w:p>
      <w:pPr>
        <w:pStyle w:val="ListBullet"/>
        <w:spacing w:after="160" w:line="280" w:lineRule="auto"/>
        <w:ind w:left="720" w:hanging="360"/>
      </w:pPr>
      <w:r>
        <w:rPr>
          <w:rFonts w:ascii="Calibri" w:hAnsi="Calibri"/>
          <w:b w:val="0"/>
          <w:i w:val="0"/>
          <w:color w:val="1F2937"/>
          <w:sz w:val="22"/>
        </w:rPr>
        <w:t>предмет, поставка и гарантированный результат;</w:t>
      </w:r>
    </w:p>
    <w:p>
      <w:pPr>
        <w:pStyle w:val="ListBullet"/>
        <w:spacing w:after="160" w:line="280" w:lineRule="auto"/>
        <w:ind w:left="720" w:hanging="360"/>
      </w:pPr>
      <w:r>
        <w:rPr>
          <w:rFonts w:ascii="Calibri" w:hAnsi="Calibri"/>
          <w:b w:val="0"/>
          <w:i w:val="0"/>
          <w:color w:val="1F2937"/>
          <w:sz w:val="22"/>
        </w:rPr>
        <w:t>энергетические, экологические, промышленные и социальные показатели;</w:t>
      </w:r>
    </w:p>
    <w:p>
      <w:pPr>
        <w:pStyle w:val="ListBullet"/>
        <w:spacing w:after="160" w:line="280" w:lineRule="auto"/>
        <w:ind w:left="720" w:hanging="360"/>
      </w:pPr>
      <w:r>
        <w:rPr>
          <w:rFonts w:ascii="Calibri" w:hAnsi="Calibri"/>
          <w:b w:val="0"/>
          <w:i w:val="0"/>
          <w:color w:val="1F2937"/>
          <w:sz w:val="22"/>
        </w:rPr>
        <w:t>методика измерения, отчётности и верификации;</w:t>
      </w:r>
    </w:p>
    <w:p>
      <w:pPr>
        <w:pStyle w:val="ListBullet"/>
        <w:spacing w:after="160" w:line="280" w:lineRule="auto"/>
        <w:ind w:left="720" w:hanging="360"/>
      </w:pPr>
      <w:r>
        <w:rPr>
          <w:rFonts w:ascii="Calibri" w:hAnsi="Calibri"/>
          <w:b w:val="0"/>
          <w:i w:val="0"/>
          <w:color w:val="1F2937"/>
          <w:sz w:val="22"/>
        </w:rPr>
        <w:t>платёжный механизм и корректировки;</w:t>
      </w:r>
    </w:p>
    <w:p>
      <w:pPr>
        <w:pStyle w:val="ListBullet"/>
        <w:spacing w:after="160" w:line="280" w:lineRule="auto"/>
        <w:ind w:left="720" w:hanging="360"/>
      </w:pPr>
      <w:r>
        <w:rPr>
          <w:rFonts w:ascii="Calibri" w:hAnsi="Calibri"/>
          <w:b w:val="0"/>
          <w:i w:val="0"/>
          <w:color w:val="1F2937"/>
          <w:sz w:val="22"/>
        </w:rPr>
        <w:t>управление изменениями;</w:t>
      </w:r>
    </w:p>
    <w:p>
      <w:pPr>
        <w:pStyle w:val="ListBullet"/>
        <w:spacing w:after="160" w:line="280" w:lineRule="auto"/>
        <w:ind w:left="720" w:hanging="360"/>
      </w:pPr>
      <w:r>
        <w:rPr>
          <w:rFonts w:ascii="Calibri" w:hAnsi="Calibri"/>
          <w:b w:val="0"/>
          <w:i w:val="0"/>
          <w:color w:val="1F2937"/>
          <w:sz w:val="22"/>
        </w:rPr>
        <w:t>события нарушения и прекращения;</w:t>
      </w:r>
    </w:p>
    <w:p>
      <w:pPr>
        <w:pStyle w:val="ListBullet"/>
        <w:spacing w:after="160" w:line="280" w:lineRule="auto"/>
        <w:ind w:left="720" w:hanging="360"/>
      </w:pPr>
      <w:r>
        <w:rPr>
          <w:rFonts w:ascii="Calibri" w:hAnsi="Calibri"/>
          <w:b w:val="0"/>
          <w:i w:val="0"/>
          <w:color w:val="1F2937"/>
          <w:sz w:val="22"/>
        </w:rPr>
        <w:t>цифровой аудиторский след.</w:t>
      </w:r>
    </w:p>
    <w:p>
      <w:pPr>
        <w:pStyle w:val="Heading2"/>
      </w:pPr>
      <w:r>
        <w:t>Часть B. Юрисдикционные приложения</w:t>
      </w:r>
    </w:p>
    <w:p>
      <w:pPr>
        <w:pStyle w:val="ListBullet"/>
        <w:spacing w:after="160" w:line="280" w:lineRule="auto"/>
        <w:ind w:left="720" w:hanging="360"/>
      </w:pPr>
      <w:r>
        <w:rPr>
          <w:rFonts w:ascii="Calibri" w:hAnsi="Calibri"/>
          <w:b w:val="0"/>
          <w:i w:val="0"/>
          <w:color w:val="1F2937"/>
          <w:sz w:val="22"/>
        </w:rPr>
        <w:t>RU-модуль — российское право и обязательные требования;</w:t>
      </w:r>
    </w:p>
    <w:p>
      <w:pPr>
        <w:pStyle w:val="ListBullet"/>
        <w:spacing w:after="160" w:line="280" w:lineRule="auto"/>
        <w:ind w:left="720" w:hanging="360"/>
      </w:pPr>
      <w:r>
        <w:rPr>
          <w:rFonts w:ascii="Calibri" w:hAnsi="Calibri"/>
          <w:b w:val="0"/>
          <w:i w:val="0"/>
          <w:color w:val="1F2937"/>
          <w:sz w:val="22"/>
        </w:rPr>
        <w:t>CISG-модуль — международная поставка товаров;</w:t>
      </w:r>
    </w:p>
    <w:p>
      <w:pPr>
        <w:pStyle w:val="ListBullet"/>
        <w:spacing w:after="160" w:line="280" w:lineRule="auto"/>
        <w:ind w:left="720" w:hanging="360"/>
      </w:pPr>
      <w:r>
        <w:rPr>
          <w:rFonts w:ascii="Calibri" w:hAnsi="Calibri"/>
          <w:b w:val="0"/>
          <w:i w:val="0"/>
          <w:color w:val="1F2937"/>
          <w:sz w:val="22"/>
        </w:rPr>
        <w:t>UCC-модуль конкретного штата — продажи, лизинг, расчёты, обеспечение и цифровые записи;</w:t>
      </w:r>
    </w:p>
    <w:p>
      <w:pPr>
        <w:pStyle w:val="ListBullet"/>
        <w:spacing w:after="160" w:line="280" w:lineRule="auto"/>
        <w:ind w:left="720" w:hanging="360"/>
      </w:pPr>
      <w:r>
        <w:rPr>
          <w:rFonts w:ascii="Calibri" w:hAnsi="Calibri"/>
          <w:b w:val="0"/>
          <w:i w:val="0"/>
          <w:color w:val="1F2937"/>
          <w:sz w:val="22"/>
        </w:rPr>
        <w:t>модули иных государств — при расширении географии проекта.</w:t>
      </w:r>
    </w:p>
    <w:p>
      <w:pPr>
        <w:pStyle w:val="Heading2"/>
      </w:pPr>
      <w:r>
        <w:t>Часть C. Проектное приложение</w:t>
      </w:r>
    </w:p>
    <w:p>
      <w:pPr>
        <w:pStyle w:val="ListBullet"/>
        <w:spacing w:after="160" w:line="280" w:lineRule="auto"/>
        <w:ind w:left="720" w:hanging="360"/>
      </w:pPr>
      <w:r>
        <w:rPr>
          <w:rFonts w:ascii="Calibri" w:hAnsi="Calibri"/>
          <w:b w:val="0"/>
          <w:i w:val="0"/>
          <w:color w:val="1F2937"/>
          <w:sz w:val="22"/>
        </w:rPr>
        <w:t>объект, территория, мощность и срок;</w:t>
      </w:r>
    </w:p>
    <w:p>
      <w:pPr>
        <w:pStyle w:val="ListBullet"/>
        <w:spacing w:after="160" w:line="280" w:lineRule="auto"/>
        <w:ind w:left="720" w:hanging="360"/>
      </w:pPr>
      <w:r>
        <w:rPr>
          <w:rFonts w:ascii="Calibri" w:hAnsi="Calibri"/>
          <w:b w:val="0"/>
          <w:i w:val="0"/>
          <w:color w:val="1F2937"/>
          <w:sz w:val="22"/>
        </w:rPr>
        <w:t>цена, индексация и график поставки;</w:t>
      </w:r>
    </w:p>
    <w:p>
      <w:pPr>
        <w:pStyle w:val="ListBullet"/>
        <w:spacing w:after="160" w:line="280" w:lineRule="auto"/>
        <w:ind w:left="720" w:hanging="360"/>
      </w:pPr>
      <w:r>
        <w:rPr>
          <w:rFonts w:ascii="Calibri" w:hAnsi="Calibri"/>
          <w:b w:val="0"/>
          <w:i w:val="0"/>
          <w:color w:val="1F2937"/>
          <w:sz w:val="22"/>
        </w:rPr>
        <w:t>оборудование и требования локализации;</w:t>
      </w:r>
    </w:p>
    <w:p>
      <w:pPr>
        <w:pStyle w:val="ListBullet"/>
        <w:spacing w:after="160" w:line="280" w:lineRule="auto"/>
        <w:ind w:left="720" w:hanging="360"/>
      </w:pPr>
      <w:r>
        <w:rPr>
          <w:rFonts w:ascii="Calibri" w:hAnsi="Calibri"/>
          <w:b w:val="0"/>
          <w:i w:val="0"/>
          <w:color w:val="1F2937"/>
          <w:sz w:val="22"/>
        </w:rPr>
        <w:t>финансирование и пакет обеспечения;</w:t>
      </w:r>
    </w:p>
    <w:p>
      <w:pPr>
        <w:pStyle w:val="ListBullet"/>
        <w:spacing w:after="160" w:line="280" w:lineRule="auto"/>
        <w:ind w:left="720" w:hanging="360"/>
      </w:pPr>
      <w:r>
        <w:rPr>
          <w:rFonts w:ascii="Calibri" w:hAnsi="Calibri"/>
          <w:b w:val="0"/>
          <w:i w:val="0"/>
          <w:color w:val="1F2937"/>
          <w:sz w:val="22"/>
        </w:rPr>
        <w:t>KPI и методика подтверждения эффекта;</w:t>
      </w:r>
    </w:p>
    <w:p>
      <w:pPr>
        <w:pStyle w:val="ListBullet"/>
        <w:spacing w:after="160" w:line="280" w:lineRule="auto"/>
        <w:ind w:left="720" w:hanging="360"/>
      </w:pPr>
      <w:r>
        <w:rPr>
          <w:rFonts w:ascii="Calibri" w:hAnsi="Calibri"/>
          <w:b w:val="0"/>
          <w:i w:val="0"/>
          <w:color w:val="1F2937"/>
          <w:sz w:val="22"/>
        </w:rPr>
        <w:t>ответственные операторы и контрольные точки.</w:t>
      </w:r>
    </w:p>
    <w:p>
      <w:pPr>
        <w:pStyle w:val="Heading1"/>
      </w:pPr>
      <w:r>
        <w:t>9. Реестровая модель ЕУТ</w:t>
      </w:r>
    </w:p>
    <w:p>
      <w:pPr>
        <w:spacing w:before="0" w:after="120" w:line="264" w:lineRule="auto"/>
      </w:pPr>
      <w:r>
        <w:rPr>
          <w:rFonts w:ascii="Calibri" w:hAnsi="Calibri"/>
          <w:b w:val="0"/>
          <w:i w:val="0"/>
          <w:color w:val="1F2937"/>
          <w:sz w:val="22"/>
        </w:rPr>
        <w:t>Надсистема не должна провозглашать единый частный «реестр всей собственности». Корректная модель — сеть связанных реестров и доказательных записей, синхронизированных с официальными источниками.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2150"/>
        <w:gridCol w:w="7210"/>
      </w:tblGrid>
      <w:tr>
        <w:trPr>
          <w:tblHeader w:val="true"/>
          <w:cantSplit/>
        </w:trPr>
        <w:tc>
          <w:tcPr>
            <w:tcW w:type="dxa" w:w="2150"/>
            <w:tcMar>
              <w:top w:w="80" w:type="dxa"/>
              <w:start w:w="120" w:type="dxa"/>
              <w:bottom w:w="80" w:type="dxa"/>
              <w:end w:w="120" w:type="dxa"/>
            </w:tcMar>
            <w:shd w:fill="F2F4F7"/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7365D"/>
                <w:sz w:val="20"/>
              </w:rPr>
              <w:t>Реестр</w:t>
            </w:r>
          </w:p>
        </w:tc>
        <w:tc>
          <w:tcPr>
            <w:tcW w:type="dxa" w:w="7210"/>
            <w:tcMar>
              <w:top w:w="80" w:type="dxa"/>
              <w:start w:w="120" w:type="dxa"/>
              <w:bottom w:w="80" w:type="dxa"/>
              <w:end w:w="120" w:type="dxa"/>
            </w:tcMar>
            <w:shd w:fill="F2F4F7"/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7365D"/>
                <w:sz w:val="20"/>
              </w:rPr>
              <w:t>Что фиксируется</w:t>
            </w:r>
          </w:p>
        </w:tc>
      </w:tr>
      <w:tr>
        <w:trPr>
          <w:cantSplit/>
        </w:trPr>
        <w:tc>
          <w:tcPr>
            <w:tcW w:type="dxa" w:w="215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Calibri" w:hAnsi="Calibri"/>
                <w:b w:val="0"/>
                <w:i w:val="0"/>
                <w:color w:val="1F2937"/>
                <w:sz w:val="19"/>
              </w:rPr>
              <w:t>Участники</w:t>
            </w:r>
          </w:p>
        </w:tc>
        <w:tc>
          <w:tcPr>
            <w:tcW w:type="dxa" w:w="721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Calibri" w:hAnsi="Calibri"/>
                <w:b w:val="0"/>
                <w:i w:val="0"/>
                <w:color w:val="1F2937"/>
                <w:sz w:val="19"/>
              </w:rPr>
              <w:t>Правоспособность, полномочия, KYC/KYB и роли.</w:t>
            </w:r>
          </w:p>
        </w:tc>
      </w:tr>
      <w:tr>
        <w:trPr>
          <w:cantSplit/>
        </w:trPr>
        <w:tc>
          <w:tcPr>
            <w:tcW w:type="dxa" w:w="215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Calibri" w:hAnsi="Calibri"/>
                <w:b w:val="0"/>
                <w:i w:val="0"/>
                <w:color w:val="1F2937"/>
                <w:sz w:val="19"/>
              </w:rPr>
              <w:t>Проекты</w:t>
            </w:r>
          </w:p>
        </w:tc>
        <w:tc>
          <w:tcPr>
            <w:tcW w:type="dxa" w:w="721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Calibri" w:hAnsi="Calibri"/>
                <w:b w:val="0"/>
                <w:i w:val="0"/>
                <w:color w:val="1F2937"/>
                <w:sz w:val="19"/>
              </w:rPr>
              <w:t>Паспорт проекта, территория, стадии и ответственные.</w:t>
            </w:r>
          </w:p>
        </w:tc>
      </w:tr>
      <w:tr>
        <w:trPr>
          <w:cantSplit/>
        </w:trPr>
        <w:tc>
          <w:tcPr>
            <w:tcW w:type="dxa" w:w="215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Calibri" w:hAnsi="Calibri"/>
                <w:b w:val="0"/>
                <w:i w:val="0"/>
                <w:color w:val="1F2937"/>
                <w:sz w:val="19"/>
              </w:rPr>
              <w:t>Активы</w:t>
            </w:r>
          </w:p>
        </w:tc>
        <w:tc>
          <w:tcPr>
            <w:tcW w:type="dxa" w:w="721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Calibri" w:hAnsi="Calibri"/>
                <w:b w:val="0"/>
                <w:i w:val="0"/>
                <w:color w:val="1F2937"/>
                <w:sz w:val="19"/>
              </w:rPr>
              <w:t>Описание, местонахождение, собственник, обременения, документы.</w:t>
            </w:r>
          </w:p>
        </w:tc>
      </w:tr>
      <w:tr>
        <w:trPr>
          <w:cantSplit/>
        </w:trPr>
        <w:tc>
          <w:tcPr>
            <w:tcW w:type="dxa" w:w="215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Calibri" w:hAnsi="Calibri"/>
                <w:b w:val="0"/>
                <w:i w:val="0"/>
                <w:color w:val="1F2937"/>
                <w:sz w:val="19"/>
              </w:rPr>
              <w:t>Договорные права</w:t>
            </w:r>
          </w:p>
        </w:tc>
        <w:tc>
          <w:tcPr>
            <w:tcW w:type="dxa" w:w="721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Calibri" w:hAnsi="Calibri"/>
                <w:b w:val="0"/>
                <w:i w:val="0"/>
                <w:color w:val="1F2937"/>
                <w:sz w:val="19"/>
              </w:rPr>
              <w:t>Требования, уступки, ограничения и сроки.</w:t>
            </w:r>
          </w:p>
        </w:tc>
      </w:tr>
      <w:tr>
        <w:trPr>
          <w:cantSplit/>
        </w:trPr>
        <w:tc>
          <w:tcPr>
            <w:tcW w:type="dxa" w:w="215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Calibri" w:hAnsi="Calibri"/>
                <w:b w:val="0"/>
                <w:i w:val="0"/>
                <w:color w:val="1F2937"/>
                <w:sz w:val="19"/>
              </w:rPr>
              <w:t>Обеспечения</w:t>
            </w:r>
          </w:p>
        </w:tc>
        <w:tc>
          <w:tcPr>
            <w:tcW w:type="dxa" w:w="721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Calibri" w:hAnsi="Calibri"/>
                <w:b w:val="0"/>
                <w:i w:val="0"/>
                <w:color w:val="1F2937"/>
                <w:sz w:val="19"/>
              </w:rPr>
              <w:t>Основание, предмет, регистрация, контроль и приоритет.</w:t>
            </w:r>
          </w:p>
        </w:tc>
      </w:tr>
      <w:tr>
        <w:trPr>
          <w:cantSplit/>
        </w:trPr>
        <w:tc>
          <w:tcPr>
            <w:tcW w:type="dxa" w:w="215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Calibri" w:hAnsi="Calibri"/>
                <w:b w:val="0"/>
                <w:i w:val="0"/>
                <w:color w:val="1F2937"/>
                <w:sz w:val="19"/>
              </w:rPr>
              <w:t>Результаты</w:t>
            </w:r>
          </w:p>
        </w:tc>
        <w:tc>
          <w:tcPr>
            <w:tcW w:type="dxa" w:w="721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Calibri" w:hAnsi="Calibri"/>
                <w:b w:val="0"/>
                <w:i w:val="0"/>
                <w:color w:val="1F2937"/>
                <w:sz w:val="19"/>
              </w:rPr>
              <w:t>Энергия, экологический эффект, социальные и производственные KPI.</w:t>
            </w:r>
          </w:p>
        </w:tc>
      </w:tr>
      <w:tr>
        <w:trPr>
          <w:cantSplit/>
        </w:trPr>
        <w:tc>
          <w:tcPr>
            <w:tcW w:type="dxa" w:w="215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Calibri" w:hAnsi="Calibri"/>
                <w:b w:val="0"/>
                <w:i w:val="0"/>
                <w:color w:val="1F2937"/>
                <w:sz w:val="19"/>
              </w:rPr>
              <w:t>Верификации</w:t>
            </w:r>
          </w:p>
        </w:tc>
        <w:tc>
          <w:tcPr>
            <w:tcW w:type="dxa" w:w="721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Calibri" w:hAnsi="Calibri"/>
                <w:b w:val="0"/>
                <w:i w:val="0"/>
                <w:color w:val="1F2937"/>
                <w:sz w:val="19"/>
              </w:rPr>
              <w:t>Методика, эксперт, дата, доказательства и заключение.</w:t>
            </w:r>
          </w:p>
        </w:tc>
      </w:tr>
      <w:tr>
        <w:trPr>
          <w:cantSplit/>
        </w:trPr>
        <w:tc>
          <w:tcPr>
            <w:tcW w:type="dxa" w:w="215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Calibri" w:hAnsi="Calibri"/>
                <w:b w:val="0"/>
                <w:i w:val="0"/>
                <w:color w:val="1F2937"/>
                <w:sz w:val="19"/>
              </w:rPr>
              <w:t>Платежи и дефолты</w:t>
            </w:r>
          </w:p>
        </w:tc>
        <w:tc>
          <w:tcPr>
            <w:tcW w:type="dxa" w:w="721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Calibri" w:hAnsi="Calibri"/>
                <w:b w:val="0"/>
                <w:i w:val="0"/>
                <w:color w:val="1F2937"/>
                <w:sz w:val="19"/>
              </w:rPr>
              <w:t>Начисления, оплаты, нарушения и меры реагирования.</w:t>
            </w:r>
          </w:p>
        </w:tc>
      </w:tr>
    </w:tbl>
    <w:p>
      <w:pPr>
        <w:spacing w:before="0" w:after="40" w:line="264" w:lineRule="auto"/>
      </w:pPr>
      <w:r>
        <w:rPr>
          <w:rFonts w:ascii="Calibri" w:hAnsi="Calibri"/>
          <w:b w:val="0"/>
          <w:i w:val="0"/>
          <w:color w:val="1F2937"/>
          <w:sz w:val="22"/>
        </w:rPr>
      </w:r>
    </w:p>
    <w:p>
      <w:pPr>
        <w:pStyle w:val="Heading1"/>
      </w:pPr>
      <w:r>
        <w:t>10. Система управления и роли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2250"/>
        <w:gridCol w:w="7110"/>
      </w:tblGrid>
      <w:tr>
        <w:trPr>
          <w:tblHeader w:val="true"/>
          <w:cantSplit/>
        </w:trPr>
        <w:tc>
          <w:tcPr>
            <w:tcW w:type="dxa" w:w="2250"/>
            <w:tcMar>
              <w:top w:w="80" w:type="dxa"/>
              <w:start w:w="120" w:type="dxa"/>
              <w:bottom w:w="80" w:type="dxa"/>
              <w:end w:w="120" w:type="dxa"/>
            </w:tcMar>
            <w:shd w:fill="F2F4F7"/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7365D"/>
                <w:sz w:val="20"/>
              </w:rPr>
              <w:t>Участник</w:t>
            </w:r>
          </w:p>
        </w:tc>
        <w:tc>
          <w:tcPr>
            <w:tcW w:type="dxa" w:w="7110"/>
            <w:tcMar>
              <w:top w:w="80" w:type="dxa"/>
              <w:start w:w="120" w:type="dxa"/>
              <w:bottom w:w="80" w:type="dxa"/>
              <w:end w:w="120" w:type="dxa"/>
            </w:tcMar>
            <w:shd w:fill="F2F4F7"/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7365D"/>
                <w:sz w:val="20"/>
              </w:rPr>
              <w:t>Роль</w:t>
            </w:r>
          </w:p>
        </w:tc>
      </w:tr>
      <w:tr>
        <w:trPr>
          <w:cantSplit/>
        </w:trPr>
        <w:tc>
          <w:tcPr>
            <w:tcW w:type="dxa" w:w="225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Calibri" w:hAnsi="Calibri"/>
                <w:b w:val="0"/>
                <w:i w:val="0"/>
                <w:color w:val="1F2937"/>
                <w:sz w:val="19"/>
              </w:rPr>
              <w:t>ЭКВИЛИБРИУМ</w:t>
            </w:r>
          </w:p>
        </w:tc>
        <w:tc>
          <w:tcPr>
            <w:tcW w:type="dxa" w:w="711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Calibri" w:hAnsi="Calibri"/>
                <w:b w:val="0"/>
                <w:i w:val="0"/>
                <w:color w:val="1F2937"/>
                <w:sz w:val="19"/>
              </w:rPr>
              <w:t>Доктрина баланса, целевая архитектура и системные ограничения.</w:t>
            </w:r>
          </w:p>
        </w:tc>
      </w:tr>
      <w:tr>
        <w:trPr>
          <w:cantSplit/>
        </w:trPr>
        <w:tc>
          <w:tcPr>
            <w:tcW w:type="dxa" w:w="225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Calibri" w:hAnsi="Calibri"/>
                <w:b w:val="0"/>
                <w:i w:val="0"/>
                <w:color w:val="1F2937"/>
                <w:sz w:val="19"/>
              </w:rPr>
              <w:t>ЕУТ / ПСОР</w:t>
            </w:r>
          </w:p>
        </w:tc>
        <w:tc>
          <w:tcPr>
            <w:tcW w:type="dxa" w:w="711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Calibri" w:hAnsi="Calibri"/>
                <w:b w:val="0"/>
                <w:i w:val="0"/>
                <w:color w:val="1F2937"/>
                <w:sz w:val="19"/>
              </w:rPr>
              <w:t>Стандарты данных, оценка проектов, доказательность и маршрутизация.</w:t>
            </w:r>
          </w:p>
        </w:tc>
      </w:tr>
      <w:tr>
        <w:trPr>
          <w:cantSplit/>
        </w:trPr>
        <w:tc>
          <w:tcPr>
            <w:tcW w:type="dxa" w:w="225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Calibri" w:hAnsi="Calibri"/>
                <w:b w:val="0"/>
                <w:i w:val="0"/>
                <w:color w:val="1F2937"/>
                <w:sz w:val="19"/>
              </w:rPr>
              <w:t>СФЕРА</w:t>
            </w:r>
          </w:p>
        </w:tc>
        <w:tc>
          <w:tcPr>
            <w:tcW w:type="dxa" w:w="711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Calibri" w:hAnsi="Calibri"/>
                <w:b w:val="0"/>
                <w:i w:val="0"/>
                <w:color w:val="1F2937"/>
                <w:sz w:val="19"/>
              </w:rPr>
              <w:t>Приём инициатив, экспертиза, кооперация, пилотирование и масштабирование.</w:t>
            </w:r>
          </w:p>
        </w:tc>
      </w:tr>
      <w:tr>
        <w:trPr>
          <w:cantSplit/>
        </w:trPr>
        <w:tc>
          <w:tcPr>
            <w:tcW w:type="dxa" w:w="225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Calibri" w:hAnsi="Calibri"/>
                <w:b w:val="0"/>
                <w:i w:val="0"/>
                <w:color w:val="1F2937"/>
                <w:sz w:val="19"/>
              </w:rPr>
              <w:t>ЭКО-PPA</w:t>
            </w:r>
          </w:p>
        </w:tc>
        <w:tc>
          <w:tcPr>
            <w:tcW w:type="dxa" w:w="711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Calibri" w:hAnsi="Calibri"/>
                <w:b w:val="0"/>
                <w:i w:val="0"/>
                <w:color w:val="1F2937"/>
                <w:sz w:val="19"/>
              </w:rPr>
              <w:t>Долгосрочный заказ и договорная фиксация измеримого результата.</w:t>
            </w:r>
          </w:p>
        </w:tc>
      </w:tr>
      <w:tr>
        <w:trPr>
          <w:cantSplit/>
        </w:trPr>
        <w:tc>
          <w:tcPr>
            <w:tcW w:type="dxa" w:w="225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Calibri" w:hAnsi="Calibri"/>
                <w:b w:val="0"/>
                <w:i w:val="0"/>
                <w:color w:val="1F2937"/>
                <w:sz w:val="19"/>
              </w:rPr>
              <w:t>СПЕЦЗАЩИТА</w:t>
            </w:r>
          </w:p>
        </w:tc>
        <w:tc>
          <w:tcPr>
            <w:tcW w:type="dxa" w:w="711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Calibri" w:hAnsi="Calibri"/>
                <w:b w:val="0"/>
                <w:i w:val="0"/>
                <w:color w:val="1F2937"/>
                <w:sz w:val="19"/>
              </w:rPr>
              <w:t>Кооперационная организация исполнения и сбор проектных консорциумов.</w:t>
            </w:r>
          </w:p>
        </w:tc>
      </w:tr>
      <w:tr>
        <w:trPr>
          <w:cantSplit/>
        </w:trPr>
        <w:tc>
          <w:tcPr>
            <w:tcW w:type="dxa" w:w="225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Calibri" w:hAnsi="Calibri"/>
                <w:b w:val="0"/>
                <w:i w:val="0"/>
                <w:color w:val="1F2937"/>
                <w:sz w:val="19"/>
              </w:rPr>
              <w:t>Проектная компания</w:t>
            </w:r>
          </w:p>
        </w:tc>
        <w:tc>
          <w:tcPr>
            <w:tcW w:type="dxa" w:w="711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Calibri" w:hAnsi="Calibri"/>
                <w:b w:val="0"/>
                <w:i w:val="0"/>
                <w:color w:val="1F2937"/>
                <w:sz w:val="19"/>
              </w:rPr>
              <w:t>Владение проектом, привлечение финансирования и исполнение обязательств.</w:t>
            </w:r>
          </w:p>
        </w:tc>
      </w:tr>
      <w:tr>
        <w:trPr>
          <w:cantSplit/>
        </w:trPr>
        <w:tc>
          <w:tcPr>
            <w:tcW w:type="dxa" w:w="225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Calibri" w:hAnsi="Calibri"/>
                <w:b w:val="0"/>
                <w:i w:val="0"/>
                <w:color w:val="1F2937"/>
                <w:sz w:val="19"/>
              </w:rPr>
              <w:t>Финансовый контур</w:t>
            </w:r>
          </w:p>
        </w:tc>
        <w:tc>
          <w:tcPr>
            <w:tcW w:type="dxa" w:w="711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Calibri" w:hAnsi="Calibri"/>
                <w:b w:val="0"/>
                <w:i w:val="0"/>
                <w:color w:val="1F2937"/>
                <w:sz w:val="19"/>
              </w:rPr>
              <w:t>Финансирование, расчёты, обеспечение, контроль рисков.</w:t>
            </w:r>
          </w:p>
        </w:tc>
      </w:tr>
      <w:tr>
        <w:trPr>
          <w:cantSplit/>
        </w:trPr>
        <w:tc>
          <w:tcPr>
            <w:tcW w:type="dxa" w:w="225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Calibri" w:hAnsi="Calibri"/>
                <w:b w:val="0"/>
                <w:i w:val="0"/>
                <w:color w:val="1F2937"/>
                <w:sz w:val="19"/>
              </w:rPr>
              <w:t>Юридический комитет</w:t>
            </w:r>
          </w:p>
        </w:tc>
        <w:tc>
          <w:tcPr>
            <w:tcW w:type="dxa" w:w="711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Calibri" w:hAnsi="Calibri"/>
                <w:b w:val="0"/>
                <w:i w:val="0"/>
                <w:color w:val="1F2937"/>
                <w:sz w:val="19"/>
              </w:rPr>
              <w:t>Верификация применимого права и юрисдикционных модулей.</w:t>
            </w:r>
          </w:p>
        </w:tc>
      </w:tr>
      <w:tr>
        <w:trPr>
          <w:cantSplit/>
        </w:trPr>
        <w:tc>
          <w:tcPr>
            <w:tcW w:type="dxa" w:w="225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Calibri" w:hAnsi="Calibri"/>
                <w:b w:val="0"/>
                <w:i w:val="0"/>
                <w:color w:val="1F2937"/>
                <w:sz w:val="19"/>
              </w:rPr>
              <w:t>Независимый верификатор</w:t>
            </w:r>
          </w:p>
        </w:tc>
        <w:tc>
          <w:tcPr>
            <w:tcW w:type="dxa" w:w="711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Calibri" w:hAnsi="Calibri"/>
                <w:b w:val="0"/>
                <w:i w:val="0"/>
                <w:color w:val="1F2937"/>
                <w:sz w:val="19"/>
              </w:rPr>
              <w:t>Подтверждение энергии, экологического и социального эффекта.</w:t>
            </w:r>
          </w:p>
        </w:tc>
      </w:tr>
    </w:tbl>
    <w:p>
      <w:pPr>
        <w:spacing w:before="0" w:after="40" w:line="264" w:lineRule="auto"/>
      </w:pPr>
      <w:r>
        <w:rPr>
          <w:rFonts w:ascii="Calibri" w:hAnsi="Calibri"/>
          <w:b w:val="0"/>
          <w:i w:val="0"/>
          <w:color w:val="1F2937"/>
          <w:sz w:val="22"/>
        </w:rPr>
      </w:r>
    </w:p>
    <w:p>
      <w:pPr>
        <w:pStyle w:val="Heading1"/>
      </w:pPr>
      <w:r>
        <w:t>11. Запреты и контрольные ограничения</w:t>
      </w:r>
    </w:p>
    <w:p>
      <w:pPr>
        <w:pStyle w:val="ListBullet"/>
        <w:spacing w:after="160" w:line="280" w:lineRule="auto"/>
        <w:ind w:left="720" w:hanging="360"/>
      </w:pPr>
      <w:r>
        <w:rPr>
          <w:rFonts w:ascii="Calibri" w:hAnsi="Calibri"/>
          <w:b w:val="0"/>
          <w:i w:val="0"/>
          <w:color w:val="1F2937"/>
          <w:sz w:val="22"/>
        </w:rPr>
        <w:t>не представлять UCC как право, автоматически действующее над государствами;</w:t>
      </w:r>
    </w:p>
    <w:p>
      <w:pPr>
        <w:pStyle w:val="ListBullet"/>
        <w:spacing w:after="160" w:line="280" w:lineRule="auto"/>
        <w:ind w:left="720" w:hanging="360"/>
      </w:pPr>
      <w:r>
        <w:rPr>
          <w:rFonts w:ascii="Calibri" w:hAnsi="Calibri"/>
          <w:b w:val="0"/>
          <w:i w:val="0"/>
          <w:color w:val="1F2937"/>
          <w:sz w:val="22"/>
        </w:rPr>
        <w:t>не использовать UCC-1 как самостоятельное доказательство создания собственности, долга или суверенного статуса;</w:t>
      </w:r>
    </w:p>
    <w:p>
      <w:pPr>
        <w:pStyle w:val="ListBullet"/>
        <w:spacing w:after="160" w:line="280" w:lineRule="auto"/>
        <w:ind w:left="720" w:hanging="360"/>
      </w:pPr>
      <w:r>
        <w:rPr>
          <w:rFonts w:ascii="Calibri" w:hAnsi="Calibri"/>
          <w:b w:val="0"/>
          <w:i w:val="0"/>
          <w:color w:val="1F2937"/>
          <w:sz w:val="22"/>
        </w:rPr>
        <w:t>не подменять внутренней записью обязательную государственную регистрацию;</w:t>
      </w:r>
    </w:p>
    <w:p>
      <w:pPr>
        <w:pStyle w:val="ListBullet"/>
        <w:spacing w:after="160" w:line="280" w:lineRule="auto"/>
        <w:ind w:left="720" w:hanging="360"/>
      </w:pPr>
      <w:r>
        <w:rPr>
          <w:rFonts w:ascii="Calibri" w:hAnsi="Calibri"/>
          <w:b w:val="0"/>
          <w:i w:val="0"/>
          <w:color w:val="1F2937"/>
          <w:sz w:val="22"/>
        </w:rPr>
        <w:t>не объединять в одном условии договора разные правовые режимы без коллизионной оговорки;</w:t>
      </w:r>
    </w:p>
    <w:p>
      <w:pPr>
        <w:pStyle w:val="ListBullet"/>
        <w:spacing w:after="160" w:line="280" w:lineRule="auto"/>
        <w:ind w:left="720" w:hanging="360"/>
      </w:pPr>
      <w:r>
        <w:rPr>
          <w:rFonts w:ascii="Calibri" w:hAnsi="Calibri"/>
          <w:b w:val="0"/>
          <w:i w:val="0"/>
          <w:color w:val="1F2937"/>
          <w:sz w:val="22"/>
        </w:rPr>
        <w:t>не выпускать цифровой актив без квалификации его правовой природы, эмитента, обеспечения и режима обращения;</w:t>
      </w:r>
    </w:p>
    <w:p>
      <w:pPr>
        <w:pStyle w:val="ListBullet"/>
        <w:spacing w:after="160" w:line="280" w:lineRule="auto"/>
        <w:ind w:left="720" w:hanging="360"/>
      </w:pPr>
      <w:r>
        <w:rPr>
          <w:rFonts w:ascii="Calibri" w:hAnsi="Calibri"/>
          <w:b w:val="0"/>
          <w:i w:val="0"/>
          <w:color w:val="1F2937"/>
          <w:sz w:val="22"/>
        </w:rPr>
        <w:t>не запускать трансграничный платёж без санкционной, валютной, налоговой и банковской проверки;</w:t>
      </w:r>
    </w:p>
    <w:p>
      <w:pPr>
        <w:pStyle w:val="ListBullet"/>
        <w:spacing w:after="160" w:line="280" w:lineRule="auto"/>
        <w:ind w:left="720" w:hanging="360"/>
      </w:pPr>
      <w:r>
        <w:rPr>
          <w:rFonts w:ascii="Calibri" w:hAnsi="Calibri"/>
          <w:b w:val="0"/>
          <w:i w:val="0"/>
          <w:color w:val="1F2937"/>
          <w:sz w:val="22"/>
        </w:rPr>
        <w:t>не автоматизировать исполнение, если код противоречит подписанному договору или императивному праву.</w:t>
      </w:r>
    </w:p>
    <w:p>
      <w:pPr>
        <w:pStyle w:val="Heading1"/>
      </w:pPr>
      <w:r>
        <w:t>12. Дорожная карта внедрения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1950"/>
        <w:gridCol w:w="7410"/>
      </w:tblGrid>
      <w:tr>
        <w:trPr>
          <w:tblHeader w:val="true"/>
          <w:cantSplit/>
        </w:trPr>
        <w:tc>
          <w:tcPr>
            <w:tcW w:type="dxa" w:w="1950"/>
            <w:tcMar>
              <w:top w:w="80" w:type="dxa"/>
              <w:start w:w="120" w:type="dxa"/>
              <w:bottom w:w="80" w:type="dxa"/>
              <w:end w:w="120" w:type="dxa"/>
            </w:tcMar>
            <w:shd w:fill="F2F4F7"/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7365D"/>
                <w:sz w:val="20"/>
              </w:rPr>
              <w:t>Этап</w:t>
            </w:r>
          </w:p>
        </w:tc>
        <w:tc>
          <w:tcPr>
            <w:tcW w:type="dxa" w:w="7410"/>
            <w:tcMar>
              <w:top w:w="80" w:type="dxa"/>
              <w:start w:w="120" w:type="dxa"/>
              <w:bottom w:w="80" w:type="dxa"/>
              <w:end w:w="120" w:type="dxa"/>
            </w:tcMar>
            <w:shd w:fill="F2F4F7"/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7365D"/>
                <w:sz w:val="20"/>
              </w:rPr>
              <w:t>Результат</w:t>
            </w:r>
          </w:p>
        </w:tc>
      </w:tr>
      <w:tr>
        <w:trPr>
          <w:cantSplit/>
        </w:trPr>
        <w:tc>
          <w:tcPr>
            <w:tcW w:type="dxa" w:w="195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Calibri" w:hAnsi="Calibri"/>
                <w:b w:val="0"/>
                <w:i w:val="0"/>
                <w:color w:val="1F2937"/>
                <w:sz w:val="19"/>
              </w:rPr>
              <w:t>1. Правовая инвентаризация</w:t>
            </w:r>
          </w:p>
        </w:tc>
        <w:tc>
          <w:tcPr>
            <w:tcW w:type="dxa" w:w="741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Calibri" w:hAnsi="Calibri"/>
                <w:b w:val="0"/>
                <w:i w:val="0"/>
                <w:color w:val="1F2937"/>
                <w:sz w:val="19"/>
              </w:rPr>
              <w:t>Карта участников, юрисдикций, активов, потоков и обязательных норм.</w:t>
            </w:r>
          </w:p>
        </w:tc>
      </w:tr>
      <w:tr>
        <w:trPr>
          <w:cantSplit/>
        </w:trPr>
        <w:tc>
          <w:tcPr>
            <w:tcW w:type="dxa" w:w="195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Calibri" w:hAnsi="Calibri"/>
                <w:b w:val="0"/>
                <w:i w:val="0"/>
                <w:color w:val="1F2937"/>
                <w:sz w:val="19"/>
              </w:rPr>
              <w:t>2. Таксономия ЕУТ</w:t>
            </w:r>
          </w:p>
        </w:tc>
        <w:tc>
          <w:tcPr>
            <w:tcW w:type="dxa" w:w="741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Calibri" w:hAnsi="Calibri"/>
                <w:b w:val="0"/>
                <w:i w:val="0"/>
                <w:color w:val="1F2937"/>
                <w:sz w:val="19"/>
              </w:rPr>
              <w:t>Единый словарь сделок, прав, активов, обеспечений, событий и доказательств.</w:t>
            </w:r>
          </w:p>
        </w:tc>
      </w:tr>
      <w:tr>
        <w:trPr>
          <w:cantSplit/>
        </w:trPr>
        <w:tc>
          <w:tcPr>
            <w:tcW w:type="dxa" w:w="195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Calibri" w:hAnsi="Calibri"/>
                <w:b w:val="0"/>
                <w:i w:val="0"/>
                <w:color w:val="1F2937"/>
                <w:sz w:val="19"/>
              </w:rPr>
              <w:t>3. Мастер-соглашение</w:t>
            </w:r>
          </w:p>
        </w:tc>
        <w:tc>
          <w:tcPr>
            <w:tcW w:type="dxa" w:w="741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Calibri" w:hAnsi="Calibri"/>
                <w:b w:val="0"/>
                <w:i w:val="0"/>
                <w:color w:val="1F2937"/>
                <w:sz w:val="19"/>
              </w:rPr>
              <w:t>Универсальное ядро ЭКО-PPA и набор юрисдикционных приложений.</w:t>
            </w:r>
          </w:p>
        </w:tc>
      </w:tr>
      <w:tr>
        <w:trPr>
          <w:cantSplit/>
        </w:trPr>
        <w:tc>
          <w:tcPr>
            <w:tcW w:type="dxa" w:w="195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Calibri" w:hAnsi="Calibri"/>
                <w:b w:val="0"/>
                <w:i w:val="0"/>
                <w:color w:val="1F2937"/>
                <w:sz w:val="19"/>
              </w:rPr>
              <w:t>4. Правовой маршрутизатор</w:t>
            </w:r>
          </w:p>
        </w:tc>
        <w:tc>
          <w:tcPr>
            <w:tcW w:type="dxa" w:w="741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Calibri" w:hAnsi="Calibri"/>
                <w:b w:val="0"/>
                <w:i w:val="0"/>
                <w:color w:val="1F2937"/>
                <w:sz w:val="19"/>
              </w:rPr>
              <w:t>Правила выбора права, регистрации, суда/арбитража и комплаенса.</w:t>
            </w:r>
          </w:p>
        </w:tc>
      </w:tr>
      <w:tr>
        <w:trPr>
          <w:cantSplit/>
        </w:trPr>
        <w:tc>
          <w:tcPr>
            <w:tcW w:type="dxa" w:w="195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Calibri" w:hAnsi="Calibri"/>
                <w:b w:val="0"/>
                <w:i w:val="0"/>
                <w:color w:val="1F2937"/>
                <w:sz w:val="19"/>
              </w:rPr>
              <w:t>5. Реестровый прототип</w:t>
            </w:r>
          </w:p>
        </w:tc>
        <w:tc>
          <w:tcPr>
            <w:tcW w:type="dxa" w:w="741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Calibri" w:hAnsi="Calibri"/>
                <w:b w:val="0"/>
                <w:i w:val="0"/>
                <w:color w:val="1F2937"/>
                <w:sz w:val="19"/>
              </w:rPr>
              <w:t>Связанные записи проектов, активов, обеспечений, результатов и платежей.</w:t>
            </w:r>
          </w:p>
        </w:tc>
      </w:tr>
      <w:tr>
        <w:trPr>
          <w:cantSplit/>
        </w:trPr>
        <w:tc>
          <w:tcPr>
            <w:tcW w:type="dxa" w:w="195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Calibri" w:hAnsi="Calibri"/>
                <w:b w:val="0"/>
                <w:i w:val="0"/>
                <w:color w:val="1F2937"/>
                <w:sz w:val="19"/>
              </w:rPr>
              <w:t>6. Пилот</w:t>
            </w:r>
          </w:p>
        </w:tc>
        <w:tc>
          <w:tcPr>
            <w:tcW w:type="dxa" w:w="741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Calibri" w:hAnsi="Calibri"/>
                <w:b w:val="0"/>
                <w:i w:val="0"/>
                <w:color w:val="1F2937"/>
                <w:sz w:val="19"/>
              </w:rPr>
              <w:t>Один объект мини-генерации или экомодуль с российским и внешним контуром.</w:t>
            </w:r>
          </w:p>
        </w:tc>
      </w:tr>
      <w:tr>
        <w:trPr>
          <w:cantSplit/>
        </w:trPr>
        <w:tc>
          <w:tcPr>
            <w:tcW w:type="dxa" w:w="195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Calibri" w:hAnsi="Calibri"/>
                <w:b w:val="0"/>
                <w:i w:val="0"/>
                <w:color w:val="1F2937"/>
                <w:sz w:val="19"/>
              </w:rPr>
              <w:t>7. Верификация</w:t>
            </w:r>
          </w:p>
        </w:tc>
        <w:tc>
          <w:tcPr>
            <w:tcW w:type="dxa" w:w="741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Calibri" w:hAnsi="Calibri"/>
                <w:b w:val="0"/>
                <w:i w:val="0"/>
                <w:color w:val="1F2937"/>
                <w:sz w:val="19"/>
              </w:rPr>
              <w:t>Юридическое заключение, финансовая модель, ИБ-аудит и проверка данных.</w:t>
            </w:r>
          </w:p>
        </w:tc>
      </w:tr>
      <w:tr>
        <w:trPr>
          <w:cantSplit/>
        </w:trPr>
        <w:tc>
          <w:tcPr>
            <w:tcW w:type="dxa" w:w="195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Calibri" w:hAnsi="Calibri"/>
                <w:b w:val="0"/>
                <w:i w:val="0"/>
                <w:color w:val="1F2937"/>
                <w:sz w:val="19"/>
              </w:rPr>
              <w:t>8. Масштабирование</w:t>
            </w:r>
          </w:p>
        </w:tc>
        <w:tc>
          <w:tcPr>
            <w:tcW w:type="dxa" w:w="741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Calibri" w:hAnsi="Calibri"/>
                <w:b w:val="0"/>
                <w:i w:val="0"/>
                <w:color w:val="1F2937"/>
                <w:sz w:val="19"/>
              </w:rPr>
              <w:t>Типовые пакеты по отраслям, регионам и юрисдикциям.</w:t>
            </w:r>
          </w:p>
        </w:tc>
      </w:tr>
    </w:tbl>
    <w:p>
      <w:pPr>
        <w:spacing w:before="0" w:after="40" w:line="264" w:lineRule="auto"/>
      </w:pPr>
      <w:r>
        <w:rPr>
          <w:rFonts w:ascii="Calibri" w:hAnsi="Calibri"/>
          <w:b w:val="0"/>
          <w:i w:val="0"/>
          <w:color w:val="1F2937"/>
          <w:sz w:val="22"/>
        </w:rPr>
      </w:r>
    </w:p>
    <w:p>
      <w:pPr>
        <w:pStyle w:val="Heading1"/>
      </w:pPr>
      <w:r>
        <w:t>13. Минимальный комплект документов пилота</w:t>
      </w:r>
    </w:p>
    <w:p>
      <w:pPr>
        <w:spacing w:after="160" w:line="280" w:lineRule="auto"/>
        <w:ind w:left="720" w:hanging="360"/>
        <w:numPr>
          <w:ilvl w:val="0"/>
          <w:numId w:val="12"/>
        </w:numPr>
      </w:pPr>
      <w:r>
        <w:rPr>
          <w:rFonts w:ascii="Calibri" w:hAnsi="Calibri"/>
          <w:b w:val="0"/>
          <w:i w:val="0"/>
          <w:color w:val="1F2937"/>
          <w:sz w:val="22"/>
        </w:rPr>
        <w:t>Паспорт проекта ЭКО-PPA и схема участников.</w:t>
      </w:r>
    </w:p>
    <w:p>
      <w:pPr>
        <w:spacing w:after="160" w:line="280" w:lineRule="auto"/>
        <w:ind w:left="720" w:hanging="360"/>
        <w:numPr>
          <w:ilvl w:val="0"/>
          <w:numId w:val="12"/>
        </w:numPr>
      </w:pPr>
      <w:r>
        <w:rPr>
          <w:rFonts w:ascii="Calibri" w:hAnsi="Calibri"/>
          <w:b w:val="0"/>
          <w:i w:val="0"/>
          <w:color w:val="1F2937"/>
          <w:sz w:val="22"/>
        </w:rPr>
        <w:t>Мастер-соглашение и проектное приложение.</w:t>
      </w:r>
    </w:p>
    <w:p>
      <w:pPr>
        <w:spacing w:after="160" w:line="280" w:lineRule="auto"/>
        <w:ind w:left="720" w:hanging="360"/>
        <w:numPr>
          <w:ilvl w:val="0"/>
          <w:numId w:val="12"/>
        </w:numPr>
      </w:pPr>
      <w:r>
        <w:rPr>
          <w:rFonts w:ascii="Calibri" w:hAnsi="Calibri"/>
          <w:b w:val="0"/>
          <w:i w:val="0"/>
          <w:color w:val="1F2937"/>
          <w:sz w:val="22"/>
        </w:rPr>
        <w:t>Договор поставки, строительства, эксплуатации или лизинга.</w:t>
      </w:r>
    </w:p>
    <w:p>
      <w:pPr>
        <w:spacing w:after="160" w:line="280" w:lineRule="auto"/>
        <w:ind w:left="720" w:hanging="360"/>
        <w:numPr>
          <w:ilvl w:val="0"/>
          <w:numId w:val="12"/>
        </w:numPr>
      </w:pPr>
      <w:r>
        <w:rPr>
          <w:rFonts w:ascii="Calibri" w:hAnsi="Calibri"/>
          <w:b w:val="0"/>
          <w:i w:val="0"/>
          <w:color w:val="1F2937"/>
          <w:sz w:val="22"/>
        </w:rPr>
        <w:t>Соглашение о финансировании и пакет обеспечения.</w:t>
      </w:r>
    </w:p>
    <w:p>
      <w:pPr>
        <w:spacing w:after="160" w:line="280" w:lineRule="auto"/>
        <w:ind w:left="720" w:hanging="360"/>
        <w:numPr>
          <w:ilvl w:val="0"/>
          <w:numId w:val="12"/>
        </w:numPr>
      </w:pPr>
      <w:r>
        <w:rPr>
          <w:rFonts w:ascii="Calibri" w:hAnsi="Calibri"/>
          <w:b w:val="0"/>
          <w:i w:val="0"/>
          <w:color w:val="1F2937"/>
          <w:sz w:val="22"/>
        </w:rPr>
        <w:t>Заключение о применимом праве и коллизионных рисках.</w:t>
      </w:r>
    </w:p>
    <w:p>
      <w:pPr>
        <w:spacing w:after="160" w:line="280" w:lineRule="auto"/>
        <w:ind w:left="720" w:hanging="360"/>
        <w:numPr>
          <w:ilvl w:val="0"/>
          <w:numId w:val="12"/>
        </w:numPr>
      </w:pPr>
      <w:r>
        <w:rPr>
          <w:rFonts w:ascii="Calibri" w:hAnsi="Calibri"/>
          <w:b w:val="0"/>
          <w:i w:val="0"/>
          <w:color w:val="1F2937"/>
          <w:sz w:val="22"/>
        </w:rPr>
        <w:t>Методика измерения и верификации экологического результата.</w:t>
      </w:r>
    </w:p>
    <w:p>
      <w:pPr>
        <w:spacing w:after="160" w:line="280" w:lineRule="auto"/>
        <w:ind w:left="720" w:hanging="360"/>
        <w:numPr>
          <w:ilvl w:val="0"/>
          <w:numId w:val="12"/>
        </w:numPr>
      </w:pPr>
      <w:r>
        <w:rPr>
          <w:rFonts w:ascii="Calibri" w:hAnsi="Calibri"/>
          <w:b w:val="0"/>
          <w:i w:val="0"/>
          <w:color w:val="1F2937"/>
          <w:sz w:val="22"/>
        </w:rPr>
        <w:t>Регламент цифрового реестра и матрица доступа.</w:t>
      </w:r>
    </w:p>
    <w:p>
      <w:pPr>
        <w:spacing w:after="160" w:line="280" w:lineRule="auto"/>
        <w:ind w:left="720" w:hanging="360"/>
        <w:numPr>
          <w:ilvl w:val="0"/>
          <w:numId w:val="12"/>
        </w:numPr>
      </w:pPr>
      <w:r>
        <w:rPr>
          <w:rFonts w:ascii="Calibri" w:hAnsi="Calibri"/>
          <w:b w:val="0"/>
          <w:i w:val="0"/>
          <w:color w:val="1F2937"/>
          <w:sz w:val="22"/>
        </w:rPr>
        <w:t>Политика KYC/KYB, санкционного и антикоррупционного контроля.</w:t>
      </w:r>
    </w:p>
    <w:p>
      <w:pPr>
        <w:spacing w:after="160" w:line="280" w:lineRule="auto"/>
        <w:ind w:left="720" w:hanging="360"/>
        <w:numPr>
          <w:ilvl w:val="0"/>
          <w:numId w:val="12"/>
        </w:numPr>
      </w:pPr>
      <w:r>
        <w:rPr>
          <w:rFonts w:ascii="Calibri" w:hAnsi="Calibri"/>
          <w:b w:val="0"/>
          <w:i w:val="0"/>
          <w:color w:val="1F2937"/>
          <w:sz w:val="22"/>
        </w:rPr>
        <w:t>План управления дефолтом, замены оператора и непрерывности проекта.</w:t>
      </w:r>
    </w:p>
    <w:p>
      <w:pPr>
        <w:spacing w:after="160" w:line="280" w:lineRule="auto"/>
        <w:ind w:left="720" w:hanging="360"/>
        <w:numPr>
          <w:ilvl w:val="0"/>
          <w:numId w:val="12"/>
        </w:numPr>
      </w:pPr>
      <w:r>
        <w:rPr>
          <w:rFonts w:ascii="Calibri" w:hAnsi="Calibri"/>
          <w:b w:val="0"/>
          <w:i w:val="0"/>
          <w:color w:val="1F2937"/>
          <w:sz w:val="22"/>
        </w:rPr>
        <w:t>Комплект корпоративных решений и полномочий подписантов.</w:t>
      </w:r>
    </w:p>
    <w:p>
      <w:pPr>
        <w:pStyle w:val="Heading1"/>
      </w:pPr>
      <w:r>
        <w:t>14. Итоговая модель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tblHeader w:val="true"/>
          <w:cantSplit/>
        </w:trP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shd w:fill="EAF2EE"/>
          </w:tcPr>
          <w:p>
            <w:pPr>
              <w:spacing w:after="40"/>
            </w:pPr>
            <w:r>
              <w:rPr>
                <w:rFonts w:ascii="Calibri" w:hAnsi="Calibri"/>
                <w:b/>
                <w:i w:val="0"/>
                <w:color w:val="17365D"/>
                <w:sz w:val="22"/>
              </w:rPr>
              <w:t xml:space="preserve">Стратегическая формула: </w:t>
            </w:r>
            <w:r>
              <w:rPr>
                <w:rFonts w:ascii="Calibri" w:hAnsi="Calibri"/>
                <w:b w:val="0"/>
                <w:i w:val="0"/>
                <w:color w:val="1F2937"/>
                <w:sz w:val="22"/>
              </w:rPr>
              <w:t>UCC — специализированный протокол коммерческого оборота и обеспечения для операций, связанных с США; ЕУТ — общий язык и операционный стандарт; правовой маршрутизатор — механизм выбора корректной юрисдикции; ЭКО-PPA — договорный механизм долгосрочного заказа; ЭКВИЛИБРИУМ — надсистемная архитектура целей и баланса.</w:t>
            </w:r>
          </w:p>
        </w:tc>
      </w:tr>
    </w:tbl>
    <w:p>
      <w:pPr>
        <w:spacing w:before="0" w:after="60" w:line="264" w:lineRule="auto"/>
      </w:pPr>
      <w:r>
        <w:rPr>
          <w:rFonts w:ascii="Calibri" w:hAnsi="Calibri"/>
          <w:b w:val="0"/>
          <w:i w:val="0"/>
          <w:color w:val="1F2937"/>
          <w:sz w:val="22"/>
        </w:rPr>
      </w:r>
    </w:p>
    <w:p>
      <w:pPr>
        <w:spacing w:before="0" w:after="120" w:line="264" w:lineRule="auto"/>
      </w:pPr>
      <w:r>
        <w:rPr>
          <w:rFonts w:ascii="Calibri" w:hAnsi="Calibri"/>
          <w:b w:val="0"/>
          <w:i w:val="0"/>
          <w:color w:val="1F2937"/>
          <w:sz w:val="22"/>
        </w:rPr>
        <w:t>Такая конструкция позволяет развивать международную платформу без юридически рискованного утверждения о наднациональной силе UCC. Надсистема становится не «единым законом», а совместимой архитектурой договоров, данных, реестров, доказательств и исполнителей.</w:t>
      </w:r>
    </w:p>
    <w:p>
      <w:pPr>
        <w:spacing w:before="0" w:after="120" w:line="264" w:lineRule="auto"/>
      </w:pPr>
      <w:r>
        <w:rPr>
          <w:rFonts w:ascii="Calibri" w:hAnsi="Calibri"/>
          <w:b/>
          <w:i w:val="0"/>
          <w:color w:val="1F2937"/>
          <w:sz w:val="22"/>
        </w:rPr>
        <w:t>Главный принцип:</w:t>
      </w:r>
      <w:r>
        <w:rPr>
          <w:rFonts w:ascii="Calibri" w:hAnsi="Calibri"/>
          <w:b w:val="0"/>
          <w:i w:val="0"/>
          <w:color w:val="1F2937"/>
          <w:sz w:val="22"/>
        </w:rPr>
      </w:r>
    </w:p>
    <w:p>
      <w:pPr>
        <w:spacing w:before="160" w:after="240"/>
        <w:jc w:val="center"/>
      </w:pPr>
      <w:r>
        <w:rPr>
          <w:rFonts w:ascii="Calibri" w:hAnsi="Calibri"/>
          <w:b/>
          <w:i w:val="0"/>
          <w:color w:val="2F6B55"/>
          <w:sz w:val="28"/>
        </w:rPr>
        <w:t>ОДНА НАДСИСТЕМА ДАННЫХ И СТАНДАРТОВ —</w:t>
        <w:br/>
        <w:t>МНОЖЕСТВО ЮРИДИЧЕСКИ КОРРЕКТНЫХ КОНТУРОВ ИСПОЛНЕНИЯ</w:t>
      </w:r>
    </w:p>
    <w:p>
      <w:r>
        <w:br w:type="page"/>
      </w:r>
    </w:p>
    <w:p>
      <w:pPr>
        <w:pStyle w:val="Heading1"/>
      </w:pPr>
      <w:r>
        <w:t>Источники и нормативные ориентиры</w:t>
      </w:r>
    </w:p>
    <w:p>
      <w:pPr>
        <w:pStyle w:val="ListBullet"/>
        <w:spacing w:after="100"/>
      </w:pPr>
      <w:r>
        <w:rPr>
          <w:rFonts w:ascii="Calibri" w:hAnsi="Calibri"/>
          <w:b/>
          <w:i w:val="0"/>
          <w:color w:val="1F2937"/>
          <w:sz w:val="19"/>
        </w:rPr>
        <w:t xml:space="preserve">Uniform Commercial Code § 1-301. Territorial Applicability; Parties’ Power to Choose Applicable Law. </w:t>
      </w:r>
      <w:r>
        <w:rPr>
          <w:rFonts w:ascii="Calibri" w:hAnsi="Calibri"/>
          <w:b w:val="0"/>
          <w:i w:val="0"/>
          <w:color w:val="2E74B5"/>
          <w:sz w:val="19"/>
        </w:rPr>
        <w:t>https://www.law.cornell.edu/ucc/1/1-301</w:t>
      </w:r>
    </w:p>
    <w:p>
      <w:pPr>
        <w:pStyle w:val="ListBullet"/>
        <w:spacing w:after="100"/>
      </w:pPr>
      <w:r>
        <w:rPr>
          <w:rFonts w:ascii="Calibri" w:hAnsi="Calibri"/>
          <w:b/>
          <w:i w:val="0"/>
          <w:color w:val="1F2937"/>
          <w:sz w:val="19"/>
        </w:rPr>
        <w:t xml:space="preserve">Uniform Law Commission. Uniform Commercial Code and 2022 Amendments. </w:t>
      </w:r>
      <w:r>
        <w:rPr>
          <w:rFonts w:ascii="Calibri" w:hAnsi="Calibri"/>
          <w:b w:val="0"/>
          <w:i w:val="0"/>
          <w:color w:val="2E74B5"/>
          <w:sz w:val="19"/>
        </w:rPr>
        <w:t>https://www.uniformlaws.org/acts/ucc</w:t>
      </w:r>
    </w:p>
    <w:p>
      <w:pPr>
        <w:pStyle w:val="ListBullet"/>
        <w:spacing w:after="100"/>
      </w:pPr>
      <w:r>
        <w:rPr>
          <w:rFonts w:ascii="Calibri" w:hAnsi="Calibri"/>
          <w:b/>
          <w:i w:val="0"/>
          <w:color w:val="1F2937"/>
          <w:sz w:val="19"/>
        </w:rPr>
        <w:t xml:space="preserve">UNCITRAL. United Nations Convention on Contracts for the International Sale of Goods (CISG). </w:t>
      </w:r>
      <w:r>
        <w:rPr>
          <w:rFonts w:ascii="Calibri" w:hAnsi="Calibri"/>
          <w:b w:val="0"/>
          <w:i w:val="0"/>
          <w:color w:val="2E74B5"/>
          <w:sz w:val="19"/>
        </w:rPr>
        <w:t>https://uncitral.un.org/en/texts/salegoods/conventions/sale_of_goods/cisg</w:t>
      </w:r>
    </w:p>
    <w:p>
      <w:pPr>
        <w:pStyle w:val="ListBullet"/>
        <w:spacing w:after="100"/>
      </w:pPr>
      <w:r>
        <w:rPr>
          <w:rFonts w:ascii="Calibri" w:hAnsi="Calibri"/>
          <w:b/>
          <w:i w:val="0"/>
          <w:color w:val="1F2937"/>
          <w:sz w:val="19"/>
        </w:rPr>
        <w:t xml:space="preserve">UNCITRAL. Model Law on Electronic Transferable Records (MLETR). </w:t>
      </w:r>
      <w:r>
        <w:rPr>
          <w:rFonts w:ascii="Calibri" w:hAnsi="Calibri"/>
          <w:b w:val="0"/>
          <w:i w:val="0"/>
          <w:color w:val="2E74B5"/>
          <w:sz w:val="19"/>
        </w:rPr>
        <w:t>https://uncitral.un.org/en/texts/ecommerce/modellaw/electronic_transferable_records</w:t>
      </w:r>
    </w:p>
    <w:p>
      <w:pPr>
        <w:spacing w:before="0" w:after="0" w:line="264" w:lineRule="auto"/>
      </w:pPr>
      <w:r>
        <w:rPr>
          <w:rFonts w:ascii="Calibri" w:hAnsi="Calibri"/>
          <w:b w:val="0"/>
          <w:i/>
          <w:color w:val="1F2937"/>
          <w:sz w:val="22"/>
        </w:rPr>
        <w:t>Примечание: перед использованием в реальной сделке необходимо проверить актуальную редакцию права соответствующего штата, статус принятия поправок UCC 2022, применимость CISG, режим электронных записей и все публично-правовые ограничения.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Calibri" w:hAnsi="Calibri"/>
        <w:b w:val="0"/>
        <w:i w:val="0"/>
        <w:color w:val="667085"/>
        <w:sz w:val="16"/>
      </w:rPr>
      <w:t>Стратегико-правовая концепция • Версия 1.0 • 20 августа 2026 года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Calibri" w:hAnsi="Calibri"/>
        <w:b w:val="0"/>
        <w:i w:val="0"/>
        <w:color w:val="667085"/>
        <w:sz w:val="17"/>
      </w:rPr>
      <w:t>ЭКО-PPA • ЭКВИЛИБРИУМ • ЕУТ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num w:numId="10">
    <w:abstractNumId w:val="9"/>
  </w:num>
  <w:abstractNum w:abstractNumId="10">
    <w:multiLevelType w:val="singleLevel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num w:numId="11">
    <w:abstractNumId w:val="10"/>
  </w:num>
  <w:abstractNum w:abstractNumId="11">
    <w:multiLevelType w:val="singleLevel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4" w:lineRule="auto"/>
    </w:pPr>
    <w:rPr>
      <w:rFonts w:ascii="Calibri" w:hAnsi="Calibri"/>
      <w:color w:val="1F2937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Calibri" w:hAnsi="Calibri"/>
      <w:b/>
      <w:bCs/>
      <w:color w:val="17365D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Интеграция UCC в надсистему ЭКО-PPA — ЭКВИЛИБРИУМ — ЕУТ</dc:title>
  <dc:subject>Стратегико-правовая концепция</dc:subject>
  <dc:creator>Соколов Сергей Леонидович</dc:creator>
  <cp:keywords>UCC, ECO-PPA, ЭКВИЛИБРИУМ, ЕУТ, правовой маршрутизатор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