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800" w:line="259" w:lineRule="auto"/>
        <w:jc w:val="center"/>
      </w:pPr>
      <w:r>
        <w:rPr>
          <w:rFonts w:ascii="Arimo" w:hAnsi="Arimo" w:eastAsia="Arimo"/>
          <w:b/>
          <w:color w:val="123E48"/>
          <w:sz w:val="60"/>
        </w:rPr>
        <w:t>НАЦИОНАЛЬНЫЕ ЦЕНТРЫ</w:t>
        <w:br/>
        <w:t>ВАЛИДАЦИИ</w:t>
      </w:r>
    </w:p>
    <w:p>
      <w:pPr>
        <w:widowControl/>
        <w:spacing w:line="259" w:lineRule="auto"/>
        <w:jc w:val="center"/>
      </w:pPr>
      <w:r>
        <w:rPr>
          <w:rFonts w:ascii="Arimo" w:hAnsi="Arimo" w:eastAsia="Arimo"/>
          <w:b/>
          <w:color w:val="216A65"/>
          <w:sz w:val="34"/>
        </w:rPr>
        <w:t>Архитектура национальной и международной системы</w:t>
        <w:br/>
        <w:t>ESG‑IR • ECO‑PPA • устойчивое воздействие</w:t>
      </w:r>
    </w:p>
    <w:p>
      <w:pPr>
        <w:widowControl/>
        <w:spacing w:before="480" w:line="259" w:lineRule="auto"/>
        <w:jc w:val="center"/>
      </w:pPr>
      <w:r>
        <w:rPr>
          <w:rFonts w:ascii="Arimo" w:hAnsi="Arimo" w:eastAsia="Arimo"/>
          <w:color w:val="505A5F"/>
          <w:sz w:val="22"/>
        </w:rPr>
        <w:t>Концепция институциональной инфраструктуры валидации, верификации, доказательной отчётности и взаимного признания</w:t>
      </w:r>
    </w:p>
    <w:p>
      <w:pPr>
        <w:widowControl/>
        <w:spacing w:before="520" w:line="259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3381"/>
            <w:shd w:fill="E8F3EF"/>
            <w:tcMar>
              <w:top w:w="180" w:type="dxa"/>
              <w:start w:w="120" w:type="dxa"/>
              <w:bottom w:w="1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20"/>
              </w:rPr>
              <w:t>ДАННЫЕ</w:t>
              <w:br/>
            </w:r>
            <w:r>
              <w:rPr>
                <w:rFonts w:ascii="Arimo" w:hAnsi="Arimo" w:eastAsia="Arimo"/>
                <w:color w:val="465A5F"/>
                <w:sz w:val="17"/>
              </w:rPr>
              <w:t>прослеживаемость</w:t>
            </w:r>
          </w:p>
        </w:tc>
        <w:tc>
          <w:tcPr>
            <w:tcW w:type="dxa" w:w="3381"/>
            <w:shd w:fill="E8F3EF"/>
            <w:tcMar>
              <w:top w:w="180" w:type="dxa"/>
              <w:start w:w="120" w:type="dxa"/>
              <w:bottom w:w="1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20"/>
              </w:rPr>
              <w:t>ДОКАЗАТЕЛЬСТВО</w:t>
              <w:br/>
            </w:r>
            <w:r>
              <w:rPr>
                <w:rFonts w:ascii="Arimo" w:hAnsi="Arimo" w:eastAsia="Arimo"/>
                <w:color w:val="465A5F"/>
                <w:sz w:val="17"/>
              </w:rPr>
              <w:t>независимая проверка</w:t>
            </w:r>
          </w:p>
        </w:tc>
        <w:tc>
          <w:tcPr>
            <w:tcW w:type="dxa" w:w="3381"/>
            <w:shd w:fill="E8F3EF"/>
            <w:tcMar>
              <w:top w:w="180" w:type="dxa"/>
              <w:start w:w="120" w:type="dxa"/>
              <w:bottom w:w="1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20"/>
              </w:rPr>
              <w:t>ДОВЕРИЕ</w:t>
              <w:br/>
            </w:r>
            <w:r>
              <w:rPr>
                <w:rFonts w:ascii="Arimo" w:hAnsi="Arimo" w:eastAsia="Arimo"/>
                <w:color w:val="465A5F"/>
                <w:sz w:val="17"/>
              </w:rPr>
              <w:t>взаимное признание</w:t>
            </w:r>
          </w:p>
        </w:tc>
      </w:tr>
    </w:tbl>
    <w:p>
      <w:pPr>
        <w:widowControl/>
        <w:spacing w:before="1400" w:line="259" w:lineRule="auto"/>
        <w:jc w:val="center"/>
      </w:pPr>
      <w:r>
        <w:rPr>
          <w:rFonts w:ascii="Arimo" w:hAnsi="Arimo" w:eastAsia="Arimo"/>
          <w:b/>
          <w:color w:val="5A5F64"/>
          <w:sz w:val="20"/>
        </w:rPr>
        <w:t>Проект для пилотной апробации и межведомственного обсуждения</w:t>
      </w:r>
    </w:p>
    <w:p>
      <w:pPr>
        <w:widowControl/>
        <w:spacing w:line="259" w:lineRule="auto"/>
        <w:jc w:val="center"/>
      </w:pPr>
      <w:r>
        <w:rPr>
          <w:rFonts w:ascii="Arimo" w:hAnsi="Arimo" w:eastAsia="Arimo"/>
          <w:color w:val="6E7378"/>
          <w:sz w:val="18"/>
        </w:rPr>
        <w:t>Москва / международный контур • 2026</w:t>
      </w:r>
    </w:p>
    <w:p>
      <w:pPr>
        <w:widowControl/>
        <w:spacing w:line="259" w:lineRule="auto"/>
      </w:pPr>
      <w:r>
        <w:br w:type="page"/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Резюме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Национальный центр валидации в модели ESG‑IR — это не «ещё один сертификационный орган», а институциональный координатор доказательной устойчивости. Его задача — соединить национальную систему аккредитации, независимые органы валидации и верификации, цифровые реестры, ESG‑отчётность, климатические и энергетические инструменты и международное взаимное признание.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Ключевое разграничение: государственный или признанный орган аккредитации подтверждает компетентность проверяющих организаций; независимые органы проводят валидацию и верификацию; оператор стандарта ESG‑IR устанавливает правила, ведёт реестры и обеспечивает авторизацию по программе; рейтинговый комитет принимает рейтинговые решения. Эти функции не должны концентрироваться в одной структуре.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794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Уровень</w:t>
            </w:r>
          </w:p>
        </w:tc>
        <w:tc>
          <w:tcPr>
            <w:tcW w:type="dxa" w:w="283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Институт</w:t>
            </w:r>
          </w:p>
        </w:tc>
        <w:tc>
          <w:tcPr>
            <w:tcW w:type="dxa" w:w="5953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Функция</w:t>
            </w:r>
          </w:p>
        </w:tc>
      </w:tr>
      <w:tr>
        <w:tc>
          <w:tcPr>
            <w:tcW w:type="dxa" w:w="7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1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Национальный орган по аккредитации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Официально подтверждает компетентность органов оценки соответствия.</w:t>
            </w:r>
          </w:p>
        </w:tc>
      </w:tr>
      <w:tr>
        <w:tc>
          <w:tcPr>
            <w:tcW w:type="dxa" w:w="7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2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Национальный центр ESG‑IR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Управляет стандартом, методологией, реестрами, авторизацией и международной совместимостью.</w:t>
            </w:r>
          </w:p>
        </w:tc>
      </w:tr>
      <w:tr>
        <w:tc>
          <w:tcPr>
            <w:tcW w:type="dxa" w:w="7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3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Независимые VVB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Валидируют будущие заявления и верифицируют фактические результаты.</w:t>
            </w:r>
          </w:p>
        </w:tc>
      </w:tr>
      <w:tr>
        <w:tc>
          <w:tcPr>
            <w:tcW w:type="dxa" w:w="7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4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Рейтинговый контур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Рассчитывает и коллегиально утверждает ESG‑IR рейтинг.</w:t>
            </w:r>
          </w:p>
        </w:tc>
      </w:tr>
      <w:tr>
        <w:tc>
          <w:tcPr>
            <w:tcW w:type="dxa" w:w="7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5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Международное взаимное признание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Обеспечивает сопоставимость национальных систем и заключений.</w:t>
            </w:r>
          </w:p>
        </w:tc>
      </w:tr>
    </w:tbl>
    <w:p>
      <w:pPr>
        <w:widowControl/>
        <w:spacing w:after="40" w:line="259" w:lineRule="auto"/>
      </w:pPr>
    </w:p>
    <w:p>
      <w:pPr>
        <w:keepNext/>
        <w:widowControl/>
        <w:spacing w:after="120" w:line="259" w:lineRule="auto"/>
      </w:pPr>
      <w:r>
        <w:rPr>
          <w:rFonts w:ascii="Arimo" w:hAnsi="Arimo" w:eastAsia="Arimo"/>
        </w:rPr>
        <w:t>Целевой результат — национальная инфраструктура, в которой каждый существенный ESG‑показатель связан с первичным источником, уровнем доказательности, независимым заключением и цифровой историей; а ECO‑PPA становится частным случаем доказательного экологического контракта.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Содержание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1. Предмет и назначение национальных центров валидации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2. Нормативная и международная основа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3. Разделение ролей: аккредитация, валидация, верификация, реестр и рейтинг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4. Российский национальный контур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5. Международные модели национальной инфраструктуры качества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6. Целевая модель Национального центра ESG‑IR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7. Органы управления и независимость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8. Аккредитация и авторизация органов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9. Квалификация экспертов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10. Цифровая инфраструктура и реестры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11. Специальный контур ECO‑PPA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12. Международная система взаимного признания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13. Финансовая и организационная модель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14. Дорожная карта запуска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15. Показатели эффективности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16. Риски и защитные механизмы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17. Итоговая институциональная модель</w:t>
      </w:r>
    </w:p>
    <w:p>
      <w:pPr>
        <w:widowControl/>
        <w:spacing w:after="30" w:line="240" w:lineRule="auto"/>
      </w:pPr>
      <w:r>
        <w:rPr>
          <w:rFonts w:ascii="Arimo" w:hAnsi="Arimo" w:eastAsia="Arimo"/>
          <w:sz w:val="17"/>
        </w:rPr>
        <w:t>Приложения</w:t>
      </w:r>
    </w:p>
    <w:p>
      <w:pPr>
        <w:widowControl/>
        <w:spacing w:line="259" w:lineRule="auto"/>
      </w:pPr>
      <w:r>
        <w:br w:type="page"/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1. Предмет и назначение национальных центров валидации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Национальный центр валидации — рабочее институциональное понятие, обозначающее национальный координационный узел, который обеспечивает единые правила проверки устойчивого развития и связывает государственную инфраструктуру качества с независимой профессиональной оценкой.</w:t>
      </w: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Центр должен решать пять задач: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1. обеспечивать единый язык показателей и методик;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2. формировать доверенную сеть независимых валидаторов и верификаторов;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3. обеспечивать цифровую прослеживаемость данных и заключений;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4. предотвращать конфликт интересов, гринвошинг и двойной учёт;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5. создавать механизм национального и трансграничного признания результатов.</w:t>
      </w: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Центр не должен подменять: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государственный орган по аккредитации;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экологический надзор;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аудит финансовой отчётности;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кредитное рейтинговое агентство;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реестр углеродных единиц;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эмитента сертификатов происхождения энергии;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независимого верификатора.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2. Нормативная и международная основа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Архитектура строится вокруг международной инфраструктуры оценки соответствия. ISO/IEC 17029:2019 устанавливает общие требования к компетентности, последовательной работе и беспристрастности органов валидации и верификации. ISO 14065:2020 конкретизирует требования для экологической информации, ISO 14066:2023 — компетентность команд, а ISO 14019‑4:2026 — требования к органам, валидирующим и верифицирующим заявленную информацию об устойчивости.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rPr>
          <w:tblHeader w:val="true"/>
        </w:trPr>
        <w:tc>
          <w:tcPr>
            <w:tcW w:type="dxa" w:w="266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Документ</w:t>
            </w:r>
          </w:p>
        </w:tc>
        <w:tc>
          <w:tcPr>
            <w:tcW w:type="dxa" w:w="6917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Роль в системе ESG‑IR</w:t>
            </w:r>
          </w:p>
        </w:tc>
      </w:tr>
      <w:tr>
        <w:tc>
          <w:tcPr>
            <w:tcW w:type="dxa" w:w="266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ISO/IEC 17029:2019</w:t>
            </w:r>
          </w:p>
        </w:tc>
        <w:tc>
          <w:tcPr>
            <w:tcW w:type="dxa" w:w="69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Базовые требования к органам валидации и верификации.</w:t>
            </w:r>
          </w:p>
        </w:tc>
      </w:tr>
      <w:tr>
        <w:tc>
          <w:tcPr>
            <w:tcW w:type="dxa" w:w="266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ISO 14065:2020</w:t>
            </w:r>
          </w:p>
        </w:tc>
        <w:tc>
          <w:tcPr>
            <w:tcW w:type="dxa" w:w="69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Отраслевое применение к экологической информации.</w:t>
            </w:r>
          </w:p>
        </w:tc>
      </w:tr>
      <w:tr>
        <w:tc>
          <w:tcPr>
            <w:tcW w:type="dxa" w:w="266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ISO 14066:2023</w:t>
            </w:r>
          </w:p>
        </w:tc>
        <w:tc>
          <w:tcPr>
            <w:tcW w:type="dxa" w:w="69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Компетентность команд, технических экспертов и независимых рецензентов.</w:t>
            </w:r>
          </w:p>
        </w:tc>
      </w:tr>
      <w:tr>
        <w:tc>
          <w:tcPr>
            <w:tcW w:type="dxa" w:w="266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ISO 14019‑1:2026</w:t>
            </w:r>
          </w:p>
        </w:tc>
        <w:tc>
          <w:tcPr>
            <w:tcW w:type="dxa" w:w="69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Общие принципы и требования к валидации/верификации информации об устойчивости.</w:t>
            </w:r>
          </w:p>
        </w:tc>
      </w:tr>
      <w:tr>
        <w:tc>
          <w:tcPr>
            <w:tcW w:type="dxa" w:w="266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ISO 14019‑4:2026</w:t>
            </w:r>
          </w:p>
        </w:tc>
        <w:tc>
          <w:tcPr>
            <w:tcW w:type="dxa" w:w="69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Требования к компетентности, беспристрастности и деятельности органов проверки информации об устойчивости.</w:t>
            </w:r>
          </w:p>
        </w:tc>
      </w:tr>
      <w:tr>
        <w:tc>
          <w:tcPr>
            <w:tcW w:type="dxa" w:w="266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ISO 14064‑3</w:t>
            </w:r>
          </w:p>
        </w:tc>
        <w:tc>
          <w:tcPr>
            <w:tcW w:type="dxa" w:w="69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Проверка заявлений о парниковых газах.</w:t>
            </w:r>
          </w:p>
        </w:tc>
      </w:tr>
      <w:tr>
        <w:tc>
          <w:tcPr>
            <w:tcW w:type="dxa" w:w="266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ISSA 5000</w:t>
            </w:r>
          </w:p>
        </w:tc>
        <w:tc>
          <w:tcPr>
            <w:tcW w:type="dxa" w:w="69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Международная рамка assurance по информации об устойчивости.</w:t>
            </w:r>
          </w:p>
        </w:tc>
      </w:tr>
      <w:tr>
        <w:tc>
          <w:tcPr>
            <w:tcW w:type="dxa" w:w="266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IAF MLA</w:t>
            </w:r>
          </w:p>
        </w:tc>
        <w:tc>
          <w:tcPr>
            <w:tcW w:type="dxa" w:w="69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Механизм международного признания аккредитаций в соответствующих областях.</w:t>
            </w:r>
          </w:p>
        </w:tc>
      </w:tr>
    </w:tbl>
    <w:p>
      <w:pPr>
        <w:widowControl/>
        <w:spacing w:after="40" w:line="259" w:lineRule="auto"/>
      </w:pPr>
    </w:p>
    <w:p>
      <w:pPr>
        <w:widowControl/>
        <w:spacing w:after="120" w:line="259" w:lineRule="auto"/>
      </w:pPr>
      <w:r>
        <w:rPr>
          <w:rFonts w:ascii="Arimo" w:hAnsi="Arimo" w:eastAsia="Arimo"/>
        </w:rPr>
        <w:t>Практический принцип: ESG‑IR должен быть программой, совместимой с этой инфраструктурой, а не параллельной закрытой системой.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3. Разделение ролей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1984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Роль</w:t>
            </w:r>
          </w:p>
        </w:tc>
        <w:tc>
          <w:tcPr>
            <w:tcW w:type="dxa" w:w="385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Что подтверждает</w:t>
            </w:r>
          </w:p>
        </w:tc>
        <w:tc>
          <w:tcPr>
            <w:tcW w:type="dxa" w:w="385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Что не подтверждает</w:t>
            </w:r>
          </w:p>
        </w:tc>
      </w:tr>
      <w:tr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Аккредитующий орган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Компетентность органа оценки соответствия в заявленной области.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 подтверждает конкретный ESG‑результат клиента.</w:t>
            </w:r>
          </w:p>
        </w:tc>
      </w:tr>
      <w:tr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Валидатор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Обоснованность будущего заявления, проекта, цели, базового сценария.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Не подтверждает факт будущего достижения.</w:t>
            </w:r>
          </w:p>
        </w:tc>
      </w:tr>
      <w:tr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Верификатор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Достоверность исторической информации и фактического результата.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 присваивает автоматически ESG‑рейтинг.</w:t>
            </w:r>
          </w:p>
        </w:tc>
      </w:tr>
      <w:tr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Реестр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Факт записи, статуса, передачи или погашения в пределах своей функции.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Не подтверждает все характеристики проекта.</w:t>
            </w:r>
          </w:p>
        </w:tc>
      </w:tr>
      <w:tr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Рейтинговый комитет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Итоговый ESG‑IR класс по утверждённой методике.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 заменяет независимую верификацию.</w:t>
            </w:r>
          </w:p>
        </w:tc>
      </w:tr>
      <w:tr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Оператор стандарта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Правила, методология, авторизация, цифровая инфраструктура.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Не должен проверять собственные проекты.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Базовая цепочка доверия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Национальный орган по аккредитации → аккредитованный VVB → проверенные данные и заключение → цифровой реестр → рейтинговый комитет → пользователь результата.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4. Российский национальный контур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В Российской Федерации официальный аккредитационный контур должен сохраняться за национальной системой аккредитации. Для экологических и климатических заявлений важен уже существующий механизм аккредитации органов валидации и верификации парниковых газов. ESG‑IR должен подключаться к нему в пределах применимой области, а для более широких заявлений об устойчивости — развивать программную авторизацию и добиваться расширения официального аккредитационного контура по мере формирования нормативной практики.</w:t>
      </w: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Рекомендуемая российская архитектура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rPr>
          <w:tblHeader w:val="true"/>
        </w:trPr>
        <w:tc>
          <w:tcPr>
            <w:tcW w:type="dxa" w:w="294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Контур</w:t>
            </w:r>
          </w:p>
        </w:tc>
        <w:tc>
          <w:tcPr>
            <w:tcW w:type="dxa" w:w="6633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Предлагаемая роль</w:t>
            </w:r>
          </w:p>
        </w:tc>
      </w:tr>
      <w:tr>
        <w:tc>
          <w:tcPr>
            <w:tcW w:type="dxa" w:w="294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Росаккредитация / национальная система аккредитации</w:t>
            </w:r>
          </w:p>
        </w:tc>
        <w:tc>
          <w:tcPr>
            <w:tcW w:type="dxa" w:w="663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Официальная аккредитация органов в предусмотренных законом и схемами областях.</w:t>
            </w:r>
          </w:p>
        </w:tc>
      </w:tr>
      <w:tr>
        <w:tc>
          <w:tcPr>
            <w:tcW w:type="dxa" w:w="294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Национальный центр ESG‑IR</w:t>
            </w:r>
          </w:p>
        </w:tc>
        <w:tc>
          <w:tcPr>
            <w:tcW w:type="dxa" w:w="663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Владелец стандарта, методологический и реестровый оператор, программная авторизация.</w:t>
            </w:r>
          </w:p>
        </w:tc>
      </w:tr>
      <w:tr>
        <w:tc>
          <w:tcPr>
            <w:tcW w:type="dxa" w:w="294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Аккредитованные органы валидации/верификации</w:t>
            </w:r>
          </w:p>
        </w:tc>
        <w:tc>
          <w:tcPr>
            <w:tcW w:type="dxa" w:w="663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Независимая проверка ESG‑IR, климата и ECO‑PPA в пределах компетенции.</w:t>
            </w:r>
          </w:p>
        </w:tc>
      </w:tr>
      <w:tr>
        <w:tc>
          <w:tcPr>
            <w:tcW w:type="dxa" w:w="294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Реестр углеродных единиц</w:t>
            </w:r>
          </w:p>
        </w:tc>
        <w:tc>
          <w:tcPr>
            <w:tcW w:type="dxa" w:w="663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Учёт климатических проектов и углеродных единиц в пределах установленного правового режима.</w:t>
            </w:r>
          </w:p>
        </w:tc>
      </w:tr>
      <w:tr>
        <w:tc>
          <w:tcPr>
            <w:tcW w:type="dxa" w:w="294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Энергетические реестры/системы атрибутов</w:t>
            </w:r>
          </w:p>
        </w:tc>
        <w:tc>
          <w:tcPr>
            <w:tcW w:type="dxa" w:w="663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Подтверждение происхождения и погашения энергетических атрибутов.</w:t>
            </w:r>
          </w:p>
        </w:tc>
      </w:tr>
      <w:tr>
        <w:tc>
          <w:tcPr>
            <w:tcW w:type="dxa" w:w="294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Рейтинговый комитет ESG‑IR</w:t>
            </w:r>
          </w:p>
        </w:tc>
        <w:tc>
          <w:tcPr>
            <w:tcW w:type="dxa" w:w="663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Отдельное коллегиальное рейтинговое решение.</w:t>
            </w:r>
          </w:p>
        </w:tc>
      </w:tr>
    </w:tbl>
    <w:p>
      <w:pPr>
        <w:widowControl/>
        <w:spacing w:after="40" w:line="259" w:lineRule="auto"/>
      </w:pPr>
    </w:p>
    <w:p>
      <w:pPr>
        <w:widowControl/>
        <w:spacing w:after="120" w:line="259" w:lineRule="auto"/>
      </w:pPr>
      <w:r>
        <w:rPr>
          <w:rFonts w:ascii="Arimo" w:hAnsi="Arimo" w:eastAsia="Arimo"/>
        </w:rPr>
        <w:t>Юридическая оговорка: программная «авторизация ESG‑IR» не должна именоваться государственной аккредитацией, если она выдана владельцем стандарта, а не компетентным органом по аккредитации.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5. Международные модели национальной инфраструктуры качества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В большинстве развитых систем национальный уровень строится не вокруг единого «центра, который проверяет всё», а вокруг национального органа по аккредитации и сети независимых органов оценки соответствия. Например, DAkkS является национальным органом по аккредитации Германии и отдельно предусматривает аккредитацию органов валидации и верификации по ISO/IEC 17029.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1871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Уровень</w:t>
            </w:r>
          </w:p>
        </w:tc>
        <w:tc>
          <w:tcPr>
            <w:tcW w:type="dxa" w:w="311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Тип института</w:t>
            </w:r>
          </w:p>
        </w:tc>
        <w:tc>
          <w:tcPr>
            <w:tcW w:type="dxa" w:w="4592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Модель для ESG‑IR</w:t>
            </w:r>
          </w:p>
        </w:tc>
      </w:tr>
      <w:tr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Национальный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Орган по аккредитации</w:t>
            </w:r>
          </w:p>
        </w:tc>
        <w:tc>
          <w:tcPr>
            <w:tcW w:type="dxa" w:w="4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Подтверждает компетентность независимых VVB.</w:t>
            </w:r>
          </w:p>
        </w:tc>
      </w:tr>
      <w:tr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Программный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Владелец стандарта / scheme owner</w:t>
            </w:r>
          </w:p>
        </w:tc>
        <w:tc>
          <w:tcPr>
            <w:tcW w:type="dxa" w:w="4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Устанавливает дополнительные правила программы ESG‑IR.</w:t>
            </w:r>
          </w:p>
        </w:tc>
      </w:tr>
      <w:tr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Исполнительный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Validation/Verification Body</w:t>
            </w:r>
          </w:p>
        </w:tc>
        <w:tc>
          <w:tcPr>
            <w:tcW w:type="dxa" w:w="4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Проводит независимые задания.</w:t>
            </w:r>
          </w:p>
        </w:tc>
      </w:tr>
      <w:tr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Реестровый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Национальный/отраслевой registry</w:t>
            </w:r>
          </w:p>
        </w:tc>
        <w:tc>
          <w:tcPr>
            <w:tcW w:type="dxa" w:w="4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Хранит статусы, атрибуты и историю операций.</w:t>
            </w:r>
          </w:p>
        </w:tc>
      </w:tr>
      <w:tr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Международный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IAF / международные программы</w:t>
            </w:r>
          </w:p>
        </w:tc>
        <w:tc>
          <w:tcPr>
            <w:tcW w:type="dxa" w:w="4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Поддерживает эквивалентность и взаимное признание.</w:t>
            </w:r>
          </w:p>
        </w:tc>
      </w:tr>
    </w:tbl>
    <w:p>
      <w:pPr>
        <w:widowControl/>
        <w:spacing w:after="40" w:line="259" w:lineRule="auto"/>
      </w:pPr>
    </w:p>
    <w:p>
      <w:pPr>
        <w:widowControl/>
        <w:spacing w:after="120" w:line="259" w:lineRule="auto"/>
      </w:pPr>
      <w:r>
        <w:rPr>
          <w:rFonts w:ascii="Arimo" w:hAnsi="Arimo" w:eastAsia="Arimo"/>
        </w:rPr>
        <w:t>Для климатических проектов дополнительный международный контур создают UNFCCC Article 6.4, Verra VCS и Gold Standard. Они используют независимых DOE/VVB и собственные программные требования. Для ESG‑IR это важная модель: международная программа задаёт правила, но проект проверяет независимая компетентная организация.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6. Целевая модель Национального центра ESG‑IR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Национальный центр ESG‑IR предлагается создавать как владельца стандарта и оператора доверенной инфраструктуры, а не как монопольного верификатора.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rPr>
          <w:tblHeader w:val="true"/>
        </w:trPr>
        <w:tc>
          <w:tcPr>
            <w:tcW w:type="dxa" w:w="260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Функциональный блок</w:t>
            </w:r>
          </w:p>
        </w:tc>
        <w:tc>
          <w:tcPr>
            <w:tcW w:type="dxa" w:w="6973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Содержание</w:t>
            </w:r>
          </w:p>
        </w:tc>
      </w:tr>
      <w:tr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Стандартизация</w:t>
            </w:r>
          </w:p>
        </w:tc>
        <w:tc>
          <w:tcPr>
            <w:tcW w:type="dxa" w:w="69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ESG‑IR 1.0, методика рейтинга, реестр показателей, отраслевые приложения.</w:t>
            </w:r>
          </w:p>
        </w:tc>
      </w:tr>
      <w:tr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Валидация/верификация</w:t>
            </w:r>
          </w:p>
        </w:tc>
        <w:tc>
          <w:tcPr>
            <w:tcW w:type="dxa" w:w="69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Правила программы, квалификационные требования, авторизация независимых органов.</w:t>
            </w:r>
          </w:p>
        </w:tc>
      </w:tr>
      <w:tr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Цифровой реестр</w:t>
            </w:r>
          </w:p>
        </w:tc>
        <w:tc>
          <w:tcPr>
            <w:tcW w:type="dxa" w:w="69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Органы, эксперты, заключения, рейтинги, ECO‑PPA, история статусов.</w:t>
            </w:r>
          </w:p>
        </w:tc>
      </w:tr>
      <w:tr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Квалификация</w:t>
            </w:r>
          </w:p>
        </w:tc>
        <w:tc>
          <w:tcPr>
            <w:tcW w:type="dxa" w:w="69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Обучение, экзамены, наблюдение за практикой, подтверждение компетентности.</w:t>
            </w:r>
          </w:p>
        </w:tc>
      </w:tr>
      <w:tr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Рейтинг</w:t>
            </w:r>
          </w:p>
        </w:tc>
        <w:tc>
          <w:tcPr>
            <w:tcW w:type="dxa" w:w="69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Независимая аналитическая функция и коллегиальный рейтинговый комитет.</w:t>
            </w:r>
          </w:p>
        </w:tc>
      </w:tr>
      <w:tr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Международный контур</w:t>
            </w:r>
          </w:p>
        </w:tc>
        <w:tc>
          <w:tcPr>
            <w:tcW w:type="dxa" w:w="69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Таблицы соответствия, peer review, соглашения о взаимном признании.</w:t>
            </w:r>
          </w:p>
        </w:tc>
      </w:tr>
      <w:tr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Исследования</w:t>
            </w:r>
          </w:p>
        </w:tc>
        <w:tc>
          <w:tcPr>
            <w:tcW w:type="dxa" w:w="69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Методологические исследования, отраслевые бенчмарки, оценка качества системы.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Рекомендуемое название: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Национальный центр доказательной устойчивости, валидации и ESG‑IR (рабочее международное наименование: National ESG‑IR Validation &amp; Evidence Centre).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7. Органы управления и независимость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2381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Орган</w:t>
            </w:r>
          </w:p>
        </w:tc>
        <w:tc>
          <w:tcPr>
            <w:tcW w:type="dxa" w:w="4139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Основная функция</w:t>
            </w:r>
          </w:p>
        </w:tc>
        <w:tc>
          <w:tcPr>
            <w:tcW w:type="dxa" w:w="3061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Ключевое ограничение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Наблюдательный совет</w:t>
            </w:r>
          </w:p>
        </w:tc>
        <w:tc>
          <w:tcPr>
            <w:tcW w:type="dxa" w:w="413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Стратегия, независимость, общественный контроль.</w:t>
            </w:r>
          </w:p>
        </w:tc>
        <w:tc>
          <w:tcPr>
            <w:tcW w:type="dxa" w:w="306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 меняет рейтинг отдельной организации.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Совет стандарта</w:t>
            </w:r>
          </w:p>
        </w:tc>
        <w:tc>
          <w:tcPr>
            <w:tcW w:type="dxa" w:w="413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Утверждает стандарт и методологию.</w:t>
            </w:r>
          </w:p>
        </w:tc>
        <w:tc>
          <w:tcPr>
            <w:tcW w:type="dxa" w:w="306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Не верифицирует собственные проекты.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Научно‑методический комитет</w:t>
            </w:r>
          </w:p>
        </w:tc>
        <w:tc>
          <w:tcPr>
            <w:tcW w:type="dxa" w:w="413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Разрабатывает показатели, формулы и отраслевые модули.</w:t>
            </w:r>
          </w:p>
        </w:tc>
        <w:tc>
          <w:tcPr>
            <w:tcW w:type="dxa" w:w="306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 принимает коммерческие рейтинговые решения.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Комитет по этике</w:t>
            </w:r>
          </w:p>
        </w:tc>
        <w:tc>
          <w:tcPr>
            <w:tcW w:type="dxa" w:w="413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Конфликты интересов, беспристрастность, дисциплинарные вопросы.</w:t>
            </w:r>
          </w:p>
        </w:tc>
        <w:tc>
          <w:tcPr>
            <w:tcW w:type="dxa" w:w="306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Независим от коммерческого блока.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Рейтинговый комитет</w:t>
            </w:r>
          </w:p>
        </w:tc>
        <w:tc>
          <w:tcPr>
            <w:tcW w:type="dxa" w:w="413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Принимает ESG‑IR решения.</w:t>
            </w:r>
          </w:p>
        </w:tc>
        <w:tc>
          <w:tcPr>
            <w:tcW w:type="dxa" w:w="306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 участвует в подготовке клиентских данных.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Апелляционная комиссия</w:t>
            </w:r>
          </w:p>
        </w:tc>
        <w:tc>
          <w:tcPr>
            <w:tcW w:type="dxa" w:w="413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Рассматривает процессуальные и методические споры.</w:t>
            </w:r>
          </w:p>
        </w:tc>
        <w:tc>
          <w:tcPr>
            <w:tcW w:type="dxa" w:w="306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Не состоит из участников первоначального решения.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Комитет цифрового реестра</w:t>
            </w:r>
          </w:p>
        </w:tc>
        <w:tc>
          <w:tcPr>
            <w:tcW w:type="dxa" w:w="413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Данные, версии, информационная безопасность.</w:t>
            </w:r>
          </w:p>
        </w:tc>
        <w:tc>
          <w:tcPr>
            <w:tcW w:type="dxa" w:w="306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 меняет историю записей без следа.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8. Аккредитация и авторизация органов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Система должна использовать двухуровневую модель признания.</w:t>
      </w: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Уровень А — официальная аккредитация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Проводится национальным органом по аккредитации или иным компетентным органом в соответствии с применимым законодательством и международными стандартами.</w:t>
      </w: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Уровень Б — авторизация ESG‑IR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Предоставляется владельцем программы и подтверждает знание стандарта ESG‑IR, подключение к цифровому реестру, соблюдение правил программы и наличие соответствующей компетентности.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rPr>
          <w:tblHeader w:val="true"/>
        </w:trPr>
        <w:tc>
          <w:tcPr>
            <w:tcW w:type="dxa" w:w="2041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Этап</w:t>
            </w:r>
          </w:p>
        </w:tc>
        <w:tc>
          <w:tcPr>
            <w:tcW w:type="dxa" w:w="7540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Содержание</w:t>
            </w:r>
          </w:p>
        </w:tc>
      </w:tr>
      <w:tr>
        <w:tc>
          <w:tcPr>
            <w:tcW w:type="dxa" w:w="204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1. Заявка</w:t>
            </w:r>
          </w:p>
        </w:tc>
        <w:tc>
          <w:tcPr>
            <w:tcW w:type="dxa" w:w="75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Юридический статус, область, персонал, процедуры, независимость.</w:t>
            </w:r>
          </w:p>
        </w:tc>
      </w:tr>
      <w:tr>
        <w:tc>
          <w:tcPr>
            <w:tcW w:type="dxa" w:w="204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2. Документарная оценка</w:t>
            </w:r>
          </w:p>
        </w:tc>
        <w:tc>
          <w:tcPr>
            <w:tcW w:type="dxa" w:w="75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ISO/IEC 17029, применимые ISO 14065/14019, процедуры ESG‑IR.</w:t>
            </w:r>
          </w:p>
        </w:tc>
      </w:tr>
      <w:tr>
        <w:tc>
          <w:tcPr>
            <w:tcW w:type="dxa" w:w="204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3. Оценка системы</w:t>
            </w:r>
          </w:p>
        </w:tc>
        <w:tc>
          <w:tcPr>
            <w:tcW w:type="dxa" w:w="75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Управление, конфликты, данные, архив, жалобы.</w:t>
            </w:r>
          </w:p>
        </w:tc>
      </w:tr>
      <w:tr>
        <w:tc>
          <w:tcPr>
            <w:tcW w:type="dxa" w:w="204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4. Witness assessment</w:t>
            </w:r>
          </w:p>
        </w:tc>
        <w:tc>
          <w:tcPr>
            <w:tcW w:type="dxa" w:w="75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Наблюдение за реальным или пилотным заданием.</w:t>
            </w:r>
          </w:p>
        </w:tc>
      </w:tr>
      <w:tr>
        <w:tc>
          <w:tcPr>
            <w:tcW w:type="dxa" w:w="204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5. Решение</w:t>
            </w:r>
          </w:p>
        </w:tc>
        <w:tc>
          <w:tcPr>
            <w:tcW w:type="dxa" w:w="75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Независимое от оценочной команды.</w:t>
            </w:r>
          </w:p>
        </w:tc>
      </w:tr>
      <w:tr>
        <w:tc>
          <w:tcPr>
            <w:tcW w:type="dxa" w:w="204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6. Реестр</w:t>
            </w:r>
          </w:p>
        </w:tc>
        <w:tc>
          <w:tcPr>
            <w:tcW w:type="dxa" w:w="75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Публичная область, сроки, ограничения, статус.</w:t>
            </w:r>
          </w:p>
        </w:tc>
      </w:tr>
      <w:tr>
        <w:tc>
          <w:tcPr>
            <w:tcW w:type="dxa" w:w="204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7. Надзор</w:t>
            </w:r>
          </w:p>
        </w:tc>
        <w:tc>
          <w:tcPr>
            <w:tcW w:type="dxa" w:w="75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Ежегодный контроль и повторная оценка.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9. Квалификация экспертов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226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Роль</w:t>
            </w:r>
          </w:p>
        </w:tc>
        <w:tc>
          <w:tcPr>
            <w:tcW w:type="dxa" w:w="3402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Минимальная функция</w:t>
            </w:r>
          </w:p>
        </w:tc>
        <w:tc>
          <w:tcPr>
            <w:tcW w:type="dxa" w:w="385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Специальная компетенция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Валидатор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Оценка будущих заявлений и предпосылок.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Базовый сценарий, дополнительность, прогнозы, цели.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Верификатор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Проверка исторических данных.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Выборка, пересчёт, доказательства, контроль данных.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Руководитель задания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Ответственность за вывод.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Риски, существенность, команда, качество файла.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Технический эксперт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Отраслевая экспертиза.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Энергетика, климат, вода, биоразнообразие и др.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Эксперт по данным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Цифровые системы и алгоритмы.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IT‑контроли, журналирование, модели, киберриски.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Эксперт по воздействию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Impact assessment.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Атрибуция, дополнительность, утечка, обратимость.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Независимый рецензент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Контроль ключевых суждений.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Компетентность не ниже руководителя задания.</w:t>
            </w:r>
          </w:p>
        </w:tc>
      </w:tr>
    </w:tbl>
    <w:p>
      <w:pPr>
        <w:widowControl/>
        <w:spacing w:after="40" w:line="259" w:lineRule="auto"/>
      </w:pPr>
    </w:p>
    <w:p>
      <w:pPr>
        <w:widowControl/>
        <w:spacing w:after="120" w:line="259" w:lineRule="auto"/>
      </w:pPr>
      <w:r>
        <w:rPr>
          <w:rFonts w:ascii="Arimo" w:hAnsi="Arimo" w:eastAsia="Arimo"/>
        </w:rPr>
        <w:t>Квалификация фиксируется по матрице: роль + вид задания + блок ESG‑IR + отрасль + уровень уверенности + тип объекта. Сам факт прохождения общего курса не даёт права проверять любую отрасль.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10. Цифровая инфраструктура и реестры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Цифровой контур является частью доказательственной архитектуры, а не только публичным каталогом.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rPr>
          <w:tblHeader w:val="true"/>
        </w:trPr>
        <w:tc>
          <w:tcPr>
            <w:tcW w:type="dxa" w:w="226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Реестр</w:t>
            </w:r>
          </w:p>
        </w:tc>
        <w:tc>
          <w:tcPr>
            <w:tcW w:type="dxa" w:w="7257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Ключевые поля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Органы VVB</w:t>
            </w:r>
          </w:p>
        </w:tc>
        <w:tc>
          <w:tcPr>
            <w:tcW w:type="dxa" w:w="72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Статус, аккредитация, авторизация, область, ограничения, история.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Эксперты</w:t>
            </w:r>
          </w:p>
        </w:tc>
        <w:tc>
          <w:tcPr>
            <w:tcW w:type="dxa" w:w="72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Роль, квалификация, отрасли, срок действия, дисциплинарный статус.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Заключения</w:t>
            </w:r>
          </w:p>
        </w:tc>
        <w:tc>
          <w:tcPr>
            <w:tcW w:type="dxa" w:w="72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Объект, период, критерии, уровень уверенности, вывод, оговорки.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Рейтинги</w:t>
            </w:r>
          </w:p>
        </w:tc>
        <w:tc>
          <w:tcPr>
            <w:tcW w:type="dxa" w:w="72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E/S/G/I/R/D/T, итоговый класс, прогноз, версия методики.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ECO‑PPA</w:t>
            </w:r>
          </w:p>
        </w:tc>
        <w:tc>
          <w:tcPr>
            <w:tcW w:type="dxa" w:w="72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Объект генерации, МВт·ч, период, атрибуты, погашение, MRV.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Предупреждения</w:t>
            </w:r>
          </w:p>
        </w:tc>
        <w:tc>
          <w:tcPr>
            <w:tcW w:type="dxa" w:w="72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Приостановления, отзывы, фальсификация, двойной учёт.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Методики</w:t>
            </w:r>
          </w:p>
        </w:tc>
        <w:tc>
          <w:tcPr>
            <w:tcW w:type="dxa" w:w="72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Версии, даты действия, переходные периоды, интерпретации.</w:t>
            </w:r>
          </w:p>
        </w:tc>
      </w:tr>
    </w:tbl>
    <w:p>
      <w:pPr>
        <w:widowControl/>
        <w:spacing w:after="40" w:line="259" w:lineRule="auto"/>
      </w:pPr>
    </w:p>
    <w:p>
      <w:pPr>
        <w:widowControl/>
        <w:spacing w:after="120" w:line="259" w:lineRule="auto"/>
      </w:pPr>
      <w:r>
        <w:rPr>
          <w:rFonts w:ascii="Arimo" w:hAnsi="Arimo" w:eastAsia="Arimo"/>
        </w:rPr>
        <w:t>Ключевой принцип реестра — неизменяемость истории: исправление создаёт новую версию записи, но не уничтожает предыдущую.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11. Специальный контур ECO‑PPA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ECO‑PPA должен стать первой транзакционной зоной применения национального центра: здесь одновременно присутствуют энергия, договор, приборные данные, экологические атрибуты, климатический расчёт, цифровой паспорт и независимая проверка.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rPr>
          <w:tblHeader w:val="true"/>
        </w:trPr>
        <w:tc>
          <w:tcPr>
            <w:tcW w:type="dxa" w:w="3231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Объект проверки</w:t>
            </w:r>
          </w:p>
        </w:tc>
        <w:tc>
          <w:tcPr>
            <w:tcW w:type="dxa" w:w="6293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Кто подтверждает</w:t>
            </w:r>
          </w:p>
        </w:tc>
      </w:tr>
      <w:tr>
        <w:tc>
          <w:tcPr>
            <w:tcW w:type="dxa" w:w="32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Факт генерации и поставки</w:t>
            </w:r>
          </w:p>
        </w:tc>
        <w:tc>
          <w:tcPr>
            <w:tcW w:type="dxa" w:w="629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Коммерческий учёт / оператор измерений + VVB.</w:t>
            </w:r>
          </w:p>
        </w:tc>
      </w:tr>
      <w:tr>
        <w:tc>
          <w:tcPr>
            <w:tcW w:type="dxa" w:w="32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Происхождение энергии</w:t>
            </w:r>
          </w:p>
        </w:tc>
        <w:tc>
          <w:tcPr>
            <w:tcW w:type="dxa" w:w="629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Уполномоченная система сертификатов/атрибутов.</w:t>
            </w:r>
          </w:p>
        </w:tc>
      </w:tr>
      <w:tr>
        <w:tc>
          <w:tcPr>
            <w:tcW w:type="dxa" w:w="32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Передача и погашение атрибута</w:t>
            </w:r>
          </w:p>
        </w:tc>
        <w:tc>
          <w:tcPr>
            <w:tcW w:type="dxa" w:w="629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Реестр энергетических атрибутов.</w:t>
            </w:r>
          </w:p>
        </w:tc>
      </w:tr>
      <w:tr>
        <w:tc>
          <w:tcPr>
            <w:tcW w:type="dxa" w:w="32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Scope 2</w:t>
            </w:r>
          </w:p>
        </w:tc>
        <w:tc>
          <w:tcPr>
            <w:tcW w:type="dxa" w:w="629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Независимый расчёт по применимой методике.</w:t>
            </w:r>
          </w:p>
        </w:tc>
      </w:tr>
      <w:tr>
        <w:tc>
          <w:tcPr>
            <w:tcW w:type="dxa" w:w="32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Предотвращённые выбросы</w:t>
            </w:r>
          </w:p>
        </w:tc>
        <w:tc>
          <w:tcPr>
            <w:tcW w:type="dxa" w:w="629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Отдельная проектная методика и верификация.</w:t>
            </w:r>
          </w:p>
        </w:tc>
      </w:tr>
      <w:tr>
        <w:tc>
          <w:tcPr>
            <w:tcW w:type="dxa" w:w="32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Дополнительность</w:t>
            </w:r>
          </w:p>
        </w:tc>
        <w:tc>
          <w:tcPr>
            <w:tcW w:type="dxa" w:w="629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Валидация проектной и финансовой модели.</w:t>
            </w:r>
          </w:p>
        </w:tc>
      </w:tr>
      <w:tr>
        <w:tc>
          <w:tcPr>
            <w:tcW w:type="dxa" w:w="32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Углеродные единицы</w:t>
            </w:r>
          </w:p>
        </w:tc>
        <w:tc>
          <w:tcPr>
            <w:tcW w:type="dxa" w:w="629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Только в рамках отдельной климатической программы/реестра.</w:t>
            </w:r>
          </w:p>
        </w:tc>
      </w:tr>
      <w:tr>
        <w:tc>
          <w:tcPr>
            <w:tcW w:type="dxa" w:w="32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Социальный и природный эффект</w:t>
            </w:r>
          </w:p>
        </w:tc>
        <w:tc>
          <w:tcPr>
            <w:tcW w:type="dxa" w:w="629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ESG‑IR Impact + соответствующие технические эксперты.</w:t>
            </w:r>
          </w:p>
        </w:tc>
      </w:tr>
    </w:tbl>
    <w:p>
      <w:pPr>
        <w:widowControl/>
        <w:spacing w:after="40" w:line="259" w:lineRule="auto"/>
      </w:pPr>
    </w:p>
    <w:p>
      <w:pPr>
        <w:widowControl/>
        <w:spacing w:after="120" w:line="259" w:lineRule="auto"/>
      </w:pPr>
      <w:r>
        <w:rPr>
          <w:rFonts w:ascii="Arimo" w:hAnsi="Arimo" w:eastAsia="Arimo"/>
        </w:rPr>
        <w:t>Запрет смешения: сертификат происхождения, market‑based Scope 2, предотвращённые выбросы и углеродная единица являются разными результатами и учитываются раздельно.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12. Международная система взаимного признания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Международный контур ESG‑IR следует строить как систему эквивалентности национальных механизмов, а не как наднациональный орган, отменяющий национальное право.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1474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Уровень</w:t>
            </w:r>
          </w:p>
        </w:tc>
        <w:tc>
          <w:tcPr>
            <w:tcW w:type="dxa" w:w="283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Предмет признания</w:t>
            </w:r>
          </w:p>
        </w:tc>
        <w:tc>
          <w:tcPr>
            <w:tcW w:type="dxa" w:w="5216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Результат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MR‑1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Методология</w:t>
            </w:r>
          </w:p>
        </w:tc>
        <w:tc>
          <w:tcPr>
            <w:tcW w:type="dxa" w:w="52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Подтверждается сопоставимость стандартов и определений.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MR‑2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Органы</w:t>
            </w:r>
          </w:p>
        </w:tc>
        <w:tc>
          <w:tcPr>
            <w:tcW w:type="dxa" w:w="52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Признаются сопоставимые требования к VVB и надзору.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MR‑3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Заключения</w:t>
            </w:r>
          </w:p>
        </w:tc>
        <w:tc>
          <w:tcPr>
            <w:tcW w:type="dxa" w:w="52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Допускается принятие заключений без полной повторной проверки.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MR‑4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Рейтинги</w:t>
            </w:r>
          </w:p>
        </w:tc>
        <w:tc>
          <w:tcPr>
            <w:tcW w:type="dxa" w:w="52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Применяется общая шкала или таблица трансформации.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MR‑5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Цифровая интеграция</w:t>
            </w:r>
          </w:p>
        </w:tc>
        <w:tc>
          <w:tcPr>
            <w:tcW w:type="dxa" w:w="52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Реестры проверяют статусы и двойной учёт автоматически.</w:t>
            </w:r>
          </w:p>
        </w:tc>
      </w:tr>
    </w:tbl>
    <w:p>
      <w:pPr>
        <w:widowControl/>
        <w:spacing w:after="40" w:line="259" w:lineRule="auto"/>
      </w:pPr>
    </w:p>
    <w:p>
      <w:pPr>
        <w:widowControl/>
        <w:spacing w:after="120" w:line="259" w:lineRule="auto"/>
      </w:pPr>
      <w:r>
        <w:rPr>
          <w:rFonts w:ascii="Arimo" w:hAnsi="Arimo" w:eastAsia="Arimo"/>
        </w:rPr>
        <w:t>Международные климатические программы — UNFCCC, Verra, Gold Standard — могут выступать не конкурентами, а внешними программными контурами. ESG‑IR должен уметь ссылаться на их результаты в пределах реально подтверждённых утверждений.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13. Финансовая и организационная модель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Центр должен иметь диверсифицированное финансирование, чтобы ни один крупный рейтингуемый участник не мог влиять на методологию или решения.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226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Источник</w:t>
            </w:r>
          </w:p>
        </w:tc>
        <w:tc>
          <w:tcPr>
            <w:tcW w:type="dxa" w:w="345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Допустимое назначение</w:t>
            </w:r>
          </w:p>
        </w:tc>
        <w:tc>
          <w:tcPr>
            <w:tcW w:type="dxa" w:w="379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Защитный механизм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Учредительские взносы</w:t>
            </w:r>
          </w:p>
        </w:tc>
        <w:tc>
          <w:tcPr>
            <w:tcW w:type="dxa" w:w="345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Запуск инфраструктуры.</w:t>
            </w:r>
          </w:p>
        </w:tc>
        <w:tc>
          <w:tcPr>
            <w:tcW w:type="dxa" w:w="379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Нет права вмешательства в отдельные рейтинги.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Авторизация и реестры</w:t>
            </w:r>
          </w:p>
        </w:tc>
        <w:tc>
          <w:tcPr>
            <w:tcW w:type="dxa" w:w="345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Операционное сопровождение.</w:t>
            </w:r>
          </w:p>
        </w:tc>
        <w:tc>
          <w:tcPr>
            <w:tcW w:type="dxa" w:w="379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Фиксированные тарифы, не зависят от результата.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Обучение и экзамены</w:t>
            </w:r>
          </w:p>
        </w:tc>
        <w:tc>
          <w:tcPr>
            <w:tcW w:type="dxa" w:w="345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Квалификационный контур.</w:t>
            </w:r>
          </w:p>
        </w:tc>
        <w:tc>
          <w:tcPr>
            <w:tcW w:type="dxa" w:w="379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Разделение обучения и экзаменационного решения.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Гранты и исследования</w:t>
            </w:r>
          </w:p>
        </w:tc>
        <w:tc>
          <w:tcPr>
            <w:tcW w:type="dxa" w:w="345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Методология и международное развитие.</w:t>
            </w:r>
          </w:p>
        </w:tc>
        <w:tc>
          <w:tcPr>
            <w:tcW w:type="dxa" w:w="379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Раскрытие доноров и конфликтов.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Государственная поддержка</w:t>
            </w:r>
          </w:p>
        </w:tc>
        <w:tc>
          <w:tcPr>
            <w:tcW w:type="dxa" w:w="345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Общественно значимая инфраструктура.</w:t>
            </w:r>
          </w:p>
        </w:tc>
        <w:tc>
          <w:tcPr>
            <w:tcW w:type="dxa" w:w="379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Полномочия определяются отдельно.</w:t>
            </w:r>
          </w:p>
        </w:tc>
      </w:tr>
      <w:tr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Аналитические услуги</w:t>
            </w:r>
          </w:p>
        </w:tc>
        <w:tc>
          <w:tcPr>
            <w:tcW w:type="dxa" w:w="345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Отраслевые исследования.</w:t>
            </w:r>
          </w:p>
        </w:tc>
        <w:tc>
          <w:tcPr>
            <w:tcW w:type="dxa" w:w="379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Запрет консультации и проверки одного объекта одной командой.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14. Дорожная карта запуска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1531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Период</w:t>
            </w:r>
          </w:p>
        </w:tc>
        <w:tc>
          <w:tcPr>
            <w:tcW w:type="dxa" w:w="2324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Этап</w:t>
            </w:r>
          </w:p>
        </w:tc>
        <w:tc>
          <w:tcPr>
            <w:tcW w:type="dxa" w:w="5669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Ключевой результат</w:t>
            </w:r>
          </w:p>
        </w:tc>
      </w:tr>
      <w:tr>
        <w:tc>
          <w:tcPr>
            <w:tcW w:type="dxa" w:w="1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0–3 мес.</w:t>
            </w:r>
          </w:p>
        </w:tc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Учреждение</w:t>
            </w:r>
          </w:p>
        </w:tc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Юрлицо, Совет стандарта, комитет по этике, версии 1.0 документов.</w:t>
            </w:r>
          </w:p>
        </w:tc>
      </w:tr>
      <w:tr>
        <w:tc>
          <w:tcPr>
            <w:tcW w:type="dxa" w:w="1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3–6 мес.</w:t>
            </w:r>
          </w:p>
        </w:tc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Квалификация</w:t>
            </w:r>
          </w:p>
        </w:tc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10+ экспертов, 2 органа‑кандидата, цифровой реестр MVP.</w:t>
            </w:r>
          </w:p>
        </w:tc>
      </w:tr>
      <w:tr>
        <w:tc>
          <w:tcPr>
            <w:tcW w:type="dxa" w:w="1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6–12 мес.</w:t>
            </w:r>
          </w:p>
        </w:tc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Пилот</w:t>
            </w:r>
          </w:p>
        </w:tc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3–5 проверок, минимум 1 ECO‑PPA, первые рейтинги с пометкой «пилот».</w:t>
            </w:r>
          </w:p>
        </w:tc>
      </w:tr>
      <w:tr>
        <w:tc>
          <w:tcPr>
            <w:tcW w:type="dxa" w:w="1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12–15 мес.</w:t>
            </w:r>
          </w:p>
        </w:tc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Калибровка</w:t>
            </w:r>
          </w:p>
        </w:tc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Анализ ошибок, версия 1.1, отраслевые коэффициенты.</w:t>
            </w:r>
          </w:p>
        </w:tc>
      </w:tr>
      <w:tr>
        <w:tc>
          <w:tcPr>
            <w:tcW w:type="dxa" w:w="1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15–24 мес.</w:t>
            </w:r>
          </w:p>
        </w:tc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Международный пилот</w:t>
            </w:r>
          </w:p>
        </w:tc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Peer review, 2–3 национальных партнёра, MR‑1/MR‑2.</w:t>
            </w:r>
          </w:p>
        </w:tc>
      </w:tr>
      <w:tr>
        <w:tc>
          <w:tcPr>
            <w:tcW w:type="dxa" w:w="1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24+ мес.</w:t>
            </w:r>
          </w:p>
        </w:tc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Масштабирование</w:t>
            </w:r>
          </w:p>
        </w:tc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MR‑3/MR‑4, отраслевые центры, трансграничные ECO‑PPA.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15. Показатели эффективности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2778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KPI</w:t>
            </w:r>
          </w:p>
        </w:tc>
        <w:tc>
          <w:tcPr>
            <w:tcW w:type="dxa" w:w="1871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Пилотная цель</w:t>
            </w:r>
          </w:p>
        </w:tc>
        <w:tc>
          <w:tcPr>
            <w:tcW w:type="dxa" w:w="4876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Значение</w:t>
            </w:r>
          </w:p>
        </w:tc>
      </w:tr>
      <w:t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Квалифицированные эксперты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≥ 10</w:t>
            </w:r>
          </w:p>
        </w:tc>
        <w:tc>
          <w:tcPr>
            <w:tcW w:type="dxa" w:w="487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Создание минимального независимого кадрового пула.</w:t>
            </w:r>
          </w:p>
        </w:tc>
      </w:tr>
      <w:t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Авторизованные органы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≥ 2</w:t>
            </w:r>
          </w:p>
        </w:tc>
        <w:tc>
          <w:tcPr>
            <w:tcW w:type="dxa" w:w="487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Конкурентность и отсутствие монополии.</w:t>
            </w:r>
          </w:p>
        </w:tc>
      </w:tr>
      <w:t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Пилотные объекты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3–5</w:t>
            </w:r>
          </w:p>
        </w:tc>
        <w:tc>
          <w:tcPr>
            <w:tcW w:type="dxa" w:w="487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Проверка методологии на разных типах объектов.</w:t>
            </w:r>
          </w:p>
        </w:tc>
      </w:tr>
      <w:t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ECO‑PPA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≥ 1 оплаченная сделка</w:t>
            </w:r>
          </w:p>
        </w:tc>
        <w:tc>
          <w:tcPr>
            <w:tcW w:type="dxa" w:w="487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Proof of Product через реальную транзакцию.</w:t>
            </w:r>
          </w:p>
        </w:tc>
      </w:tr>
      <w:t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Доля D4–D5 в критических KPI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≥ 80%</w:t>
            </w:r>
          </w:p>
        </w:tc>
        <w:tc>
          <w:tcPr>
            <w:tcW w:type="dxa" w:w="487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Рост доказательности ключевых заявлений.</w:t>
            </w:r>
          </w:p>
        </w:tc>
      </w:tr>
      <w:t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Апелляции из-за процедурных ошибок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&lt; 5%</w:t>
            </w:r>
          </w:p>
        </w:tc>
        <w:tc>
          <w:tcPr>
            <w:tcW w:type="dxa" w:w="487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Контроль качества решений.</w:t>
            </w:r>
          </w:p>
        </w:tc>
      </w:tr>
      <w:tr>
        <w:tc>
          <w:tcPr>
            <w:tcW w:type="dxa" w:w="27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Полнота цифровой истории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100%</w:t>
            </w:r>
          </w:p>
        </w:tc>
        <w:tc>
          <w:tcPr>
            <w:tcW w:type="dxa" w:w="487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Прослеживаемость изменений и статусов.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16. Риски и защитные механизмы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rPr>
          <w:tblHeader w:val="true"/>
        </w:trPr>
        <w:tc>
          <w:tcPr>
            <w:tcW w:type="dxa" w:w="2324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Риск</w:t>
            </w:r>
          </w:p>
        </w:tc>
        <w:tc>
          <w:tcPr>
            <w:tcW w:type="dxa" w:w="334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Последствие</w:t>
            </w:r>
          </w:p>
        </w:tc>
        <w:tc>
          <w:tcPr>
            <w:tcW w:type="dxa" w:w="385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Защита</w:t>
            </w:r>
          </w:p>
        </w:tc>
      </w:tr>
      <w:tr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Конфликт интересов</w:t>
            </w:r>
          </w:p>
        </w:tc>
        <w:tc>
          <w:tcPr>
            <w:tcW w:type="dxa" w:w="334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Недоверие к заключениям.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Организационное разделение функций, реестр конфликтов, независимый review.</w:t>
            </w:r>
          </w:p>
        </w:tc>
      </w:tr>
      <w:tr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Подмена аккредитации авторизацией</w:t>
            </w:r>
          </w:p>
        </w:tc>
        <w:tc>
          <w:tcPr>
            <w:tcW w:type="dxa" w:w="334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Юридический и репутационный риск.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Чёткая терминология и публичное раскрытие статуса.</w:t>
            </w:r>
          </w:p>
        </w:tc>
      </w:tr>
      <w:tr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Гринвошинг</w:t>
            </w:r>
          </w:p>
        </w:tc>
        <w:tc>
          <w:tcPr>
            <w:tcW w:type="dxa" w:w="334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Высокий рейтинг при слабом результате.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Уровни D, критические ограничители, факт выше политики.</w:t>
            </w:r>
          </w:p>
        </w:tc>
      </w:tr>
      <w:tr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Двойной учёт</w:t>
            </w:r>
          </w:p>
        </w:tc>
        <w:tc>
          <w:tcPr>
            <w:tcW w:type="dxa" w:w="334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Повторная монетизация одного эффекта.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Уникальные ID, реестровая проверка, правила атрибуции.</w:t>
            </w:r>
          </w:p>
        </w:tc>
      </w:tr>
      <w:tr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Закрытая методология</w:t>
            </w:r>
          </w:p>
        </w:tc>
        <w:tc>
          <w:tcPr>
            <w:tcW w:type="dxa" w:w="334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Невозможность проверить рейтинг.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Публичные веса, шкалы и ограничители.</w:t>
            </w:r>
          </w:p>
        </w:tc>
      </w:tr>
      <w:tr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Монополизация</w:t>
            </w:r>
          </w:p>
        </w:tc>
        <w:tc>
          <w:tcPr>
            <w:tcW w:type="dxa" w:w="334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Зависимость рынка от одного проверяющего.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Несколько VVB и открытый допуск по единым критериям.</w:t>
            </w:r>
          </w:p>
        </w:tc>
      </w:tr>
      <w:tr>
        <w:tc>
          <w:tcPr>
            <w:tcW w:type="dxa" w:w="23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Технологическая непрозрачность</w:t>
            </w:r>
          </w:p>
        </w:tc>
        <w:tc>
          <w:tcPr>
            <w:tcW w:type="dxa" w:w="334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Ошибки цифровых моделей.</w:t>
            </w:r>
          </w:p>
        </w:tc>
        <w:tc>
          <w:tcPr>
            <w:tcW w:type="dxa" w:w="38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Версионность, аудит алгоритмов, человеческий контроль.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17. Итоговая институциональная модель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Национальная система валидации ESG‑IR должна состоять из независимых, но взаимосвязанных уровней: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1. государственная/официальная аккредитация компетентности;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2. владелец программы и Национальный центр ESG‑IR;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3. конкурентная сеть независимых органов валидации и верификации;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4. профессиональный реестр квалифицированных экспертов;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5. цифровые паспорта и реестр заключений;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6. независимый рейтинговый контур;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7. апелляционный и этический контроль;</w:t>
      </w:r>
    </w:p>
    <w:p>
      <w:pPr>
        <w:widowControl/>
        <w:spacing w:after="40" w:line="259" w:lineRule="auto"/>
      </w:pPr>
      <w:r>
        <w:rPr>
          <w:rFonts w:ascii="Arimo" w:hAnsi="Arimo" w:eastAsia="Arimo"/>
          <w:sz w:val="21"/>
        </w:rPr>
        <w:t>8. международное взаимное признание.</w:t>
      </w: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Формула системы</w:t>
      </w:r>
    </w:p>
    <w:p>
      <w:pPr>
        <w:widowControl/>
        <w:spacing w:before="200" w:after="200" w:line="259" w:lineRule="auto"/>
        <w:jc w:val="center"/>
      </w:pPr>
      <w:r>
        <w:rPr>
          <w:rFonts w:ascii="Arimo" w:hAnsi="Arimo" w:eastAsia="Arimo"/>
          <w:b/>
          <w:color w:val="123E48"/>
          <w:sz w:val="24"/>
        </w:rPr>
        <w:t>ДАННЫЕ → ДОКАЗАТЕЛЬСТВА → ВЕРИФИКАЦИЯ → РЕЕСТР → РЕЙТИНГ → ФИНАНСОВОЕ И УПРАВЛЕНЧЕСКОЕ РЕШЕНИЕ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Центральный принцип: Национальный центр создаёт доверие не за счёт административной монополии, а за счёт прозрачных правил, независимой проверки, профессиональной компетентности и прослеживаемой цифровой истории.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Приложение 1. Минимальная карточка национального центра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rPr>
          <w:tblHeader w:val="true"/>
        </w:trPr>
        <w:tc>
          <w:tcPr>
            <w:tcW w:type="dxa" w:w="3402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Поле</w:t>
            </w:r>
          </w:p>
        </w:tc>
        <w:tc>
          <w:tcPr>
            <w:tcW w:type="dxa" w:w="6123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7"/>
              </w:rPr>
              <w:t>Содержание</w:t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Юридическое наименование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Страна / юрисдикция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Владелец стандарта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Орган официальной аккредитации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Версия ESG‑IR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Авторизованные VVB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Реестр экспертов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Реестр заключений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Рейтинговый комитет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Апелляционная комиссия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  <w:t>Международный статус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  <w:t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  <w:t>Уровень MR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7"/>
              </w:rPr>
            </w:r>
          </w:p>
        </w:tc>
      </w:tr>
    </w:tbl>
    <w:p>
      <w:pPr>
        <w:widowControl/>
        <w:spacing w:after="40" w:line="259" w:lineRule="auto"/>
      </w:pP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Приложение 2. Минимальный пакет документов для запуска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Стандарт ESG‑IR 1.0.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Методика расчёта рейтинга ESG‑IR 1.0.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Реестр показателей ESG‑IR 1.0.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Методика валидации и верификации ESG‑IR 1.0.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Регламент аккредитации/авторизации органов и квалификации экспертов.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Положение о Национальном центре ESG‑IR и международном взаимном признании.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Кодекс этики и беспристрастности.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Регламент цифрового реестра.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Специальный модуль ECO‑PPA.</w:t>
      </w:r>
    </w:p>
    <w:p>
      <w:pPr>
        <w:pStyle w:val="ListNumber"/>
        <w:widowControl/>
        <w:spacing w:after="60" w:line="259" w:lineRule="auto"/>
      </w:pPr>
      <w:r>
        <w:rPr>
          <w:rFonts w:ascii="Arimo" w:hAnsi="Arimo" w:eastAsia="Arimo"/>
        </w:rPr>
        <w:t>Положение о рейтинговом комитете и апелляциях.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Приложение 3. Нормативные и институциональные ориентиры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rPr>
          <w:tblHeader w:val="true"/>
        </w:trPr>
        <w:tc>
          <w:tcPr>
            <w:tcW w:type="dxa" w:w="2835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Источник</w:t>
            </w:r>
          </w:p>
        </w:tc>
        <w:tc>
          <w:tcPr>
            <w:tcW w:type="dxa" w:w="6690"/>
            <w:shd w:fill="D9ED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rimo" w:hAnsi="Arimo" w:eastAsia="Arimo"/>
                <w:b/>
                <w:color w:val="123E48"/>
                <w:sz w:val="16"/>
              </w:rPr>
              <w:t>Использование в концепции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ISO/IEC 17029:2019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Общие принципы и требования к органам валидации и верификации.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ISO 14065:2020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Органы, проверяющие экологическую информацию.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ISO 14066:2023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Компетентность команд и независимых рецензентов.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ISO 14019‑1:2026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Общие требования к проверке информации об устойчивости.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ISO 14019‑4:2026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Требования к органам проверки информации об устойчивости.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Росаккредитация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Национальный официальный контур аккредитации в России.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DAkkS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Пример национального органа аккредитации и аккредитации V/V по ISO/IEC 17029.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IAF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Механизм международного признания аккредитаций.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UNFCCC Article 6.4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rimo" w:hAnsi="Arimo" w:eastAsia="Arimo"/>
                <w:sz w:val="16"/>
              </w:rPr>
              <w:t>Международная модель аккредитации/признания DOE для климатических механизмов.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Verra VCS / Gold Standard</w:t>
            </w:r>
          </w:p>
        </w:tc>
        <w:tc>
          <w:tcPr>
            <w:tcW w:type="dxa" w:w="66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7FAF9"/>
          </w:tcPr>
          <w:p>
            <w:r>
              <w:rPr>
                <w:rFonts w:ascii="Arimo" w:hAnsi="Arimo" w:eastAsia="Arimo"/>
                <w:sz w:val="16"/>
              </w:rPr>
              <w:t>Программные модели VVB и независимой проверки климатических проектов.</w:t>
            </w:r>
          </w:p>
        </w:tc>
      </w:tr>
    </w:tbl>
    <w:p>
      <w:pPr>
        <w:widowControl/>
        <w:spacing w:after="40" w:line="259" w:lineRule="auto"/>
      </w:pPr>
    </w:p>
    <w:p>
      <w:pPr>
        <w:pStyle w:val="Heading2"/>
        <w:widowControl/>
        <w:spacing w:after="120" w:line="259" w:lineRule="auto"/>
      </w:pPr>
      <w:r>
        <w:rPr>
          <w:rFonts w:ascii="Arimo" w:hAnsi="Arimo" w:eastAsia="Arimo"/>
        </w:rPr>
        <w:t>Примечание об актуальности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Нормативные и программные требования меняются. Перед юридическим запуском Национального центра требуется актуальная правовая экспертиза конкретной юрисдикции, проверка действующих областей аккредитации и сопоставление версии ESG‑IR с применимыми национальными правилами.</w:t>
      </w:r>
    </w:p>
    <w:p>
      <w:pPr>
        <w:pStyle w:val="Heading1"/>
        <w:widowControl/>
        <w:spacing w:after="120" w:line="259" w:lineRule="auto"/>
      </w:pPr>
      <w:r>
        <w:rPr>
          <w:rFonts w:ascii="Arimo" w:hAnsi="Arimo" w:eastAsia="Arimo"/>
        </w:rPr>
        <w:t>Источники и официальные ориентиры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ISO — ISO/IEC 17029:2019, Conformity assessment — General principles and requirements for validation and verification bodies (iso.org).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ISO — ISO 14065:2020, General principles and requirements for bodies validating and verifying environmental information (iso.org).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ISO — ISO 14066:2023, Environmental information — Competence requirements for teams validating and verifying environmental information (iso.org).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ISO — ISO 14019‑1:2026 и ISO 14019‑4:2026, Sustainability information (iso.org).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Федеральная служба по аккредитации — материалы по органам валидации и верификации парниковых газов (fsa.gov.ru).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DAkkS — Validation and verification bodies / DIN EN ISO/IEC 17029; официальный сайт национального органа по аккредитации Германии (dakks.de).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International Accreditation Forum — документы MLA и требования к аккредитации органов V/V (iaf.nu).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UNFCCC — Article 6.4 mechanism: accreditation of Designated Operational Entities (unfccc.int).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Verra — Validation/Verification Bodies under the Verified Carbon Standard (verra.org).</w:t>
      </w:r>
    </w:p>
    <w:p>
      <w:pPr>
        <w:pStyle w:val="ListBullet"/>
        <w:widowControl/>
        <w:spacing w:after="60" w:line="259" w:lineRule="auto"/>
      </w:pPr>
      <w:r>
        <w:rPr>
          <w:rFonts w:ascii="Arimo" w:hAnsi="Arimo" w:eastAsia="Arimo"/>
        </w:rPr>
        <w:t>Gold Standard — Validation and Verification Standard and VVB requirements (globalgoals.goldstandard.org).</w:t>
      </w:r>
    </w:p>
    <w:p>
      <w:pPr>
        <w:widowControl/>
        <w:spacing w:after="120" w:line="259" w:lineRule="auto"/>
      </w:pPr>
      <w:r>
        <w:rPr>
          <w:rFonts w:ascii="Arimo" w:hAnsi="Arimo" w:eastAsia="Arimo"/>
        </w:rPr>
        <w:t>Дата справочного обновления источников: 22 августа 2026 года.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mo" w:hAnsi="Arimo" w:eastAsia="Arimo"/>
        <w:color w:val="6E7378"/>
        <w:sz w:val="16"/>
      </w:rPr>
      <w:t>Проект концептуального документа • редакция 1.0 • 22 августа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mo" w:hAnsi="Arimo" w:eastAsia="Arimo"/>
        <w:color w:val="5A696E"/>
        <w:sz w:val="16"/>
      </w:rPr>
      <w:t>ESG-IR 1.0  |  Национальная инфраструктура валидации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mo" w:hAnsi="Arimo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mo" w:hAnsi="Arimo"/>
      <w:b/>
      <w:bCs/>
      <w:color w:val="123E4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mo" w:hAnsi="Arimo"/>
      <w:b/>
      <w:bCs/>
      <w:color w:val="216A6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mo" w:hAnsi="Arimo"/>
      <w:b/>
      <w:bCs/>
      <w:color w:val="42565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mo" w:hAnsi="Arimo"/>
      <w:b/>
      <w:color w:val="123E4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