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ЭКВИЛИБРИУМ</w:t>
      </w:r>
    </w:p>
    <w:p>
      <w:pPr>
        <w:jc w:val="center"/>
      </w:pPr>
      <w:r>
        <w:rPr>
          <w:b/>
          <w:sz w:val="32"/>
        </w:rPr>
        <w:t>СКОРОСТНЫЕ СИСТЕМЫ И МАТЕРИАЛОВЕДЕНИЕ</w:t>
      </w:r>
    </w:p>
    <w:p>
      <w:pPr>
        <w:jc w:val="center"/>
      </w:pPr>
      <w:r>
        <w:rPr>
          <w:b/>
          <w:sz w:val="28"/>
        </w:rPr>
        <w:t>МИНЭНЕРГО РОССИИ</w:t>
      </w:r>
    </w:p>
    <w:p>
      <w:pPr>
        <w:jc w:val="center"/>
      </w:pPr>
      <w:r>
        <w:rPr>
          <w:i/>
        </w:rPr>
        <w:t>Ведомственная позиционная записка</w:t>
      </w:r>
    </w:p>
    <w:p>
      <w:r>
        <w:br w:type="page"/>
      </w:r>
    </w:p>
    <w:p>
      <w:pPr>
        <w:pStyle w:val="Heading1"/>
      </w:pPr>
      <w:r>
        <w:t>1. Предмет инициативы</w:t>
      </w:r>
    </w:p>
    <w:p>
      <w:r>
        <w:t>Обеспечение скоростных транспортных систем устойчивой, распределённой и управляемой энергетической инфраструктурой.</w:t>
      </w:r>
    </w:p>
    <w:p>
      <w:pPr>
        <w:pStyle w:val="Heading1"/>
      </w:pPr>
      <w:r>
        <w:t>2. Системная проблематика</w:t>
      </w:r>
    </w:p>
    <w:p>
      <w:pPr>
        <w:pStyle w:val="ListBullet"/>
      </w:pPr>
      <w:r>
        <w:t>рост мощности транспортных нагрузок</w:t>
      </w:r>
    </w:p>
    <w:p>
      <w:pPr>
        <w:pStyle w:val="ListBullet"/>
      </w:pPr>
      <w:r>
        <w:t>необходимость резервирования и накопления энергии</w:t>
      </w:r>
    </w:p>
    <w:p>
      <w:pPr>
        <w:pStyle w:val="ListBullet"/>
      </w:pPr>
      <w:r>
        <w:t>неравномерность потребления вдоль транспортных коридоров</w:t>
      </w:r>
    </w:p>
    <w:p>
      <w:pPr>
        <w:pStyle w:val="Heading1"/>
      </w:pPr>
      <w:r>
        <w:t>3. Предлагаемая роль ведомства</w:t>
      </w:r>
    </w:p>
    <w:p>
      <w:pPr>
        <w:pStyle w:val="ListBullet"/>
      </w:pPr>
      <w:r>
        <w:t>балансирование энергоснабжения новых транспортных коридоров</w:t>
      </w:r>
    </w:p>
    <w:p>
      <w:pPr>
        <w:pStyle w:val="ListBullet"/>
      </w:pPr>
      <w:r>
        <w:t>развитие накопителей, подстанций и локальной генерации</w:t>
      </w:r>
    </w:p>
    <w:p>
      <w:pPr>
        <w:pStyle w:val="ListBullet"/>
      </w:pPr>
      <w:r>
        <w:t>формирование требований к энергетической эффективности</w:t>
      </w:r>
    </w:p>
    <w:p>
      <w:pPr>
        <w:pStyle w:val="Heading1"/>
      </w:pPr>
      <w:r>
        <w:t>4. Комплекс первоочередных мер</w:t>
      </w:r>
    </w:p>
    <w:p>
      <w:pPr>
        <w:pStyle w:val="ListBullet"/>
      </w:pPr>
      <w:r>
        <w:t>энергетический паспорт скоростного коридора</w:t>
      </w:r>
    </w:p>
    <w:p>
      <w:pPr>
        <w:pStyle w:val="ListBullet"/>
      </w:pPr>
      <w:r>
        <w:t>накопители и гибридные системы питания</w:t>
      </w:r>
    </w:p>
    <w:p>
      <w:pPr>
        <w:pStyle w:val="ListBullet"/>
      </w:pPr>
      <w:r>
        <w:t>рекуперация и управление пиковыми нагрузками</w:t>
      </w:r>
    </w:p>
    <w:p>
      <w:pPr>
        <w:pStyle w:val="ListBullet"/>
      </w:pPr>
      <w:r>
        <w:t>интеграция с распределённой и низкоуглеродной генерацией</w:t>
      </w:r>
    </w:p>
    <w:p>
      <w:pPr>
        <w:pStyle w:val="Heading1"/>
      </w:pPr>
      <w:r>
        <w:t>5. Пилотный проект</w:t>
      </w:r>
    </w:p>
    <w:p>
      <w:r>
        <w:t>Энергетический микрогрид испытательного полигона с накоплением, резервированием и цифровым управлением нагрузкой.</w:t>
      </w:r>
    </w:p>
    <w:p>
      <w:pPr>
        <w:pStyle w:val="Heading1"/>
      </w:pPr>
      <w:r>
        <w:t>6. Ключевые показатели</w:t>
      </w:r>
    </w:p>
    <w:p>
      <w:pPr>
        <w:pStyle w:val="ListBullet"/>
      </w:pPr>
      <w:r>
        <w:t>кВт·ч на пассажиро- или тонно-километр</w:t>
      </w:r>
    </w:p>
    <w:p>
      <w:pPr>
        <w:pStyle w:val="ListBullet"/>
      </w:pPr>
      <w:r>
        <w:t>доля рекуперации</w:t>
      </w:r>
    </w:p>
    <w:p>
      <w:pPr>
        <w:pStyle w:val="ListBullet"/>
      </w:pPr>
      <w:r>
        <w:t>надёжность энергоснабжения</w:t>
      </w:r>
    </w:p>
    <w:p>
      <w:pPr>
        <w:pStyle w:val="ListBullet"/>
      </w:pPr>
      <w:r>
        <w:t>пиковая мощность и её сглаживание</w:t>
      </w:r>
    </w:p>
    <w:p>
      <w:pPr>
        <w:pStyle w:val="ListBullet"/>
      </w:pPr>
      <w:r>
        <w:t>доля отечественного оборудования</w:t>
      </w:r>
    </w:p>
    <w:p>
      <w:pPr>
        <w:pStyle w:val="Heading1"/>
      </w:pPr>
      <w:r>
        <w:t>7. Межведомственные интерфейсы</w:t>
      </w:r>
    </w:p>
    <w:p>
      <w:r>
        <w:t>Ведомственная программа реализуется не изолированно, а через единый межотраслевой контур «ЭКВИЛИБРИУМ», связывающий транспорт, промышленность, науку, цифровую инфраструктуру, энергетику, строительство, экономику и экологический мониторинг.</w:t>
      </w:r>
    </w:p>
    <w:p>
      <w:pPr>
        <w:pStyle w:val="Heading1"/>
      </w:pPr>
      <w:r>
        <w:t>8. Решения, предлагаемые к рассмотрению</w:t>
      </w:r>
    </w:p>
    <w:p>
      <w:pPr>
        <w:pStyle w:val="ListBullet"/>
      </w:pPr>
      <w:r>
        <w:t>определить профильного ответственного за участие ведомства в межотраслевой рабочей группе</w:t>
      </w:r>
    </w:p>
    <w:p>
      <w:pPr>
        <w:pStyle w:val="ListBullet"/>
      </w:pPr>
      <w:r>
        <w:t>сформировать перечень отраслевых технологий и проектов высокой готовности</w:t>
      </w:r>
    </w:p>
    <w:p>
      <w:pPr>
        <w:pStyle w:val="ListBullet"/>
      </w:pPr>
      <w:r>
        <w:t>выделить пилотный объект/коридор/полигон для апробации</w:t>
      </w:r>
    </w:p>
    <w:p>
      <w:pPr>
        <w:pStyle w:val="ListBullet"/>
      </w:pPr>
      <w:r>
        <w:t>подготовить предложения по нормативным, финансовым и организационным механизмам</w:t>
      </w:r>
    </w:p>
    <w:p>
      <w:pPr>
        <w:pStyle w:val="ListBullet"/>
      </w:pPr>
      <w:r>
        <w:t>включить результаты пилота в план масштабирования федеральной программы</w:t>
      </w:r>
    </w:p>
    <w:p>
      <w:pPr>
        <w:pStyle w:val="Heading1"/>
      </w:pPr>
      <w:r>
        <w:t>9. Итоговая формула</w:t>
      </w:r>
    </w:p>
    <w:p>
      <w:r>
        <w:t>ЭКВИЛИБРИУМ = государственный заказ + наука + материалы + промышленность + инфраструктура + данные + энергия + эксплуатация + измеримый эффект.</w:t>
      </w:r>
    </w:p>
    <w:sectPr w:rsidR="00FC693F" w:rsidRPr="0006063C" w:rsidSect="00034616"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b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