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4"/>
        </w:rPr>
        <w:t>ЭКВИЛИБРИУМ</w:t>
      </w:r>
    </w:p>
    <w:p>
      <w:pPr>
        <w:jc w:val="center"/>
      </w:pPr>
      <w:r>
        <w:rPr>
          <w:b/>
          <w:sz w:val="32"/>
        </w:rPr>
        <w:t>СКОРОСТНЫЕ СИСТЕМЫ И МАТЕРИАЛОВЕДЕНИЕ</w:t>
      </w:r>
    </w:p>
    <w:p>
      <w:pPr>
        <w:jc w:val="center"/>
      </w:pPr>
      <w:r>
        <w:rPr>
          <w:b/>
          <w:sz w:val="28"/>
        </w:rPr>
        <w:t>МИНЭКОНОМРАЗВИТИЯ РОССИИ</w:t>
      </w:r>
    </w:p>
    <w:p>
      <w:pPr>
        <w:jc w:val="center"/>
      </w:pPr>
      <w:r>
        <w:rPr>
          <w:i/>
        </w:rPr>
        <w:t>Ведомственная позиционная записка</w:t>
      </w:r>
    </w:p>
    <w:p>
      <w:r>
        <w:br w:type="page"/>
      </w:r>
    </w:p>
    <w:p>
      <w:pPr>
        <w:pStyle w:val="Heading1"/>
      </w:pPr>
      <w:r>
        <w:t>1. Предмет инициативы</w:t>
      </w:r>
    </w:p>
    <w:p>
      <w:r>
        <w:t>Формирование экономической, инвестиционной и регуляторной модели для новых скоростных транспортных систем.</w:t>
      </w:r>
    </w:p>
    <w:p>
      <w:pPr>
        <w:pStyle w:val="Heading1"/>
      </w:pPr>
      <w:r>
        <w:t>2. Системная проблематика</w:t>
      </w:r>
    </w:p>
    <w:p>
      <w:pPr>
        <w:pStyle w:val="ListBullet"/>
      </w:pPr>
      <w:r>
        <w:t>высокая капиталоёмкость проектов</w:t>
      </w:r>
    </w:p>
    <w:p>
      <w:pPr>
        <w:pStyle w:val="ListBullet"/>
      </w:pPr>
      <w:r>
        <w:t>неопределённость спроса и окупаемости новых технологий</w:t>
      </w:r>
    </w:p>
    <w:p>
      <w:pPr>
        <w:pStyle w:val="ListBullet"/>
      </w:pPr>
      <w:r>
        <w:t>отсутствие унифицированной оценки межотраслевых эффектов</w:t>
      </w:r>
    </w:p>
    <w:p>
      <w:pPr>
        <w:pStyle w:val="Heading1"/>
      </w:pPr>
      <w:r>
        <w:t>3. Предлагаемая роль ведомства</w:t>
      </w:r>
    </w:p>
    <w:p>
      <w:pPr>
        <w:pStyle w:val="ListBullet"/>
      </w:pPr>
      <w:r>
        <w:t>модель ГЧП и проектного финансирования</w:t>
      </w:r>
    </w:p>
    <w:p>
      <w:pPr>
        <w:pStyle w:val="ListBullet"/>
      </w:pPr>
      <w:r>
        <w:t>оценка социально-экономических эффектов</w:t>
      </w:r>
    </w:p>
    <w:p>
      <w:pPr>
        <w:pStyle w:val="ListBullet"/>
      </w:pPr>
      <w:r>
        <w:t>регуляторные эксперименты и специальные режимы</w:t>
      </w:r>
    </w:p>
    <w:p>
      <w:pPr>
        <w:pStyle w:val="Heading1"/>
      </w:pPr>
      <w:r>
        <w:t>4. Комплекс первоочередных мер</w:t>
      </w:r>
    </w:p>
    <w:p>
      <w:pPr>
        <w:pStyle w:val="ListBullet"/>
      </w:pPr>
      <w:r>
        <w:t>единая методика расчёта полного эффекта: время + логистика + агломерационные эффекты + промышленная локализация</w:t>
      </w:r>
    </w:p>
    <w:p>
      <w:pPr>
        <w:pStyle w:val="ListBullet"/>
      </w:pPr>
      <w:r>
        <w:t>фонд/механизм подготовки пилотов</w:t>
      </w:r>
    </w:p>
    <w:p>
      <w:pPr>
        <w:pStyle w:val="ListBullet"/>
      </w:pPr>
      <w:r>
        <w:t>регуляторная песочница для новых видов транспорта</w:t>
      </w:r>
    </w:p>
    <w:p>
      <w:pPr>
        <w:pStyle w:val="ListBullet"/>
      </w:pPr>
      <w:r>
        <w:t>портфель концессионных и ГЧП-моделей</w:t>
      </w:r>
    </w:p>
    <w:p>
      <w:pPr>
        <w:pStyle w:val="Heading1"/>
      </w:pPr>
      <w:r>
        <w:t>5. Пилотный проект</w:t>
      </w:r>
    </w:p>
    <w:p>
      <w:r>
        <w:t>Технико-экономическое обоснование коридора с несколькими технологиями и независимой оценкой сценариев спроса и стоимости жизненного цикла.</w:t>
      </w:r>
    </w:p>
    <w:p>
      <w:pPr>
        <w:pStyle w:val="Heading1"/>
      </w:pPr>
      <w:r>
        <w:t>6. Ключевые показатели</w:t>
      </w:r>
    </w:p>
    <w:p>
      <w:pPr>
        <w:pStyle w:val="ListBullet"/>
      </w:pPr>
      <w:r>
        <w:t>NPV/IRR при разных сценариях</w:t>
      </w:r>
    </w:p>
    <w:p>
      <w:pPr>
        <w:pStyle w:val="ListBullet"/>
      </w:pPr>
      <w:r>
        <w:t>частные инвестиции на рубль бюджетных вложений</w:t>
      </w:r>
    </w:p>
    <w:p>
      <w:pPr>
        <w:pStyle w:val="ListBullet"/>
      </w:pPr>
      <w:r>
        <w:t>сокращение времени перемещения</w:t>
      </w:r>
    </w:p>
    <w:p>
      <w:pPr>
        <w:pStyle w:val="ListBullet"/>
      </w:pPr>
      <w:r>
        <w:t>рост деловой активности территорий</w:t>
      </w:r>
    </w:p>
    <w:p>
      <w:pPr>
        <w:pStyle w:val="ListBullet"/>
      </w:pPr>
      <w:r>
        <w:t>бюджетный и мультипликативный эффект</w:t>
      </w:r>
    </w:p>
    <w:p>
      <w:pPr>
        <w:pStyle w:val="Heading1"/>
      </w:pPr>
      <w:r>
        <w:t>7. Межведомственные интерфейсы</w:t>
      </w:r>
    </w:p>
    <w:p>
      <w:r>
        <w:t>Ведомственная программа реализуется не изолированно, а через единый межотраслевой контур «ЭКВИЛИБРИУМ», связывающий транспорт, промышленность, науку, цифровую инфраструктуру, энергетику, строительство, экономику и экологический мониторинг.</w:t>
      </w:r>
    </w:p>
    <w:p>
      <w:pPr>
        <w:pStyle w:val="Heading1"/>
      </w:pPr>
      <w:r>
        <w:t>8. Решения, предлагаемые к рассмотрению</w:t>
      </w:r>
    </w:p>
    <w:p>
      <w:pPr>
        <w:pStyle w:val="ListBullet"/>
      </w:pPr>
      <w:r>
        <w:t>определить профильного ответственного за участие ведомства в межотраслевой рабочей группе</w:t>
      </w:r>
    </w:p>
    <w:p>
      <w:pPr>
        <w:pStyle w:val="ListBullet"/>
      </w:pPr>
      <w:r>
        <w:t>сформировать перечень отраслевых технологий и проектов высокой готовности</w:t>
      </w:r>
    </w:p>
    <w:p>
      <w:pPr>
        <w:pStyle w:val="ListBullet"/>
      </w:pPr>
      <w:r>
        <w:t>выделить пилотный объект/коридор/полигон для апробации</w:t>
      </w:r>
    </w:p>
    <w:p>
      <w:pPr>
        <w:pStyle w:val="ListBullet"/>
      </w:pPr>
      <w:r>
        <w:t>подготовить предложения по нормативным, финансовым и организационным механизмам</w:t>
      </w:r>
    </w:p>
    <w:p>
      <w:pPr>
        <w:pStyle w:val="ListBullet"/>
      </w:pPr>
      <w:r>
        <w:t>включить результаты пилота в план масштабирования федеральной программы</w:t>
      </w:r>
    </w:p>
    <w:p>
      <w:pPr>
        <w:pStyle w:val="Heading1"/>
      </w:pPr>
      <w:r>
        <w:t>9. Итоговая формула</w:t>
      </w:r>
    </w:p>
    <w:p>
      <w:r>
        <w:t>ЭКВИЛИБРИУМ = государственный заказ + наука + материалы + промышленность + инфраструктура + данные + энергия + эксплуатация + измеримый эффект.</w:t>
      </w:r>
    </w:p>
    <w:sectPr w:rsidR="00FC693F" w:rsidRPr="0006063C" w:rsidSect="00034616"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b w:val="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