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МИНЦИФРЫ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Создание единого цифрового контура управления скоростной транспортной инфраструктурой и данными жизненного цикла.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несовместимые информационные системы отраслей</w:t>
      </w:r>
    </w:p>
    <w:p>
      <w:pPr>
        <w:pStyle w:val="ListBullet"/>
      </w:pPr>
      <w:r>
        <w:t>фрагментарный сбор телеметрии</w:t>
      </w:r>
    </w:p>
    <w:p>
      <w:pPr>
        <w:pStyle w:val="ListBullet"/>
      </w:pPr>
      <w:r>
        <w:t>необходимость доверенной цифровой инфраструктуры для автономных транспортных систем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архитектура межведомственного обмена данными</w:t>
      </w:r>
    </w:p>
    <w:p>
      <w:pPr>
        <w:pStyle w:val="ListBullet"/>
      </w:pPr>
      <w:r>
        <w:t>требования к цифровой платформе, киберустойчивости и идентификации</w:t>
      </w:r>
    </w:p>
    <w:p>
      <w:pPr>
        <w:pStyle w:val="ListBullet"/>
      </w:pPr>
      <w:r>
        <w:t>развитие отечественного ПО, ИИ и цифровых двойников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платформа «ЭКВИЛИБРИУМ Скорость»</w:t>
      </w:r>
    </w:p>
    <w:p>
      <w:pPr>
        <w:pStyle w:val="ListBullet"/>
      </w:pPr>
      <w:r>
        <w:t>единые API и модель транспортных данных</w:t>
      </w:r>
    </w:p>
    <w:p>
      <w:pPr>
        <w:pStyle w:val="ListBullet"/>
      </w:pPr>
      <w:r>
        <w:t>цифровые двойники коридоров и инфраструктуры</w:t>
      </w:r>
    </w:p>
    <w:p>
      <w:pPr>
        <w:pStyle w:val="ListBullet"/>
      </w:pPr>
      <w:r>
        <w:t>ИИ-прогнозирование отказов и управления потоками</w:t>
      </w:r>
    </w:p>
    <w:p>
      <w:pPr>
        <w:pStyle w:val="Heading1"/>
      </w:pPr>
      <w:r>
        <w:t>5. Пилотный проект</w:t>
      </w:r>
    </w:p>
    <w:p>
      <w:r>
        <w:t>Цифровой двойник пилотного скоростного коридора с телеметрией, предиктивным обслуживанием и межведомственным ситуационным центром.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доля подключённых объектов</w:t>
      </w:r>
    </w:p>
    <w:p>
      <w:pPr>
        <w:pStyle w:val="ListBullet"/>
      </w:pPr>
      <w:r>
        <w:t>точность прогнозов отказов</w:t>
      </w:r>
    </w:p>
    <w:p>
      <w:pPr>
        <w:pStyle w:val="ListBullet"/>
      </w:pPr>
      <w:r>
        <w:t>снижение времени реагирования</w:t>
      </w:r>
    </w:p>
    <w:p>
      <w:pPr>
        <w:pStyle w:val="ListBullet"/>
      </w:pPr>
      <w:r>
        <w:t>доступность сервисов</w:t>
      </w:r>
    </w:p>
    <w:p>
      <w:pPr>
        <w:pStyle w:val="ListBullet"/>
      </w:pPr>
      <w:r>
        <w:t>доля отечественного ПО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