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ЭКВИЛИБРИУМ</w:t>
      </w:r>
    </w:p>
    <w:p>
      <w:pPr>
        <w:jc w:val="center"/>
      </w:pPr>
      <w:r>
        <w:rPr>
          <w:b/>
          <w:sz w:val="32"/>
        </w:rPr>
        <w:t>СКОРОСТНЫЕ СИСТЕМЫ И МАТЕРИАЛОВЕДЕНИЕ</w:t>
      </w:r>
    </w:p>
    <w:p>
      <w:pPr>
        <w:jc w:val="center"/>
      </w:pPr>
      <w:r>
        <w:rPr>
          <w:b/>
          <w:sz w:val="28"/>
        </w:rPr>
        <w:t>МИНТРАНС РОССИИ</w:t>
      </w:r>
    </w:p>
    <w:p>
      <w:pPr>
        <w:jc w:val="center"/>
      </w:pPr>
      <w:r>
        <w:rPr>
          <w:i/>
        </w:rPr>
        <w:t>Ведомственная позиционная записка</w:t>
      </w:r>
    </w:p>
    <w:p>
      <w:r>
        <w:br w:type="page"/>
      </w:r>
    </w:p>
    <w:p>
      <w:pPr>
        <w:pStyle w:val="Heading1"/>
      </w:pPr>
      <w:r>
        <w:t>1. Предмет инициативы</w:t>
      </w:r>
    </w:p>
    <w:p>
      <w:r>
        <w:t>Формирование национальной системы скоростного и сверхскоростного транспорта, интегрированной с действующей транспортной сетью.</w:t>
      </w:r>
    </w:p>
    <w:p>
      <w:pPr>
        <w:pStyle w:val="Heading1"/>
      </w:pPr>
      <w:r>
        <w:t>2. Системная проблематика</w:t>
      </w:r>
    </w:p>
    <w:p>
      <w:pPr>
        <w:pStyle w:val="ListBullet"/>
      </w:pPr>
      <w:r>
        <w:t>несвязанность отдельных видов транспорта и инфраструктурных проектов</w:t>
      </w:r>
    </w:p>
    <w:p>
      <w:pPr>
        <w:pStyle w:val="ListBullet"/>
      </w:pPr>
      <w:r>
        <w:t>необходимость перехода от отдельных объектов к коридорному управлению</w:t>
      </w:r>
    </w:p>
    <w:p>
      <w:pPr>
        <w:pStyle w:val="ListBullet"/>
      </w:pPr>
      <w:r>
        <w:t>дефицит единых требований к пилотам маглев, вакуумно-трубного и автоматизированного транспорта</w:t>
      </w:r>
    </w:p>
    <w:p>
      <w:pPr>
        <w:pStyle w:val="Heading1"/>
      </w:pPr>
      <w:r>
        <w:t>3. Предлагаемая роль ведомства</w:t>
      </w:r>
    </w:p>
    <w:p>
      <w:pPr>
        <w:pStyle w:val="ListBullet"/>
      </w:pPr>
      <w:r>
        <w:t>государственный заказчик транспортной архитектуры и пилотных коридоров</w:t>
      </w:r>
    </w:p>
    <w:p>
      <w:pPr>
        <w:pStyle w:val="ListBullet"/>
      </w:pPr>
      <w:r>
        <w:t>координация нормативной модели и интеграции с железнодорожной, автомобильной, авиационной и портовой инфраструктурой</w:t>
      </w:r>
    </w:p>
    <w:p>
      <w:pPr>
        <w:pStyle w:val="ListBullet"/>
      </w:pPr>
      <w:r>
        <w:t>формирование требований к безопасности, пропускной способности и интероперабельности</w:t>
      </w:r>
    </w:p>
    <w:p>
      <w:pPr>
        <w:pStyle w:val="Heading1"/>
      </w:pPr>
      <w:r>
        <w:t>4. Комплекс первоочередных мер</w:t>
      </w:r>
    </w:p>
    <w:p>
      <w:pPr>
        <w:pStyle w:val="ListBullet"/>
      </w:pPr>
      <w:r>
        <w:t>федеральная программа «Скоростные транспортные коридоры России»</w:t>
      </w:r>
    </w:p>
    <w:p>
      <w:pPr>
        <w:pStyle w:val="ListBullet"/>
      </w:pPr>
      <w:r>
        <w:t>федеральный испытательный полигон для маглев и Hyperloop-type систем</w:t>
      </w:r>
    </w:p>
    <w:p>
      <w:pPr>
        <w:pStyle w:val="ListBullet"/>
      </w:pPr>
      <w:r>
        <w:t>цифровой паспорт коридора и управление жизненным циклом</w:t>
      </w:r>
    </w:p>
    <w:p>
      <w:pPr>
        <w:pStyle w:val="ListBullet"/>
      </w:pPr>
      <w:r>
        <w:t>пилотная связка ВСМ + маглев + автоматизированная грузовая логистика</w:t>
      </w:r>
    </w:p>
    <w:p>
      <w:pPr>
        <w:pStyle w:val="Heading1"/>
      </w:pPr>
      <w:r>
        <w:t>5. Пилотный проект</w:t>
      </w:r>
    </w:p>
    <w:p>
      <w:r>
        <w:t>Пилотный коридор федерального значения с поэтапной проверкой ВСМ, маглев и вакуумно-трубных технологий на самостоятельных тестовых участках.</w:t>
      </w:r>
    </w:p>
    <w:p>
      <w:pPr>
        <w:pStyle w:val="Heading1"/>
      </w:pPr>
      <w:r>
        <w:t>6. Ключевые показатели</w:t>
      </w:r>
    </w:p>
    <w:p>
      <w:pPr>
        <w:pStyle w:val="ListBullet"/>
      </w:pPr>
      <w:r>
        <w:t>сокращение времени в пути</w:t>
      </w:r>
    </w:p>
    <w:p>
      <w:pPr>
        <w:pStyle w:val="ListBullet"/>
      </w:pPr>
      <w:r>
        <w:t>пропускная способность коридора</w:t>
      </w:r>
    </w:p>
    <w:p>
      <w:pPr>
        <w:pStyle w:val="ListBullet"/>
      </w:pPr>
      <w:r>
        <w:t>стоимость жизненного цикла</w:t>
      </w:r>
    </w:p>
    <w:p>
      <w:pPr>
        <w:pStyle w:val="ListBullet"/>
      </w:pPr>
      <w:r>
        <w:t>уровень локализации технологий</w:t>
      </w:r>
    </w:p>
    <w:p>
      <w:pPr>
        <w:pStyle w:val="ListBullet"/>
      </w:pPr>
      <w:r>
        <w:t>безопасность и готовность к масштабированию</w:t>
      </w:r>
    </w:p>
    <w:p>
      <w:pPr>
        <w:pStyle w:val="Heading1"/>
      </w:pPr>
      <w:r>
        <w:t>7. Межведомственные интерфейсы</w:t>
      </w:r>
    </w:p>
    <w:p>
      <w:r>
        <w:t>Ведомственная программа реализуется не изолированно, а через единый межотраслевой контур «ЭКВИЛИБРИУМ», связывающий транспорт, промышленность, науку, цифровую инфраструктуру, энергетику, строительство, экономику и экологический мониторинг.</w:t>
      </w:r>
    </w:p>
    <w:p>
      <w:pPr>
        <w:pStyle w:val="Heading1"/>
      </w:pPr>
      <w:r>
        <w:t>8. Решения, предлагаемые к рассмотрению</w:t>
      </w:r>
    </w:p>
    <w:p>
      <w:pPr>
        <w:pStyle w:val="ListBullet"/>
      </w:pPr>
      <w:r>
        <w:t>определить профильного ответственного за участие ведомства в межотраслевой рабочей группе</w:t>
      </w:r>
    </w:p>
    <w:p>
      <w:pPr>
        <w:pStyle w:val="ListBullet"/>
      </w:pPr>
      <w:r>
        <w:t>сформировать перечень отраслевых технологий и проектов высокой готовности</w:t>
      </w:r>
    </w:p>
    <w:p>
      <w:pPr>
        <w:pStyle w:val="ListBullet"/>
      </w:pPr>
      <w:r>
        <w:t>выделить пилотный объект/коридор/полигон для апробации</w:t>
      </w:r>
    </w:p>
    <w:p>
      <w:pPr>
        <w:pStyle w:val="ListBullet"/>
      </w:pPr>
      <w:r>
        <w:t>подготовить предложения по нормативным, финансовым и организационным механизмам</w:t>
      </w:r>
    </w:p>
    <w:p>
      <w:pPr>
        <w:pStyle w:val="ListBullet"/>
      </w:pPr>
      <w:r>
        <w:t>включить результаты пилота в план масштабирования федеральной программы</w:t>
      </w:r>
    </w:p>
    <w:p>
      <w:pPr>
        <w:pStyle w:val="Heading1"/>
      </w:pPr>
      <w:r>
        <w:t>9. Итоговая формула</w:t>
      </w:r>
    </w:p>
    <w:p>
      <w:r>
        <w:t>ЭКВИЛИБРИУМ = государственный заказ + наука + материалы + промышленность + инфраструктура + данные + энергия + эксплуатация + измеримый эффект.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