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ЭКВИЛИБРИУМ</w:t>
      </w:r>
    </w:p>
    <w:p>
      <w:pPr>
        <w:jc w:val="center"/>
      </w:pPr>
      <w:r>
        <w:rPr>
          <w:b/>
          <w:sz w:val="32"/>
        </w:rPr>
        <w:t>СКОРОСТНЫЕ СИСТЕМЫ И МАТЕРИАЛОВЕДЕНИЕ</w:t>
      </w:r>
    </w:p>
    <w:p>
      <w:pPr>
        <w:jc w:val="center"/>
      </w:pPr>
      <w:r>
        <w:rPr>
          <w:b/>
          <w:sz w:val="28"/>
        </w:rPr>
        <w:t>МИНПРОМТОРГ РОССИИ</w:t>
      </w:r>
    </w:p>
    <w:p>
      <w:pPr>
        <w:jc w:val="center"/>
      </w:pPr>
      <w:r>
        <w:rPr>
          <w:i/>
        </w:rPr>
        <w:t>Ведомственная позиционная записка</w:t>
      </w:r>
    </w:p>
    <w:p>
      <w:r>
        <w:br w:type="page"/>
      </w:r>
    </w:p>
    <w:p>
      <w:pPr>
        <w:pStyle w:val="Heading1"/>
      </w:pPr>
      <w:r>
        <w:t>1. Предмет инициативы</w:t>
      </w:r>
    </w:p>
    <w:p>
      <w:r>
        <w:t>Создание отечественной промышленной базы для скоростного транспорта и нового транспортного материаловедения.</w:t>
      </w:r>
    </w:p>
    <w:p>
      <w:pPr>
        <w:pStyle w:val="Heading1"/>
      </w:pPr>
      <w:r>
        <w:t>2. Системная проблематика</w:t>
      </w:r>
    </w:p>
    <w:p>
      <w:pPr>
        <w:pStyle w:val="ListBullet"/>
      </w:pPr>
      <w:r>
        <w:t>зависимость критических компонентов от зарубежных поставок</w:t>
      </w:r>
    </w:p>
    <w:p>
      <w:pPr>
        <w:pStyle w:val="ListBullet"/>
      </w:pPr>
      <w:r>
        <w:t>разрыв между НИОКР, опытным образцом и серийным производством</w:t>
      </w:r>
    </w:p>
    <w:p>
      <w:pPr>
        <w:pStyle w:val="ListBullet"/>
      </w:pPr>
      <w:r>
        <w:t>необходимость новых производств композитов, силовой электроники, магнитных систем и высокочистых материалов</w:t>
      </w:r>
    </w:p>
    <w:p>
      <w:pPr>
        <w:pStyle w:val="Heading1"/>
      </w:pPr>
      <w:r>
        <w:t>3. Предлагаемая роль ведомства</w:t>
      </w:r>
    </w:p>
    <w:p>
      <w:pPr>
        <w:pStyle w:val="ListBullet"/>
      </w:pPr>
      <w:r>
        <w:t>формирование промышленной кооперации и локализации</w:t>
      </w:r>
    </w:p>
    <w:p>
      <w:pPr>
        <w:pStyle w:val="ListBullet"/>
      </w:pPr>
      <w:r>
        <w:t>поддержка опытно-промышленного производства</w:t>
      </w:r>
    </w:p>
    <w:p>
      <w:pPr>
        <w:pStyle w:val="ListBullet"/>
      </w:pPr>
      <w:r>
        <w:t>координация производителей материалов, компонентов, транспортного машиностроения и оборудования</w:t>
      </w:r>
    </w:p>
    <w:p>
      <w:pPr>
        <w:pStyle w:val="Heading1"/>
      </w:pPr>
      <w:r>
        <w:t>4. Комплекс первоочередных мер</w:t>
      </w:r>
    </w:p>
    <w:p>
      <w:pPr>
        <w:pStyle w:val="ListBullet"/>
      </w:pPr>
      <w:r>
        <w:t>реестр критических транспортных материалов и компонентов</w:t>
      </w:r>
    </w:p>
    <w:p>
      <w:pPr>
        <w:pStyle w:val="ListBullet"/>
      </w:pPr>
      <w:r>
        <w:t>консорциумы по композитам, алюминию, керамике, магнитным системам и силовой электронике</w:t>
      </w:r>
    </w:p>
    <w:p>
      <w:pPr>
        <w:pStyle w:val="ListBullet"/>
      </w:pPr>
      <w:r>
        <w:t>механизмы СПИК, оффтейк-контрактов и долгосрочного заказа</w:t>
      </w:r>
    </w:p>
    <w:p>
      <w:pPr>
        <w:pStyle w:val="ListBullet"/>
      </w:pPr>
      <w:r>
        <w:t>серийная отработка модульных компонентов скоростного транспорта</w:t>
      </w:r>
    </w:p>
    <w:p>
      <w:pPr>
        <w:pStyle w:val="Heading1"/>
      </w:pPr>
      <w:r>
        <w:t>5. Пилотный проект</w:t>
      </w:r>
    </w:p>
    <w:p>
      <w:r>
        <w:t>Промышленный кластер компонентов для маглев, ВСМ и Hyperloop-type систем с полной цепочкой от материала до сертифицированного узла.</w:t>
      </w:r>
    </w:p>
    <w:p>
      <w:pPr>
        <w:pStyle w:val="Heading1"/>
      </w:pPr>
      <w:r>
        <w:t>6. Ключевые показатели</w:t>
      </w:r>
    </w:p>
    <w:p>
      <w:pPr>
        <w:pStyle w:val="ListBullet"/>
      </w:pPr>
      <w:r>
        <w:t>доля локализации</w:t>
      </w:r>
    </w:p>
    <w:p>
      <w:pPr>
        <w:pStyle w:val="ListBullet"/>
      </w:pPr>
      <w:r>
        <w:t>количество серийно освоенных компонентов</w:t>
      </w:r>
    </w:p>
    <w:p>
      <w:pPr>
        <w:pStyle w:val="ListBullet"/>
      </w:pPr>
      <w:r>
        <w:t>снижение себестоимости</w:t>
      </w:r>
    </w:p>
    <w:p>
      <w:pPr>
        <w:pStyle w:val="ListBullet"/>
      </w:pPr>
      <w:r>
        <w:t>экспортный потенциал</w:t>
      </w:r>
    </w:p>
    <w:p>
      <w:pPr>
        <w:pStyle w:val="ListBullet"/>
      </w:pPr>
      <w:r>
        <w:t>срок перехода НИОКР → серия</w:t>
      </w:r>
    </w:p>
    <w:p>
      <w:pPr>
        <w:pStyle w:val="Heading1"/>
      </w:pPr>
      <w:r>
        <w:t>7. Межведомственные интерфейсы</w:t>
      </w:r>
    </w:p>
    <w:p>
      <w:r>
        <w:t>Ведомственная программа реализуется не изолированно, а через единый межотраслевой контур «ЭКВИЛИБРИУМ», связывающий транспорт, промышленность, науку, цифровую инфраструктуру, энергетику, строительство, экономику и экологический мониторинг.</w:t>
      </w:r>
    </w:p>
    <w:p>
      <w:pPr>
        <w:pStyle w:val="Heading1"/>
      </w:pPr>
      <w:r>
        <w:t>8. Решения, предлагаемые к рассмотрению</w:t>
      </w:r>
    </w:p>
    <w:p>
      <w:pPr>
        <w:pStyle w:val="ListBullet"/>
      </w:pPr>
      <w:r>
        <w:t>определить профильного ответственного за участие ведомства в межотраслевой рабочей группе</w:t>
      </w:r>
    </w:p>
    <w:p>
      <w:pPr>
        <w:pStyle w:val="ListBullet"/>
      </w:pPr>
      <w:r>
        <w:t>сформировать перечень отраслевых технологий и проектов высокой готовности</w:t>
      </w:r>
    </w:p>
    <w:p>
      <w:pPr>
        <w:pStyle w:val="ListBullet"/>
      </w:pPr>
      <w:r>
        <w:t>выделить пилотный объект/коридор/полигон для апробации</w:t>
      </w:r>
    </w:p>
    <w:p>
      <w:pPr>
        <w:pStyle w:val="ListBullet"/>
      </w:pPr>
      <w:r>
        <w:t>подготовить предложения по нормативным, финансовым и организационным механизмам</w:t>
      </w:r>
    </w:p>
    <w:p>
      <w:pPr>
        <w:pStyle w:val="ListBullet"/>
      </w:pPr>
      <w:r>
        <w:t>включить результаты пилота в план масштабирования федеральной программы</w:t>
      </w:r>
    </w:p>
    <w:p>
      <w:pPr>
        <w:pStyle w:val="Heading1"/>
      </w:pPr>
      <w:r>
        <w:t>9. Итоговая формула</w:t>
      </w:r>
    </w:p>
    <w:p>
      <w:r>
        <w:t>ЭКВИЛИБРИУМ = государственный заказ + наука + материалы + промышленность + инфраструктура + данные + энергия + эксплуатация + измеримый эффект.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