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СКОРОСТНЫЕ СИСТЕМЫ И МАТЕРИАЛОВЕДЕНИЕ</w:t>
      </w:r>
    </w:p>
    <w:p>
      <w:pPr>
        <w:jc w:val="center"/>
      </w:pPr>
      <w:r>
        <w:rPr>
          <w:b/>
          <w:sz w:val="28"/>
        </w:rPr>
        <w:t>МИНОБРНАУКИ РОССИИ</w:t>
      </w:r>
    </w:p>
    <w:p>
      <w:pPr>
        <w:jc w:val="center"/>
      </w:pPr>
      <w:r>
        <w:rPr>
          <w:i/>
        </w:rPr>
        <w:t>Ведомственная позиционная записка</w:t>
      </w:r>
    </w:p>
    <w:p>
      <w:r>
        <w:br w:type="page"/>
      </w:r>
    </w:p>
    <w:p>
      <w:pPr>
        <w:pStyle w:val="Heading1"/>
      </w:pPr>
      <w:r>
        <w:t>1. Предмет инициативы</w:t>
      </w:r>
    </w:p>
    <w:p>
      <w:r>
        <w:t>Создание научно-технологической платформы для транспортных систем нового поколения и материалов с заданными свойствами.</w:t>
      </w:r>
    </w:p>
    <w:p>
      <w:pPr>
        <w:pStyle w:val="Heading1"/>
      </w:pPr>
      <w:r>
        <w:t>2. Системная проблематика</w:t>
      </w:r>
    </w:p>
    <w:p>
      <w:pPr>
        <w:pStyle w:val="ListBullet"/>
      </w:pPr>
      <w:r>
        <w:t>разобщённость научных школ и отраслевых заказчиков</w:t>
      </w:r>
    </w:p>
    <w:p>
      <w:pPr>
        <w:pStyle w:val="ListBullet"/>
      </w:pPr>
      <w:r>
        <w:t>недостаток масштабных испытательных программ</w:t>
      </w:r>
    </w:p>
    <w:p>
      <w:pPr>
        <w:pStyle w:val="ListBullet"/>
      </w:pPr>
      <w:r>
        <w:t>длительный цикл переноса результатов фундаментальных исследований в промышленность</w:t>
      </w:r>
    </w:p>
    <w:p>
      <w:pPr>
        <w:pStyle w:val="Heading1"/>
      </w:pPr>
      <w:r>
        <w:t>3. Предлагаемая роль ведомства</w:t>
      </w:r>
    </w:p>
    <w:p>
      <w:pPr>
        <w:pStyle w:val="ListBullet"/>
      </w:pPr>
      <w:r>
        <w:t>координация НИОКР и научных центров</w:t>
      </w:r>
    </w:p>
    <w:p>
      <w:pPr>
        <w:pStyle w:val="ListBullet"/>
      </w:pPr>
      <w:r>
        <w:t>формирование программ мегасайенс и прикладных исследований по транспортным материалам</w:t>
      </w:r>
    </w:p>
    <w:p>
      <w:pPr>
        <w:pStyle w:val="ListBullet"/>
      </w:pPr>
      <w:r>
        <w:t>подготовка кадров и междисциплинарных инженерных команд</w:t>
      </w:r>
    </w:p>
    <w:p>
      <w:pPr>
        <w:pStyle w:val="Heading1"/>
      </w:pPr>
      <w:r>
        <w:t>4. Комплекс первоочередных мер</w:t>
      </w:r>
    </w:p>
    <w:p>
      <w:pPr>
        <w:pStyle w:val="ListBullet"/>
      </w:pPr>
      <w:r>
        <w:t>научная программа «Физика и материалы скоростного транспорта»</w:t>
      </w:r>
    </w:p>
    <w:p>
      <w:pPr>
        <w:pStyle w:val="ListBullet"/>
      </w:pPr>
      <w:r>
        <w:t>центры компетенций по магнитной левитации, аэродинамике разреженных сред, композитам и цифровым двойникам</w:t>
      </w:r>
    </w:p>
    <w:p>
      <w:pPr>
        <w:pStyle w:val="ListBullet"/>
      </w:pPr>
      <w:r>
        <w:t>единый банк экспериментальных данных</w:t>
      </w:r>
    </w:p>
    <w:p>
      <w:pPr>
        <w:pStyle w:val="ListBullet"/>
      </w:pPr>
      <w:r>
        <w:t>целевые магистратуры и инженерные школы</w:t>
      </w:r>
    </w:p>
    <w:p>
      <w:pPr>
        <w:pStyle w:val="Heading1"/>
      </w:pPr>
      <w:r>
        <w:t>5. Пилотный проект</w:t>
      </w:r>
    </w:p>
    <w:p>
      <w:r>
        <w:t>Научно-испытательный консорциум университетов, НИИ и промышленности с открытой программой верификации ключевых технологий.</w:t>
      </w:r>
    </w:p>
    <w:p>
      <w:pPr>
        <w:pStyle w:val="Heading1"/>
      </w:pPr>
      <w:r>
        <w:t>6. Ключевые показатели</w:t>
      </w:r>
    </w:p>
    <w:p>
      <w:pPr>
        <w:pStyle w:val="ListBullet"/>
      </w:pPr>
      <w:r>
        <w:t>уровень технологической готовности TRL</w:t>
      </w:r>
    </w:p>
    <w:p>
      <w:pPr>
        <w:pStyle w:val="ListBullet"/>
      </w:pPr>
      <w:r>
        <w:t>число защищённых и внедрённых технологий</w:t>
      </w:r>
    </w:p>
    <w:p>
      <w:pPr>
        <w:pStyle w:val="ListBullet"/>
      </w:pPr>
      <w:r>
        <w:t>кадровый выпуск</w:t>
      </w:r>
    </w:p>
    <w:p>
      <w:pPr>
        <w:pStyle w:val="ListBullet"/>
      </w:pPr>
      <w:r>
        <w:t>патенты и лицензии</w:t>
      </w:r>
    </w:p>
    <w:p>
      <w:pPr>
        <w:pStyle w:val="ListBullet"/>
      </w:pPr>
      <w:r>
        <w:t>доля исследований, дошедших до промышленного пилота</w:t>
      </w:r>
    </w:p>
    <w:p>
      <w:pPr>
        <w:pStyle w:val="Heading1"/>
      </w:pPr>
      <w:r>
        <w:t>7. Межведомственные интерфейсы</w:t>
      </w:r>
    </w:p>
    <w:p>
      <w:r>
        <w:t>Ведомственная программа реализуется не изолированно, а через единый межотраслевой контур «ЭКВИЛИБРИУМ», связывающий транспорт, промышленность, науку, цифровую инфраструктуру, энергетику, строительство, экономику и экологический мониторинг.</w:t>
      </w:r>
    </w:p>
    <w:p>
      <w:pPr>
        <w:pStyle w:val="Heading1"/>
      </w:pPr>
      <w:r>
        <w:t>8. Решения, предлагаемые к рассмотрению</w:t>
      </w:r>
    </w:p>
    <w:p>
      <w:pPr>
        <w:pStyle w:val="ListBullet"/>
      </w:pPr>
      <w:r>
        <w:t>определить профильного ответственного за участие ведомства в межотраслевой рабочей группе</w:t>
      </w:r>
    </w:p>
    <w:p>
      <w:pPr>
        <w:pStyle w:val="ListBullet"/>
      </w:pPr>
      <w:r>
        <w:t>сформировать перечень отраслевых технологий и проектов высокой готовности</w:t>
      </w:r>
    </w:p>
    <w:p>
      <w:pPr>
        <w:pStyle w:val="ListBullet"/>
      </w:pPr>
      <w:r>
        <w:t>выделить пилотный объект/коридор/полигон для апробации</w:t>
      </w:r>
    </w:p>
    <w:p>
      <w:pPr>
        <w:pStyle w:val="ListBullet"/>
      </w:pPr>
      <w:r>
        <w:t>подготовить предложения по нормативным, финансовым и организационным механизмам</w:t>
      </w:r>
    </w:p>
    <w:p>
      <w:pPr>
        <w:pStyle w:val="ListBullet"/>
      </w:pPr>
      <w:r>
        <w:t>включить результаты пилота в план масштабирования федеральной программы</w:t>
      </w:r>
    </w:p>
    <w:p>
      <w:pPr>
        <w:pStyle w:val="Heading1"/>
      </w:pPr>
      <w:r>
        <w:t>9. Итоговая формула</w:t>
      </w:r>
    </w:p>
    <w:p>
      <w:r>
        <w:t>ЭКВИЛИБРИУМ = государственный заказ + наука + материалы + промышленность + инфраструктура + данные + энергия + эксплуатация + измеримый эффект.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