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ЭКВИЛИБРИУМ</w:t>
      </w:r>
    </w:p>
    <w:p>
      <w:pPr>
        <w:jc w:val="center"/>
      </w:pPr>
      <w:r>
        <w:rPr>
          <w:b/>
          <w:sz w:val="32"/>
        </w:rPr>
        <w:t>МЕЖОТРАСЛЕВОЙ ФЕДЕРАЛЬНЫЙ КОНТУР</w:t>
      </w:r>
    </w:p>
    <w:p>
      <w:pPr>
        <w:jc w:val="center"/>
      </w:pPr>
      <w:r>
        <w:rPr>
          <w:i/>
        </w:rPr>
        <w:t>Материаловедение • Транспорт • Скоростные системы</w:t>
      </w:r>
    </w:p>
    <w:p>
      <w:r>
        <w:br w:type="page"/>
      </w:r>
    </w:p>
    <w:p>
      <w:pPr>
        <w:pStyle w:val="Heading1"/>
      </w:pPr>
      <w:r>
        <w:t>1. Цель межотраслевого контура</w:t>
      </w:r>
    </w:p>
    <w:p>
      <w:r>
        <w:t>Единая программа «ЭКВИЛИБРИУМ: Материаловедение, транспорт и скоростные системы» как механизм координации министерств, науки, промышленности, инфраструктуры и регионов.</w:t>
      </w:r>
    </w:p>
    <w:p>
      <w:pPr>
        <w:pStyle w:val="Heading1"/>
      </w:pPr>
      <w:r>
        <w:t>2. Участники и функциональные роли</w:t>
      </w:r>
    </w:p>
    <w:p>
      <w:pPr>
        <w:pStyle w:val="ListBullet"/>
      </w:pPr>
      <w:r>
        <w:t>Минтранс России — транспортная архитектура и коридоры</w:t>
      </w:r>
    </w:p>
    <w:p>
      <w:pPr>
        <w:pStyle w:val="ListBullet"/>
      </w:pPr>
      <w:r>
        <w:t>Минпромторг России — промышленная кооперация и материалы</w:t>
      </w:r>
    </w:p>
    <w:p>
      <w:pPr>
        <w:pStyle w:val="ListBullet"/>
      </w:pPr>
      <w:r>
        <w:t>Минобрнауки России — НИОКР и кадры</w:t>
      </w:r>
    </w:p>
    <w:p>
      <w:pPr>
        <w:pStyle w:val="ListBullet"/>
      </w:pPr>
      <w:r>
        <w:t>Минцифры России — цифровая платформа и данные</w:t>
      </w:r>
    </w:p>
    <w:p>
      <w:pPr>
        <w:pStyle w:val="ListBullet"/>
      </w:pPr>
      <w:r>
        <w:t>Минэнерго России — энергоснабжение и накопление</w:t>
      </w:r>
    </w:p>
    <w:p>
      <w:pPr>
        <w:pStyle w:val="ListBullet"/>
      </w:pPr>
      <w:r>
        <w:t>Минэкономразвития России — экономика, ГЧП и регуляторика</w:t>
      </w:r>
    </w:p>
    <w:p>
      <w:pPr>
        <w:pStyle w:val="ListBullet"/>
      </w:pPr>
      <w:r>
        <w:t>Минстрой России — линейная инфраструктура и строительные технологии</w:t>
      </w:r>
    </w:p>
    <w:p>
      <w:pPr>
        <w:pStyle w:val="ListBullet"/>
      </w:pPr>
      <w:r>
        <w:t>Минприроды России — экологические ограничения и мониторинг</w:t>
      </w:r>
    </w:p>
    <w:p>
      <w:pPr>
        <w:pStyle w:val="ListBullet"/>
      </w:pPr>
      <w:r>
        <w:t>МЧС России, Ростехнадзор, Росстандарт и иные органы — безопасность, нормы, испытания и сертификация</w:t>
      </w:r>
    </w:p>
    <w:p>
      <w:pPr>
        <w:pStyle w:val="Heading1"/>
      </w:pPr>
      <w:r>
        <w:t>3. Система управления</w:t>
      </w:r>
    </w:p>
    <w:p>
      <w:pPr>
        <w:pStyle w:val="ListBullet"/>
      </w:pPr>
      <w:r>
        <w:t>межведомственный координационный совет</w:t>
      </w:r>
    </w:p>
    <w:p>
      <w:pPr>
        <w:pStyle w:val="ListBullet"/>
      </w:pPr>
      <w:r>
        <w:t>научно-технический совет</w:t>
      </w:r>
    </w:p>
    <w:p>
      <w:pPr>
        <w:pStyle w:val="ListBullet"/>
      </w:pPr>
      <w:r>
        <w:t>дирекция федерального пилота</w:t>
      </w:r>
    </w:p>
    <w:p>
      <w:pPr>
        <w:pStyle w:val="ListBullet"/>
      </w:pPr>
      <w:r>
        <w:t>единый офис данных и цифрового двойника</w:t>
      </w:r>
    </w:p>
    <w:p>
      <w:pPr>
        <w:pStyle w:val="ListBullet"/>
      </w:pPr>
      <w:r>
        <w:t>совет промышленных партнёров и инвесторов</w:t>
      </w:r>
    </w:p>
    <w:p>
      <w:pPr>
        <w:pStyle w:val="Heading1"/>
      </w:pPr>
      <w:r>
        <w:t>4. Девять технологических контуров</w:t>
      </w:r>
    </w:p>
    <w:p>
      <w:pPr>
        <w:pStyle w:val="ListBullet"/>
      </w:pPr>
      <w:r>
        <w:t>скоростные пассажирские системы</w:t>
      </w:r>
    </w:p>
    <w:p>
      <w:pPr>
        <w:pStyle w:val="ListBullet"/>
      </w:pPr>
      <w:r>
        <w:t>скоростные грузовые коридоры</w:t>
      </w:r>
    </w:p>
    <w:p>
      <w:pPr>
        <w:pStyle w:val="ListBullet"/>
      </w:pPr>
      <w:r>
        <w:t>магнитная левитация</w:t>
      </w:r>
    </w:p>
    <w:p>
      <w:pPr>
        <w:pStyle w:val="ListBullet"/>
      </w:pPr>
      <w:r>
        <w:t>Hyperloop-type и разреженно-трубные технологии</w:t>
      </w:r>
    </w:p>
    <w:p>
      <w:pPr>
        <w:pStyle w:val="ListBullet"/>
      </w:pPr>
      <w:r>
        <w:t>материаловедение и новые конструкционные материалы</w:t>
      </w:r>
    </w:p>
    <w:p>
      <w:pPr>
        <w:pStyle w:val="ListBullet"/>
      </w:pPr>
      <w:r>
        <w:t>энергетика и накопители</w:t>
      </w:r>
    </w:p>
    <w:p>
      <w:pPr>
        <w:pStyle w:val="ListBullet"/>
      </w:pPr>
      <w:r>
        <w:t>цифровые двойники, ИИ и управление</w:t>
      </w:r>
    </w:p>
    <w:p>
      <w:pPr>
        <w:pStyle w:val="ListBullet"/>
      </w:pPr>
      <w:r>
        <w:t>экология и биоценозный мониторинг</w:t>
      </w:r>
    </w:p>
    <w:p>
      <w:pPr>
        <w:pStyle w:val="ListBullet"/>
      </w:pPr>
      <w:r>
        <w:t>сертификация, стандарты и безопасность</w:t>
      </w:r>
    </w:p>
    <w:p>
      <w:pPr>
        <w:pStyle w:val="Heading1"/>
      </w:pPr>
      <w:r>
        <w:t>5. Единый цикл реализации</w:t>
      </w:r>
    </w:p>
    <w:p>
      <w:r>
        <w:t>Потребность государства → научно-техническое задание → НИОКР → материал/компонент → испытания → сертификация → демонстратор → пилотный коридор → серийное производство → эксплуатация → цифровой мониторинг → масштабирование.</w:t>
      </w:r>
    </w:p>
    <w:p>
      <w:pPr>
        <w:pStyle w:val="Heading1"/>
      </w:pPr>
      <w:r>
        <w:t>6. Этапы</w:t>
      </w:r>
    </w:p>
    <w:p>
      <w:pPr>
        <w:pStyle w:val="ListBullet"/>
      </w:pPr>
      <w:r>
        <w:t>0–12 месяцев: аудит технологий, ТЭО, выбор полигона и коридоров</w:t>
      </w:r>
    </w:p>
    <w:p>
      <w:pPr>
        <w:pStyle w:val="ListBullet"/>
      </w:pPr>
      <w:r>
        <w:t>1–3 года: федеральный полигон и пакет технологических демонстраторов</w:t>
      </w:r>
    </w:p>
    <w:p>
      <w:pPr>
        <w:pStyle w:val="ListBullet"/>
      </w:pPr>
      <w:r>
        <w:t>3–7 лет: пилотные коммерческие участки и промышленная локализация</w:t>
      </w:r>
    </w:p>
    <w:p>
      <w:pPr>
        <w:pStyle w:val="ListBullet"/>
      </w:pPr>
      <w:r>
        <w:t>7+ лет: масштабирование в сеть стратегических транспортных коридоров</w:t>
      </w:r>
    </w:p>
    <w:p>
      <w:pPr>
        <w:pStyle w:val="Heading1"/>
      </w:pPr>
      <w:r>
        <w:t>7. Показатели федерального уровня</w:t>
      </w:r>
    </w:p>
    <w:p>
      <w:pPr>
        <w:pStyle w:val="ListBullet"/>
      </w:pPr>
      <w:r>
        <w:t>скорость перехода технологии от TRL 4–6 к TRL 8–9</w:t>
      </w:r>
    </w:p>
    <w:p>
      <w:pPr>
        <w:pStyle w:val="ListBullet"/>
      </w:pPr>
      <w:r>
        <w:t>доля российских материалов и компонентов</w:t>
      </w:r>
    </w:p>
    <w:p>
      <w:pPr>
        <w:pStyle w:val="ListBullet"/>
      </w:pPr>
      <w:r>
        <w:t>стоимость жизненного цикла</w:t>
      </w:r>
    </w:p>
    <w:p>
      <w:pPr>
        <w:pStyle w:val="ListBullet"/>
      </w:pPr>
      <w:r>
        <w:t>безопасность и надёжность</w:t>
      </w:r>
    </w:p>
    <w:p>
      <w:pPr>
        <w:pStyle w:val="ListBullet"/>
      </w:pPr>
      <w:r>
        <w:t>экономический эффект на территории</w:t>
      </w:r>
    </w:p>
    <w:p>
      <w:pPr>
        <w:pStyle w:val="ListBullet"/>
      </w:pPr>
      <w:r>
        <w:t>экологическая эффективность</w:t>
      </w:r>
    </w:p>
    <w:p>
      <w:pPr>
        <w:pStyle w:val="ListBullet"/>
      </w:pPr>
      <w:r>
        <w:t>экспортный потенциал</w:t>
      </w:r>
    </w:p>
    <w:p>
      <w:pPr>
        <w:pStyle w:val="Heading1"/>
      </w:pPr>
      <w:r>
        <w:t>8. Организационное решение</w:t>
      </w:r>
    </w:p>
    <w:p>
      <w:r>
        <w:t>Предлагается сформировать межведомственную рабочую группу федерального уровня и дирекцию пилотной программы с единой системой проектного управления, цифровой моделью, реестром технологий и прозрачной системой контрольных показателей.</w:t>
      </w:r>
    </w:p>
    <w:p>
      <w:pPr>
        <w:pStyle w:val="Heading1"/>
      </w:pPr>
      <w:r>
        <w:t>9. Предлагаемый первый результат</w:t>
      </w:r>
    </w:p>
    <w:p>
      <w:r>
        <w:t>В течение первого года — федеральное ТЭО, выбор полигона, перечень 20–30 критических технологий и материалов, архитектура цифрового двойника, нормативная дорожная карта и пакет 3–5 демонстрационных проектов.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