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7365D"/>
          <w:sz w:val="44"/>
        </w:rPr>
        <w:t>ЭКВИЛИБРИУМ</w:t>
      </w:r>
    </w:p>
    <w:p>
      <w:pPr>
        <w:jc w:val="center"/>
      </w:pPr>
      <w:r>
        <w:rPr>
          <w:rFonts w:ascii="Arial" w:hAnsi="Arial"/>
          <w:b/>
          <w:sz w:val="40"/>
        </w:rPr>
        <w:t>ТРАНСПОРТНО-ПРОМЫШЛЕННЫЙ КОНТУР РОССИИ 2035–2050</w:t>
      </w:r>
    </w:p>
    <w:p>
      <w:pPr>
        <w:jc w:val="center"/>
      </w:pPr>
      <w:r>
        <w:rPr>
          <w:i/>
          <w:sz w:val="26"/>
        </w:rPr>
        <w:t>Единый государственный межотраслевой мастер-документ</w:t>
      </w:r>
    </w:p>
    <w:p/>
    <w:p>
      <w:pPr>
        <w:jc w:val="center"/>
      </w:pPr>
      <w:r>
        <w:rPr>
          <w:sz w:val="22"/>
        </w:rPr>
        <w:t>Транспорт • промышленность • материаловедение • энергетика • цифровая инфраструктура • наука • безопасность • экология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Статус</w:t>
            </w:r>
          </w:p>
        </w:tc>
        <w:tc>
          <w:tcPr>
            <w:tcW w:type="dxa" w:w="4986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Проект стратегической концепции</w:t>
            </w:r>
          </w:p>
        </w:tc>
      </w:tr>
      <w:tr>
        <w:tc>
          <w:tcPr>
            <w:tcW w:type="dxa" w:w="4986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Горизонт</w:t>
            </w:r>
          </w:p>
        </w:tc>
        <w:tc>
          <w:tcPr>
            <w:tcW w:type="dxa" w:w="4986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2035–2050</w:t>
            </w:r>
          </w:p>
        </w:tc>
      </w:tr>
      <w:tr>
        <w:tc>
          <w:tcPr>
            <w:tcW w:type="dxa" w:w="4986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Базовая рамка</w:t>
            </w:r>
          </w:p>
        </w:tc>
        <w:tc>
          <w:tcPr>
            <w:tcW w:type="dxa" w:w="4986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Транспортная стратегия РФ до 2030 года с прогнозом до 2035 года</w:t>
            </w:r>
          </w:p>
        </w:tc>
      </w:tr>
      <w:tr>
        <w:tc>
          <w:tcPr>
            <w:tcW w:type="dxa" w:w="4986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Назначение</w:t>
            </w:r>
          </w:p>
        </w:tc>
        <w:tc>
          <w:tcPr>
            <w:tcW w:type="dxa" w:w="4986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Межведомственная координация и формирование портфеля технологических проектов</w:t>
            </w:r>
          </w:p>
        </w:tc>
      </w:tr>
    </w:tbl>
    <w:p/>
    <w:p>
      <w:pPr>
        <w:jc w:val="center"/>
      </w:pPr>
      <w:r>
        <w:rPr>
          <w:color w:val="5A5A5A"/>
          <w:sz w:val="20"/>
        </w:rPr>
        <w:t>Россия, 2026</w:t>
      </w:r>
    </w:p>
    <w:p>
      <w:r>
        <w:br w:type="page"/>
      </w:r>
    </w:p>
    <w:p>
      <w:pPr>
        <w:pStyle w:val="Heading1"/>
      </w:pPr>
      <w:r>
        <w:t>1. Статус и назначение мастер-документа</w:t>
      </w:r>
    </w:p>
    <w:p>
      <w:pPr>
        <w:spacing w:after="100" w:line="259" w:lineRule="auto"/>
      </w:pPr>
      <w:r>
        <w:rPr>
          <w:rFonts w:ascii="Arial" w:hAnsi="Arial"/>
          <w:sz w:val="21"/>
        </w:rPr>
        <w:t>Настоящий документ формирует проект целевой межотраслевой архитектуры «Транспортно-промышленный контур России 2035–2050». Он не заменяет действующие государственные стратегии и программы, а предлагает надстроечный механизм координации транспорта, промышленности, науки, энергетики, цифровой инфраструктуры, строительства, экологии и механизмов финансирования.</w:t>
      </w:r>
    </w:p>
    <w:p>
      <w:pPr>
        <w:spacing w:after="100" w:line="259" w:lineRule="auto"/>
      </w:pPr>
      <w:r>
        <w:rPr>
          <w:rFonts w:ascii="Arial" w:hAnsi="Arial"/>
          <w:sz w:val="21"/>
        </w:rPr>
        <w:t>Горизонт до 2035 года рассматривается как опорный относительно действующей Транспортной стратегии Российской Федерации до 2030 года с прогнозом на период до 2035 года. Горизонт 2035–2050 является предлагаемой рамкой последующего технологического и инфраструктурного развития и подлежит отдельному государственному стратегическому утверждению.</w:t>
      </w:r>
    </w:p>
    <w:p>
      <w:pPr>
        <w:pStyle w:val="Heading1"/>
      </w:pPr>
      <w:r>
        <w:t>2. Государственная постановка задачи</w:t>
      </w:r>
    </w:p>
    <w:p>
      <w:pPr>
        <w:spacing w:after="100" w:line="259" w:lineRule="auto"/>
      </w:pPr>
      <w:r>
        <w:rPr>
          <w:rFonts w:ascii="Arial" w:hAnsi="Arial"/>
          <w:sz w:val="21"/>
        </w:rPr>
        <w:t>К 2050 году транспорт должен рассматриваться не как совокупность отдельных видов перевозок, а как единая производственно-логистическая система страны, в которой транспортные коридоры, промышленность, материалы, энергетика, связь, данные и территориальное развитие проектируются совместно.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обеспечение связанности территории и устойчивости экономики;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формирование технологического суверенитета в критических транспортных технологиях;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снижение зависимости от импортных материалов, компонентов, программно-аппаратных платформ и сервисного оборудования;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ускорение внедрения высокоскоростного, автоматизированного и низкоуглеродного транспорта там, где доказана экономическая и технологическая целесообразность;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создание условий для серийного производства отечественной транспортной техники и инфраструктурных систем;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повышение устойчивости транспортной инфраструктуры к чрезвычайным ситуациям, климатическим и технологическим рискам.</w:t>
      </w:r>
    </w:p>
    <w:p>
      <w:pPr>
        <w:pStyle w:val="Heading1"/>
      </w:pPr>
      <w:r>
        <w:t>3. Целевая модель: от отраслей к единому контуру</w:t>
      </w:r>
    </w:p>
    <w:p>
      <w:pPr>
        <w:spacing w:after="100" w:line="259" w:lineRule="auto"/>
      </w:pPr>
      <w:r>
        <w:rPr>
          <w:rFonts w:ascii="Arial" w:hAnsi="Arial"/>
          <w:sz w:val="21"/>
        </w:rPr>
        <w:t>Целевая модель строится по принципу сквозного жизненного цикла: государственная потребность → научно-техническое задание → материал и технология → производство → транспортная инфраструктура → эксплуатация → цифровой мониторинг → ремонт и модернизация → повторное использование и утилизация.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Контур</w:t>
            </w:r>
          </w:p>
        </w:tc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Что объединяет</w:t>
            </w:r>
          </w:p>
        </w:tc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Главная функция</w:t>
            </w:r>
          </w:p>
        </w:tc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Результат к 2050</w:t>
            </w:r>
          </w:p>
        </w:tc>
      </w:tr>
      <w:tr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Транспортный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железные дороги, автодороги, авиация, флот, городской транспорт, логистика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единая сеть и пропускная способность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связанность и скорость</w:t>
            </w:r>
          </w:p>
        </w:tc>
      </w:tr>
      <w:tr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Промышленный</w:t>
            </w:r>
          </w:p>
        </w:tc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машиностроение, приборостроение, электроника, стройиндустрия</w:t>
            </w:r>
          </w:p>
        </w:tc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серийность и локализация</w:t>
            </w:r>
          </w:p>
        </w:tc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технологическая независимость</w:t>
            </w:r>
          </w:p>
        </w:tc>
      </w:tr>
      <w:tr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Материаловедческий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сплавы, композиты, керамика, покрытия, аккумуляторные материалы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ресурс и характеристики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снижение массы и стоимости жизненного цикла</w:t>
            </w:r>
          </w:p>
        </w:tc>
      </w:tr>
      <w:tr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Энергетический</w:t>
            </w:r>
          </w:p>
        </w:tc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электросети, тяговая энергетика, зарядная и водородная инфраструктура</w:t>
            </w:r>
          </w:p>
        </w:tc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энергообеспечение</w:t>
            </w:r>
          </w:p>
        </w:tc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масштабируемая энергетическая база</w:t>
            </w:r>
          </w:p>
        </w:tc>
      </w:tr>
      <w:tr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Цифровой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данные, ИИ, цифровые двойники, связь, киберустойчивость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управление в реальном времени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предиктивность и координация</w:t>
            </w:r>
          </w:p>
        </w:tc>
      </w:tr>
      <w:tr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Научный</w:t>
            </w:r>
          </w:p>
        </w:tc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НИОКР, испытания, полигоны, сертификация</w:t>
            </w:r>
          </w:p>
        </w:tc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ускорение TRL</w:t>
            </w:r>
          </w:p>
        </w:tc>
        <w:tc>
          <w:tcPr>
            <w:tcW w:type="dxa" w:w="2493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быстрое внедрение</w:t>
            </w:r>
          </w:p>
        </w:tc>
      </w:tr>
      <w:tr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Территориальный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агломерации, опорные населенные пункты, порты, хабы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связь транспорта и расселения</w:t>
            </w:r>
          </w:p>
        </w:tc>
        <w:tc>
          <w:tcPr>
            <w:tcW w:type="dxa" w:w="2493"/>
            <w:vAlign w:val="center"/>
            <w:shd w:fill="EEF4F8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рост доступности и деловой активности</w:t>
            </w:r>
          </w:p>
        </w:tc>
      </w:tr>
    </w:tbl>
    <w:p>
      <w:pPr>
        <w:pStyle w:val="Heading1"/>
      </w:pPr>
      <w:r>
        <w:t>4. Приоритетные транспортные системы</w:t>
      </w:r>
    </w:p>
    <w:p>
      <w:pPr>
        <w:pStyle w:val="Heading2"/>
      </w:pPr>
      <w:r>
        <w:t>4.1. Железнодорожный и высокоскоростной контур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развитие магистральных и высокоскоростных железнодорожных коридоров;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цифровое управление пропускной способностью и графиком;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отечественная тяга, вагоностроение, путевые системы и материалы;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мультимодальная интеграция с авиацией, автотранспортом и городскими системами.</w:t>
      </w:r>
    </w:p>
    <w:p>
      <w:pPr>
        <w:pStyle w:val="Heading2"/>
      </w:pPr>
      <w:r>
        <w:t>4.2. Автомобильный и автономный транспорт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развитие опорной дорожной сети и интеллектуальных транспортных систем;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электрификация и альтернативные силовые установки по экономически обоснованным сегментам;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автоматизированные грузовые перевозки на подготовленных коридорах;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цифровой контроль технического состояния инфраструктуры.</w:t>
      </w:r>
    </w:p>
    <w:p>
      <w:pPr>
        <w:pStyle w:val="Heading2"/>
      </w:pPr>
      <w:r>
        <w:t>4.3. Авиационный контур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региональная авиационная доступность;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развитие отечественной авиационной техники и материалов;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интеграция аэропортов в транспортно-логистические узлы;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беспилотные авиационные системы в гражданских и специальных разрешённых сценариях.</w:t>
      </w:r>
    </w:p>
    <w:p>
      <w:pPr>
        <w:pStyle w:val="Heading2"/>
      </w:pPr>
      <w:r>
        <w:t>4.4. Морской, речной и арктический контур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портовые и терминальные мощности;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Северный морской путь и арктическая устойчивость инфраструктуры;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речная логистика и развитие внутренних водных путей;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судовые материалы, энергетические установки и цифровая навигация.</w:t>
      </w:r>
    </w:p>
    <w:p>
      <w:pPr>
        <w:pStyle w:val="Heading2"/>
      </w:pPr>
      <w:r>
        <w:t>4.5. Скоростные системы следующего поколения</w:t>
      </w:r>
    </w:p>
    <w:p>
      <w:pPr>
        <w:spacing w:after="100" w:line="259" w:lineRule="auto"/>
      </w:pPr>
      <w:r>
        <w:rPr>
          <w:rFonts w:ascii="Arial" w:hAnsi="Arial"/>
          <w:sz w:val="21"/>
        </w:rPr>
        <w:t>Маглев, вакуумно-трубные транспортные системы и решения класса Hyperloop должны рассматриваться прежде всего как научно-технологическое направление с последовательной валидацией безопасности, энергетики, экономики и ремонтопригодности. До подтверждения этих параметров корректная государственная модель — испытательный полигон, НИОКР и демонстратор, а не заранее заявленное массовое строительство.</w:t>
      </w:r>
    </w:p>
    <w:p>
      <w:pPr>
        <w:pStyle w:val="Heading1"/>
      </w:pPr>
      <w:r>
        <w:t>5. Промышленная архитектура</w:t>
      </w:r>
    </w:p>
    <w:p>
      <w:pPr>
        <w:spacing w:after="100" w:line="259" w:lineRule="auto"/>
      </w:pPr>
      <w:r>
        <w:rPr>
          <w:rFonts w:ascii="Arial" w:hAnsi="Arial"/>
          <w:sz w:val="21"/>
        </w:rPr>
        <w:t>Транспортный заказ должен использоваться как механизм развития отечественной промышленности. Для каждого крупного инфраструктурного проекта целесообразно формировать промышленную карту: критические материалы → компоненты → оборудование → производственные мощности → сервис → кадры.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транспортное машиностроение и тяговое оборудование;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двигатели, силовая электроника, аккумуляторные системы;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рельсовая и дорожная техника, мостовые и тоннельные системы;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связь, навигация, датчики, вычислительная техника и программное обеспечение;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портовое, аэропортовое и логистическое оборудование;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ремонтная и сервисная инфраструктура полного жизненного цикла.</w:t>
      </w:r>
    </w:p>
    <w:p>
      <w:pPr>
        <w:pStyle w:val="Heading1"/>
      </w:pPr>
      <w:r>
        <w:t>6. Материаловедение как сквозная технология</w:t>
      </w:r>
    </w:p>
    <w:p>
      <w:pPr>
        <w:spacing w:after="100" w:line="259" w:lineRule="auto"/>
      </w:pPr>
      <w:r>
        <w:rPr>
          <w:rFonts w:ascii="Arial" w:hAnsi="Arial"/>
          <w:sz w:val="21"/>
        </w:rPr>
        <w:t>Национальный проект «Новые материалы и химия» создаёт актуальную государственную рамку для развития композитов, перспективных материалов и наукоёмких технологий. В мастер-контуре транспорт выступает крупным квалифицированным заказчиком для материаловедческой отрасли.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1F4E78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Материал / технология</w:t>
            </w:r>
          </w:p>
        </w:tc>
        <w:tc>
          <w:tcPr>
            <w:tcW w:type="dxa" w:w="2493"/>
            <w:vAlign w:val="center"/>
            <w:shd w:fill="1F4E78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Транспортное применение</w:t>
            </w:r>
          </w:p>
        </w:tc>
        <w:tc>
          <w:tcPr>
            <w:tcW w:type="dxa" w:w="2493"/>
            <w:vAlign w:val="center"/>
            <w:shd w:fill="1F4E78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Проверяемый эффект</w:t>
            </w:r>
          </w:p>
        </w:tc>
        <w:tc>
          <w:tcPr>
            <w:tcW w:type="dxa" w:w="2493"/>
            <w:vAlign w:val="center"/>
            <w:shd w:fill="1F4E78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Критерий допуска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высокопрочные стали и сплавы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рельсы, мосты, кузова, силовые узлы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ресурс, снижение массы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стендовые и натурные испытания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алюминий и магний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авиация, кузова, электротранспорт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масса и энергоэффективность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ресурс и коррозионная стойкость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композиты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авиация, вагоны, мостовые элементы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масса, ремонтопригодность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сертификация и пожаробезопасность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керамика и сверхчистые оксиды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электроника, изоляция, покрытия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температурная стойкость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технологическая повторяемость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аккумуляторные материалы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электротранспорт, накопители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удельная энергия, цикл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безопасность и переработка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стабилизация грунтов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дороги, площадки, основания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сроки и стоимость строительства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геотехническая валидация</w:t>
            </w:r>
          </w:p>
        </w:tc>
      </w:tr>
    </w:tbl>
    <w:p>
      <w:pPr>
        <w:pStyle w:val="Heading1"/>
      </w:pPr>
      <w:r>
        <w:t>7. Энергетический контур транспорта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опережающее планирование тяговой и зарядной инфраструктуры;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согласование транспортных проектов с развитием электросетевого комплекса;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локальная генерация и накопители на критических узлах;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водородные решения — только в сегментах с подтверждённой экономикой и безопасностью;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энергетический цифровой двойник крупных коридоров и узлов.</w:t>
      </w:r>
    </w:p>
    <w:p>
      <w:pPr>
        <w:pStyle w:val="Heading1"/>
      </w:pPr>
      <w:r>
        <w:t>8. Цифровая платформа «ЭКВИЛИБРИУМ Транспорт»</w:t>
      </w:r>
    </w:p>
    <w:p>
      <w:pPr>
        <w:spacing w:after="100" w:line="259" w:lineRule="auto"/>
      </w:pPr>
      <w:r>
        <w:rPr>
          <w:rFonts w:ascii="Arial" w:hAnsi="Arial"/>
          <w:sz w:val="21"/>
        </w:rPr>
        <w:t>Цифровая платформа рассматривается не как единая монолитная информационная система, а как федеративный интеграционный слой, соединяющий отраслевые системы по согласованным моделям данных, идентификаторам, API, требованиям безопасности и правам доступа.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единый каталог объектов транспортной и промышленной инфраструктуры;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цифровые двойники коридоров, узлов и критических активов;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прогнозирование пропускной способности, отказов и ремонтных потребностей;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сквозная прослеживаемость материалов и компонентов;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сценарное моделирование потоков грузов и пассажиров;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киберустойчивость, сегментация доступа и импортонезависимый технологический стек для критических функций.</w:t>
      </w:r>
    </w:p>
    <w:p>
      <w:pPr>
        <w:pStyle w:val="Heading1"/>
      </w:pPr>
      <w:r>
        <w:t>9. Межведомственная модель управления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Участник</w:t>
            </w:r>
          </w:p>
        </w:tc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Роль в контуре</w:t>
            </w:r>
          </w:p>
        </w:tc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Ключевой продукт</w:t>
            </w:r>
          </w:p>
        </w:tc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Контрольный результат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Правительство РФ / проектный комитет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межведомственная координация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единая дорожная карта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снятие межотраслевых барьеров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Минтранс России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отраслевой заказчик и транспортная архитектура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портфель коридоров и транспортных проектов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связанность, пропускная способность, безопасность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Минпромторг России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промышленное обеспечение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карты локализации и серийного производства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доля отечественной продукции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Минобрнауки России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НИОКР и научная кооперация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портфель критических технологий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переход разработок к испытаниям и внедрению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Минцифры России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цифровая совместимость и инфраструктура данных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стандарты интеграции и доверенная среда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доступность данных и киберустойчивость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Минэнерго России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энергетическое обеспечение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энергетические схемы транспортных коридоров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надёжность энергоснабжения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Минэкономразвития России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экономика, инвестиции, ГЧП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модели финансирования и оценки эффектов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окупаемость и мультипликативный эффект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Минстрой России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строительная и территориальная интеграция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нормативы и привязка к развитию территорий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сокращение инфраструктурных ограничений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Минприроды России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экологические ограничения и мониторинг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экологические требования и компенсационные меры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снижение воздействия и доказуемость эффектов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МЧС России и профильные службы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устойчивость и реагирование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сценарии непрерывности функционирования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готовность к ЧС</w:t>
            </w:r>
          </w:p>
        </w:tc>
      </w:tr>
    </w:tbl>
    <w:p>
      <w:pPr>
        <w:pStyle w:val="Heading1"/>
      </w:pPr>
      <w:r>
        <w:t>10. Отраслевые и межотраслевые проектные пакеты</w:t>
      </w:r>
    </w:p>
    <w:p>
      <w:pPr>
        <w:spacing w:after="100" w:line="259" w:lineRule="auto"/>
      </w:pPr>
      <w:r>
        <w:rPr>
          <w:rFonts w:ascii="Arial" w:hAnsi="Arial"/>
          <w:sz w:val="21"/>
        </w:rPr>
        <w:t>Вместо одной сверхкрупной программы предлагается портфель взаимосвязанных проектных пакетов с едиными методиками отбора, валидации и мониторинга.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«Скорость»: ВСМ, маглев-НИОКР, автоматизированные коридоры, узлы пересадки.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«Материалы»: критические материалы, композиты, покрытия, сплавы, аккумуляторные материалы.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«Машиностроение»: подвижной состав, двигатели, тяга, силовая электроника, сервис.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«Энергия»: тяговые сети, зарядка, накопители, локальная генерация.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«Цифровой транспорт»: цифровые двойники, ИИ, данные, связь, киберустойчивость.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«Логистические узлы»: порты, аэропорты, сухие порты, терминалы, индустриальные парки.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«Устойчивость»: резервирование, ремонтопригодность, ЧС, климатическая адаптация.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«Кадры»: инженерные школы, центры компетенций, прикладные программы подготовки.</w:t>
      </w:r>
    </w:p>
    <w:p>
      <w:pPr>
        <w:pStyle w:val="Heading1"/>
      </w:pPr>
      <w:r>
        <w:t>11. Пространственная модель: система коридоров и узлов</w:t>
      </w:r>
    </w:p>
    <w:p>
      <w:pPr>
        <w:spacing w:after="100" w:line="259" w:lineRule="auto"/>
      </w:pPr>
      <w:r>
        <w:rPr>
          <w:rFonts w:ascii="Arial" w:hAnsi="Arial"/>
          <w:sz w:val="21"/>
        </w:rPr>
        <w:t>Конкретный перечень коридоров должен определяться на основании транспортного моделирования, грузовой базы, пассажирского спроса, промышленной специализации, энергетической обеспеченности и стоимости жизненного цикла. Ниже приведены направления-кандидаты для сравнительного технико-экономического анализа, а не утверждённый план строительства.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Северо-Запад и коридор Москва — Санкт-Петербург как полигон высокоскоростных и цифровых решений;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Поволжье — Урал как промышленно-логистическая ось;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Юг России и Азово-Черноморский бассейн как экспортно-агропромышленный и портовый контур;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Сибирь — Дальний Восток как контур расширения пропускной способности, ресурсной и экспортной логистики;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Арктическая зона как отдельный контур устойчивости, материалов и автономной энергетики.</w:t>
      </w:r>
    </w:p>
    <w:p>
      <w:pPr>
        <w:pStyle w:val="Heading1"/>
      </w:pPr>
      <w:r>
        <w:t>12. Этапность 2035–2050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5"/>
        <w:gridCol w:w="1995"/>
        <w:gridCol w:w="1995"/>
        <w:gridCol w:w="1995"/>
        <w:gridCol w:w="1995"/>
      </w:tblGrid>
      <w:tr>
        <w:tc>
          <w:tcPr>
            <w:tcW w:type="dxa" w:w="1995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Период</w:t>
            </w:r>
          </w:p>
        </w:tc>
        <w:tc>
          <w:tcPr>
            <w:tcW w:type="dxa" w:w="1995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Фокус</w:t>
            </w:r>
          </w:p>
        </w:tc>
        <w:tc>
          <w:tcPr>
            <w:tcW w:type="dxa" w:w="1995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Инфраструктура</w:t>
            </w:r>
          </w:p>
        </w:tc>
        <w:tc>
          <w:tcPr>
            <w:tcW w:type="dxa" w:w="1995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Технологии</w:t>
            </w:r>
          </w:p>
        </w:tc>
        <w:tc>
          <w:tcPr>
            <w:tcW w:type="dxa" w:w="1995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Управленческий результат</w:t>
            </w:r>
          </w:p>
        </w:tc>
      </w:tr>
      <w:tr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2026–2030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подготовка базы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пилоты и узкие места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валидация и локализация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единый портфель проектов</w:t>
            </w:r>
          </w:p>
        </w:tc>
      </w:tr>
      <w:tr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2030–2035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выполнение действующей транспортной рамки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основные коридоры и узлы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серийное внедрение зрелых решений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связка отраслевых программ</w:t>
            </w:r>
          </w:p>
        </w:tc>
      </w:tr>
      <w:tr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2035–2040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первый пост-2035 цикл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высокоскоростные и автоматизированные сегменты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масштабирование материалов и цифровых двойников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федеративная цифровая координация</w:t>
            </w:r>
          </w:p>
        </w:tc>
      </w:tr>
      <w:tr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2040–2045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межрегиональная интеграция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сеть крупных логистических кластеров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новое поколение подвижного состава и энергетики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управление по жизненному циклу</w:t>
            </w:r>
          </w:p>
        </w:tc>
      </w:tr>
      <w:tr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2045–2050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единый контур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связанная мультимодальная сеть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технологии следующего поколения после валидации</w:t>
            </w:r>
          </w:p>
        </w:tc>
        <w:tc>
          <w:tcPr>
            <w:tcW w:type="dxa" w:w="1995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постоянная адаптация и обновление портфеля</w:t>
            </w:r>
          </w:p>
        </w:tc>
      </w:tr>
    </w:tbl>
    <w:p>
      <w:pPr>
        <w:pStyle w:val="Heading1"/>
      </w:pPr>
      <w:r>
        <w:t>13. Механизм отбора проектов</w:t>
      </w:r>
    </w:p>
    <w:p>
      <w:pPr>
        <w:spacing w:after="100" w:line="259" w:lineRule="auto"/>
      </w:pPr>
      <w:r>
        <w:rPr>
          <w:rFonts w:ascii="Arial" w:hAnsi="Arial"/>
          <w:sz w:val="21"/>
        </w:rPr>
        <w:t>Каждый проект предлагается пропускать через единый «фильтр государственного решения».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Стратегическая необходимость: какой государственный разрыв закрывается.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Спрос: подтверждённая грузовая, пассажирская или инфраструктурная потребность.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Технологическая готовность: TRL, испытания, сертификация, ремонтопригодность.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Промышленная готовность: локализация, мощности, критические компоненты и сырьё.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Энергетика: доступная мощность и стоимость энергоснабжения.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Экономика жизненного цикла: CAPEX + OPEX + ремонт + утилизация.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Экология и территория: воздействие, компенсационные меры, связность населённых пунктов.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Безопасность и устойчивость: отказоустойчивость, резервирование и киберриски.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Масштабируемость: возможность повторения решения в других регионах.</w:t>
      </w:r>
    </w:p>
    <w:p>
      <w:pPr>
        <w:pStyle w:val="Heading1"/>
      </w:pPr>
      <w:r>
        <w:t>14. Финансово-экономическая модель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федеральное и региональное бюджетное финансирование — для инфраструктуры публичного назначения;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ГЧП и концессии — при наличии устойчивого денежного потока и корректного распределения рисков;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долгосрочные оффтейк-контракты — для запуска серийного производства материалов и компонентов;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проектное финансирование — для коммерчески окупаемых узлов;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инфраструктурные облигации и иные разрешённые инструменты — при подтверждённой финансовой модели;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поддержка НИОКР и опытно-промышленных производств — до перехода к серийному спросу.</w:t>
      </w:r>
    </w:p>
    <w:p>
      <w:pPr>
        <w:spacing w:after="100" w:line="259" w:lineRule="auto"/>
      </w:pPr>
      <w:r>
        <w:rPr>
          <w:rFonts w:ascii="Arial" w:hAnsi="Arial"/>
          <w:sz w:val="21"/>
        </w:rPr>
        <w:t>Ключевой принцип: сравнение вариантов производится по полной стоимости жизненного цикла и измеримому общественно-экономическому эффекту, а не только по первоначальной стоимости строительства.</w:t>
      </w:r>
    </w:p>
    <w:p>
      <w:pPr>
        <w:pStyle w:val="Heading1"/>
      </w:pPr>
      <w:r>
        <w:t>15. Система ключевых показателей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1F4E78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Блок KPI</w:t>
            </w:r>
          </w:p>
        </w:tc>
        <w:tc>
          <w:tcPr>
            <w:tcW w:type="dxa" w:w="3324"/>
            <w:vAlign w:val="center"/>
            <w:shd w:fill="1F4E78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Примеры показателей</w:t>
            </w:r>
          </w:p>
        </w:tc>
        <w:tc>
          <w:tcPr>
            <w:tcW w:type="dxa" w:w="3324"/>
            <w:vAlign w:val="center"/>
            <w:shd w:fill="1F4E78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Принцип оценки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Связанность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время доступа, надёжность, пропускная способность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до/после проекта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Экономика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стоимость перевозки, логистические издержки, производительность активов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жизненный цикл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Промышленность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локализация, серийность, экспортный потенциал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подтверждённая производственная цепочка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Технологии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TRL, число валидированных технологий, срок вывода в серию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этапные ворота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Безопасность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аварийность, отказоустойчивость, время восстановления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риск-ориентированная оценка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Экология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энергоёмкость, выбросы, ресурсная эффективность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методика жизненного цикла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Цифровизация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доля активов с цифровыми паспортами, качество данных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интероперабельность и полнота</w:t>
            </w:r>
          </w:p>
        </w:tc>
      </w:tr>
    </w:tbl>
    <w:p>
      <w:pPr>
        <w:pStyle w:val="Heading1"/>
      </w:pPr>
      <w:r>
        <w:t>16. Пилот федерального межотраслевого контура</w:t>
      </w:r>
    </w:p>
    <w:p>
      <w:pPr>
        <w:spacing w:after="100" w:line="259" w:lineRule="auto"/>
      </w:pPr>
      <w:r>
        <w:rPr>
          <w:rFonts w:ascii="Arial" w:hAnsi="Arial"/>
          <w:sz w:val="21"/>
        </w:rPr>
        <w:t>Предлагается начать не с создания новой бюрократической системы, а с одного сквозного пилота на выбранном транспортном коридоре. Пилот должен одновременно включать транспорт, материалы, промышленность, энергетику, цифровую модель, финансирование и оценку воздействия.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Выбор коридора и определение 5–7 измеримых проблем.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Формирование цифрового паспорта инфраструктуры и промышленной цепочки.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Отбор 10–20 технологий и материалов с различным уровнем зрелости.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Натурные испытания и валидация экономических эффектов.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Разработка межведомственной дорожной карты устранения барьеров.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Тиражирование подтверждённых решений на другие коридоры.</w:t>
      </w:r>
    </w:p>
    <w:p>
      <w:pPr>
        <w:pStyle w:val="Heading1"/>
      </w:pPr>
      <w:r>
        <w:t>17. Управленческая архитектура «ЭКВИЛИБРИУМ»</w:t>
      </w:r>
    </w:p>
    <w:p>
      <w:pPr>
        <w:spacing w:after="100" w:line="259" w:lineRule="auto"/>
      </w:pPr>
      <w:r>
        <w:rPr>
          <w:rFonts w:ascii="Arial" w:hAnsi="Arial"/>
          <w:sz w:val="21"/>
        </w:rPr>
        <w:t>В мастер-документе «ЭКВИЛИБРИУМ» используется как проектное название интеграционной архитектуры, а не как замена полномочий органов государственной власти. Её функция — обеспечить единое представление о целях, объектах, данных, технологиях, рисках, сроках и результатах межотраслевого портфеля.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реестр проектов и зависимостей;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матрица «ведомство — полномочие — результат»;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реестр критических технологий и материалов;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карта производственных мощностей;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цифровые паспорта коридоров и узлов;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панель KPI и рисков;</w:t>
      </w:r>
    </w:p>
    <w:p>
      <w:pPr>
        <w:pStyle w:val="ListBullet"/>
        <w:spacing w:after="40"/>
      </w:pPr>
      <w:r>
        <w:rPr>
          <w:rFonts w:ascii="Arial" w:hAnsi="Arial"/>
          <w:sz w:val="20"/>
        </w:rPr>
        <w:t>сценарное моделирование до 2050 года.</w:t>
      </w:r>
    </w:p>
    <w:p>
      <w:pPr>
        <w:pStyle w:val="Heading1"/>
      </w:pPr>
      <w:r>
        <w:t>18. Предлагаемое федеральное решение</w:t>
      </w:r>
    </w:p>
    <w:p>
      <w:pPr>
        <w:spacing w:after="100" w:line="259" w:lineRule="auto"/>
      </w:pPr>
      <w:r>
        <w:rPr>
          <w:rFonts w:ascii="Arial" w:hAnsi="Arial"/>
          <w:sz w:val="21"/>
        </w:rPr>
        <w:t>Предлагается рассмотреть возможность формирования межведомственной рабочей группы по разработке концепции «Транспортно-промышленный контур России 2035–2050» и подготовке проекта межотраслевой дорожной карты, синхронизированной с действующими государственными документами стратегического планирования.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Определить головного координатора и состав участников.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Провести инвентаризацию действующих транспортных, промышленных, цифровых, энергетических и научных программ.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Сформировать единый перечень критических технологических зависимостей.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Выбрать 1–2 межотраслевых пилотных коридора.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Разработать систему KPI и единые правила проектного отбора.</w:t>
      </w:r>
    </w:p>
    <w:p>
      <w:pPr>
        <w:pStyle w:val="ListNumber"/>
        <w:spacing w:after="40"/>
      </w:pPr>
      <w:r>
        <w:rPr>
          <w:rFonts w:ascii="Arial" w:hAnsi="Arial"/>
          <w:sz w:val="20"/>
        </w:rPr>
        <w:t>Подготовить предложения по горизонту государственной транспортно-промышленной политики после 2035 года.</w:t>
      </w:r>
    </w:p>
    <w:p>
      <w:pPr>
        <w:pStyle w:val="Heading1"/>
      </w:pPr>
      <w:r>
        <w:t>19. Источники и нормативная опора</w:t>
      </w:r>
    </w:p>
    <w:p>
      <w:pPr>
        <w:spacing w:after="100" w:line="259" w:lineRule="auto"/>
      </w:pPr>
      <w:r>
        <w:rPr>
          <w:rFonts w:ascii="Arial" w:hAnsi="Arial"/>
          <w:sz w:val="21"/>
        </w:rPr>
        <w:t>1. Транспортная стратегия Российской Федерации до 2030 года с прогнозом на период до 2035 года, утверждена распоряжением Правительства Российской Федерации от 27 ноября 2021 г. № 3363-р. Официальная публикация Минтранса России: https://mintrans.gov.ru/documents/2/11577</w:t>
      </w:r>
    </w:p>
    <w:p>
      <w:pPr>
        <w:spacing w:after="100" w:line="259" w:lineRule="auto"/>
      </w:pPr>
      <w:r>
        <w:rPr>
          <w:rFonts w:ascii="Arial" w:hAnsi="Arial"/>
          <w:sz w:val="21"/>
        </w:rPr>
        <w:t>2. Доклад о реализации Транспортной стратегии Российской Федерации до 2030 года с прогнозом на период до 2035 года. Отчётный период: 2025 год. Минтранс России, 3 июня 2026 г.: https://mintrans.gov.ru/documents/11/15616</w:t>
      </w:r>
    </w:p>
    <w:p>
      <w:pPr>
        <w:spacing w:after="100" w:line="259" w:lineRule="auto"/>
      </w:pPr>
      <w:r>
        <w:rPr>
          <w:rFonts w:ascii="Arial" w:hAnsi="Arial"/>
          <w:sz w:val="21"/>
        </w:rPr>
        <w:t>3. Национальный проект «Новые материалы и химия». Официальные материалы Правительства Российской Федерации: https://static.government.ru/media/files/4X4afMw3dIEgNAo0Bb6ROm77fWR4uafr.pdf</w:t>
      </w:r>
    </w:p>
    <w:p>
      <w:pPr>
        <w:spacing w:after="100" w:line="259" w:lineRule="auto"/>
      </w:pPr>
      <w:r>
        <w:rPr>
          <w:rFonts w:ascii="Arial" w:hAnsi="Arial"/>
          <w:sz w:val="21"/>
        </w:rPr>
        <w:t>Примечание: показатели, коридоры и горизонты 2035–2050, предложенные в настоящем документе, являются концептуальными и требуют технико-экономического, нормативного и межведомственного обоснования.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