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color w:val="17324D"/>
          <w:sz w:val="92"/>
        </w:rPr>
        <w:t>SUR</w:t>
      </w:r>
    </w:p>
    <w:p>
      <w:pPr>
        <w:jc w:val="center"/>
      </w:pPr>
      <w:r>
        <w:rPr>
          <w:b/>
          <w:color w:val="2B5B84"/>
          <w:sz w:val="48"/>
        </w:rPr>
        <w:t>КУЛЬТУРА · НОВЫЙ УКЛАД</w:t>
      </w:r>
    </w:p>
    <w:p>
      <w:pPr>
        <w:jc w:val="center"/>
      </w:pPr>
      <w:r>
        <w:rPr>
          <w:color w:val="505050"/>
          <w:sz w:val="26"/>
        </w:rPr>
        <w:t>Стратегическая архитектура культурного контура системы управления развитием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362"/>
            <w:shd w:fill="EAF1F7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20"/>
              </w:rPr>
              <w:t>SUR</w:t>
              <w:br/>
              <w:t>система управления развитием</w:t>
            </w:r>
          </w:p>
        </w:tc>
        <w:tc>
          <w:tcPr>
            <w:tcW w:type="dxa" w:w="3362"/>
            <w:shd w:fill="EAF1F7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20"/>
              </w:rPr>
              <w:t>КУЛЬТУРА</w:t>
              <w:br/>
              <w:t>система смыслов и воспроизводства</w:t>
            </w:r>
          </w:p>
        </w:tc>
        <w:tc>
          <w:tcPr>
            <w:tcW w:type="dxa" w:w="3362"/>
            <w:shd w:fill="EAF1F7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20"/>
              </w:rPr>
              <w:t>НОВЫЙ УКЛАД</w:t>
              <w:br/>
              <w:t>новая норма жизни, труда и развития</w:t>
            </w:r>
          </w:p>
        </w:tc>
      </w:tr>
    </w:tbl>
    <w:p>
      <w:pPr>
        <w:jc w:val="center"/>
      </w:pPr>
      <w:r>
        <w:br/>
        <w:t>Версия 1.0 · 29 августа 2026</w:t>
      </w:r>
    </w:p>
    <w:p>
      <w:r>
        <w:br w:type="page"/>
      </w:r>
    </w:p>
    <w:p>
      <w:pPr>
        <w:pStyle w:val="Heading1"/>
      </w:pPr>
      <w:r>
        <w:t>1. Исполнительное резюме</w:t>
      </w:r>
    </w:p>
    <w:p>
      <w:r>
        <w:t>SUR рассматривает культуру не как отрасль досуга, а как базовую инфраструктуру формирования человека, общественного доверия, языка будущего, качества решений и долгосрочной устойчивости государства.</w:t>
      </w:r>
    </w:p>
    <w:p>
      <w:r>
        <w:t>«Новый Уклад» — это не лозунг и не отказ от наследия. Это переход к модели, в которой развитие измеряется одновременно экономическими, социальными, культурными, образовательными, технологическими и природными балансами.</w:t>
      </w:r>
    </w:p>
    <w:p>
      <w:r>
        <w:t>Культурный контур SUR соединяет наследие, образование, науку, медиа, творчество, городскую среду, семью, труд, цифровые платформы и общественные институты в единый воспроизводящий цикл.</w:t>
      </w:r>
    </w:p>
    <w:p>
      <w:pPr>
        <w:pStyle w:val="Heading1"/>
      </w:pPr>
      <w:r>
        <w:t>2. Формула Нового Уклада</w:t>
      </w:r>
    </w:p>
    <w:p>
      <w:pPr>
        <w:jc w:val="center"/>
      </w:pPr>
      <w:r>
        <w:rPr>
          <w:b/>
          <w:color w:val="17324D"/>
          <w:sz w:val="26"/>
        </w:rPr>
        <w:t>НАСЛЕДИЕ → СМЫСЛ → ЗНАНИЕ → ДЕЙСТВИЕ → КООПЕРАЦИЯ → РЕЗУЛЬТАТ → НОВОЕ НАСЛЕДИЕ</w:t>
      </w:r>
    </w:p>
    <w:p>
      <w:r>
        <w:t>Цикл должен быть замкнутым: культура хранит и осмысляет наследие, образование переводит смысл в компетенции, институты превращают компетенции в действие, экономика и управление создают измеримый результат, а результат снова становится наследием и стандартом следующего цикла.</w:t>
      </w:r>
    </w:p>
    <w:p>
      <w:pPr>
        <w:pStyle w:val="Heading1"/>
      </w:pPr>
      <w:r>
        <w:t>3. Архитектура культурного контура SUR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17324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3362"/>
            <w:shd w:fill="17324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Что объединяет</w:t>
            </w:r>
          </w:p>
        </w:tc>
        <w:tc>
          <w:tcPr>
            <w:tcW w:type="dxa" w:w="3362"/>
            <w:shd w:fill="17324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Что измеряем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1. Наследие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архивы, музеи, библиотеки, семейные и именные фонды, академические реестры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сохранность, цифровая доступность, подтверждённое происхождение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2. Смыслы и язык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ценности, символы, терминология, историческая память, культурные сценарии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общественное доверие, смысловая связность, снижение конфликтности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3. Образование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школа, СПО, вузы, наставничество, непрерывное обучение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компетенции, культурная грамотность, способность к сотрудничеству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4. Творчество и медиа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кино, музыка, литература, дизайн, игры, цифровые форматы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доля созидательного контента, экспорт культурных продуктов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5. Среда жизни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архитектура, города, сёла, парки, общественные пространства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качество среды, участие жителей, локальная идентичность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6. Труд и кооперация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профессии, ремесла, предпринимательство, кооперативные модели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производительность, качество труда, доверие между участниками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7. Институты и право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стандарты, фонды, реестры, экспертные советы, валидация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прозрачность, преемственность, воспроизводимость решений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8. Цифровой контур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порталы, цифровые двойники, графы знаний, ИИ-помощники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доступ к знаниям, связанность данных, персональные траектории развития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9. Балансы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человек, семья, территория, отрасль, государство, биосфера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согласованность целей и ресурсов, раннее выявление дисбалансов</w:t>
            </w:r>
          </w:p>
        </w:tc>
      </w:tr>
    </w:tbl>
    <w:p>
      <w:pPr>
        <w:pStyle w:val="Heading1"/>
      </w:pPr>
      <w:r>
        <w:t>4. Балансы культуры и Нового Уклада</w:t>
      </w:r>
    </w:p>
    <w:p>
      <w:r>
        <w:t>Ключевой принцип SUR: культура управляется не количеством мероприятий, а системой взаимосвязанных балансов. Каждый баланс имеет объект, показатели, допустимый диапазон, источники данных, владельца процесса и сценарий коррекции.</w:t>
      </w:r>
    </w:p>
    <w:p>
      <w:pPr>
        <w:pStyle w:val="ListBullet"/>
      </w:pPr>
      <w:r>
        <w:t>Баланс наследия и обновления</w:t>
      </w:r>
    </w:p>
    <w:p>
      <w:pPr>
        <w:pStyle w:val="ListBullet"/>
      </w:pPr>
      <w:r>
        <w:t>Баланс единства и культурного многообразия</w:t>
      </w:r>
    </w:p>
    <w:p>
      <w:pPr>
        <w:pStyle w:val="ListBullet"/>
      </w:pPr>
      <w:r>
        <w:t>Баланс прав и ответственности</w:t>
      </w:r>
    </w:p>
    <w:p>
      <w:pPr>
        <w:pStyle w:val="ListBullet"/>
      </w:pPr>
      <w:r>
        <w:t>Баланс индивидуального развития и общественного блага</w:t>
      </w:r>
    </w:p>
    <w:p>
      <w:pPr>
        <w:pStyle w:val="ListBullet"/>
      </w:pPr>
      <w:r>
        <w:t>Баланс цифрового и живого общения</w:t>
      </w:r>
    </w:p>
    <w:p>
      <w:pPr>
        <w:pStyle w:val="ListBullet"/>
      </w:pPr>
      <w:r>
        <w:t>Баланс труда, свободного времени и творчества</w:t>
      </w:r>
    </w:p>
    <w:p>
      <w:pPr>
        <w:pStyle w:val="ListBullet"/>
      </w:pPr>
      <w:r>
        <w:t>Баланс центра и территорий</w:t>
      </w:r>
    </w:p>
    <w:p>
      <w:pPr>
        <w:pStyle w:val="ListBullet"/>
      </w:pPr>
      <w:r>
        <w:t>Баланс экономики и культурной ценности</w:t>
      </w:r>
    </w:p>
    <w:p>
      <w:pPr>
        <w:pStyle w:val="ListBullet"/>
      </w:pPr>
      <w:r>
        <w:t>Баланс человека и биосферы</w:t>
      </w:r>
    </w:p>
    <w:p>
      <w:pPr>
        <w:pStyle w:val="ListBullet"/>
      </w:pPr>
      <w:r>
        <w:t>Баланс памяти о прошлом и проектирования будущего</w:t>
      </w:r>
    </w:p>
    <w:p>
      <w:pPr>
        <w:pStyle w:val="Heading1"/>
      </w:pPr>
      <w:r>
        <w:t>5. Человек как центральная единица системы</w:t>
      </w:r>
    </w:p>
    <w:p>
      <w:r>
        <w:t>В Новом Укладе главным объектом развития является не ведомство и не цифровая платформа, а человек в системе связей. SUR формирует персональный контур развития, который не сводится к рейтингу личности и не ограничивает свободу выбора.</w:t>
      </w:r>
    </w:p>
    <w:p>
      <w:pPr>
        <w:pStyle w:val="ListBullet"/>
      </w:pPr>
      <w:r>
        <w:t>здоровье и жизнеспособность</w:t>
      </w:r>
    </w:p>
    <w:p>
      <w:pPr>
        <w:pStyle w:val="ListBullet"/>
      </w:pPr>
      <w:r>
        <w:t>образование и компетенции</w:t>
      </w:r>
    </w:p>
    <w:p>
      <w:pPr>
        <w:pStyle w:val="ListBullet"/>
      </w:pPr>
      <w:r>
        <w:t>культура и этика взаимодействия</w:t>
      </w:r>
    </w:p>
    <w:p>
      <w:pPr>
        <w:pStyle w:val="ListBullet"/>
      </w:pPr>
      <w:r>
        <w:t>труд и созидательная реализация</w:t>
      </w:r>
    </w:p>
    <w:p>
      <w:pPr>
        <w:pStyle w:val="ListBullet"/>
      </w:pPr>
      <w:r>
        <w:t>семья и межпоколенческая связь</w:t>
      </w:r>
    </w:p>
    <w:p>
      <w:pPr>
        <w:pStyle w:val="ListBullet"/>
      </w:pPr>
      <w:r>
        <w:t>творчество и участие в общественной жизни</w:t>
      </w:r>
    </w:p>
    <w:p>
      <w:pPr>
        <w:pStyle w:val="ListBullet"/>
      </w:pPr>
      <w:r>
        <w:t>экологическая ответственность</w:t>
      </w:r>
    </w:p>
    <w:p>
      <w:pPr>
        <w:pStyle w:val="ListBullet"/>
      </w:pPr>
      <w:r>
        <w:t>цифровая грамотность и информационная безопасность</w:t>
      </w:r>
    </w:p>
    <w:p>
      <w:pPr>
        <w:pStyle w:val="ListBullet"/>
      </w:pPr>
      <w:r>
        <w:t>способность к кооперации и разрешению конфликтов</w:t>
      </w:r>
    </w:p>
    <w:p>
      <w:pPr>
        <w:pStyle w:val="Heading1"/>
      </w:pPr>
      <w:r>
        <w:t>6. Институциональная модель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2B5B84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Институт</w:t>
            </w:r>
          </w:p>
        </w:tc>
        <w:tc>
          <w:tcPr>
            <w:tcW w:type="dxa" w:w="5043"/>
            <w:shd w:fill="2B5B84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Функция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Совет культурного развития SUR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определяет цели, целевые балансы, принципы и приоритеты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Архив сохранения наследия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долговременное хранение, происхождение, оцифровка и связность культурных объектов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Академические и культурные реестры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единая система проверяемых знаний, персоналий, школ, объектов и методик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Система фондов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финансирование наследия, творчества, образования, территориальных и именных программ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Центры валидации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проверка данных, методик, эффектов и соответствия стандартам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Культурные лаборатории территорий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пилоты нового уклада в городах, сёлах, парках, школах, предприятиях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7"/>
              </w:rPr>
              <w:t>Портал SUR / СФЕРА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единая точка доступа к знаниям, проектам, событиям, фондам, маршрутам и результатам</w:t>
            </w:r>
          </w:p>
        </w:tc>
      </w:tr>
    </w:tbl>
    <w:p>
      <w:pPr>
        <w:pStyle w:val="Heading1"/>
      </w:pPr>
      <w:r>
        <w:t>7. Реестры и цифровая модель</w:t>
      </w:r>
    </w:p>
    <w:p>
      <w:r>
        <w:t>Цифровой контур строится как федеративная система, а не как единая монолитная база. Источники сохраняют ответственность за данные; SUR обеспечивает идентификацию, связи, происхождение, версии, права доступа и аналитические представления.</w:t>
      </w:r>
    </w:p>
    <w:p>
      <w:pPr>
        <w:pStyle w:val="ListBullet"/>
      </w:pPr>
      <w:r>
        <w:t>реестр объектов культурного наследия и цифровых копий</w:t>
      </w:r>
    </w:p>
    <w:p>
      <w:pPr>
        <w:pStyle w:val="ListBullet"/>
      </w:pPr>
      <w:r>
        <w:t>реестр персоналий, школ, коллективов и преемственности</w:t>
      </w:r>
    </w:p>
    <w:p>
      <w:pPr>
        <w:pStyle w:val="ListBullet"/>
      </w:pPr>
      <w:r>
        <w:t>реестр культурных практик и методик</w:t>
      </w:r>
    </w:p>
    <w:p>
      <w:pPr>
        <w:pStyle w:val="ListBullet"/>
      </w:pPr>
      <w:r>
        <w:t>реестр проектов, событий и инфраструктуры</w:t>
      </w:r>
    </w:p>
    <w:p>
      <w:pPr>
        <w:pStyle w:val="ListBullet"/>
      </w:pPr>
      <w:r>
        <w:t>реестр фондов и источников финансирования</w:t>
      </w:r>
    </w:p>
    <w:p>
      <w:pPr>
        <w:pStyle w:val="ListBullet"/>
      </w:pPr>
      <w:r>
        <w:t>реестр показателей культурных балансов</w:t>
      </w:r>
    </w:p>
    <w:p>
      <w:pPr>
        <w:pStyle w:val="ListBullet"/>
      </w:pPr>
      <w:r>
        <w:t>граф смыслов и связей между объектами, людьми, территориями и эпохами</w:t>
      </w:r>
    </w:p>
    <w:p>
      <w:pPr>
        <w:pStyle w:val="Heading1"/>
      </w:pPr>
      <w:r>
        <w:t>8. Экономика культуры: от затрат к капиталу развития</w:t>
      </w:r>
    </w:p>
    <w:p>
      <w:r>
        <w:t>Культура должна быть видна в балансе государства и территории как создающий актив. Оценке подлежат не только кассовые доходы, но и накопление человеческого, социального, интеллектуального, репутационного и территориального капитала.</w:t>
      </w:r>
    </w:p>
    <w:p>
      <w:pPr>
        <w:pStyle w:val="ListBullet"/>
      </w:pPr>
      <w:r>
        <w:t>гранты и бюджетное финансирование — для общественных благ и наследия</w:t>
      </w:r>
    </w:p>
    <w:p>
      <w:pPr>
        <w:pStyle w:val="ListBullet"/>
      </w:pPr>
      <w:r>
        <w:t>целевые и именные фонды — для долгосрочных миссий</w:t>
      </w:r>
    </w:p>
    <w:p>
      <w:pPr>
        <w:pStyle w:val="ListBullet"/>
      </w:pPr>
      <w:r>
        <w:t>ГЧП и концессионные модели — для инфраструктуры</w:t>
      </w:r>
    </w:p>
    <w:p>
      <w:pPr>
        <w:pStyle w:val="ListBullet"/>
      </w:pPr>
      <w:r>
        <w:t>креативная экономика — для масштабируемых культурных продуктов</w:t>
      </w:r>
    </w:p>
    <w:p>
      <w:pPr>
        <w:pStyle w:val="ListBullet"/>
      </w:pPr>
      <w:r>
        <w:t>кооперативные модели — для локальных сообществ и ремёсел</w:t>
      </w:r>
    </w:p>
    <w:p>
      <w:pPr>
        <w:pStyle w:val="ListBullet"/>
      </w:pPr>
      <w:r>
        <w:t>социальные инвестиции — для измеримых культурно-социальных эффектов</w:t>
      </w:r>
    </w:p>
    <w:p>
      <w:pPr>
        <w:pStyle w:val="Heading1"/>
      </w:pPr>
      <w:r>
        <w:t>9. Индекс Нового Уклада SUR</w:t>
      </w:r>
    </w:p>
    <w:p>
      <w:r>
        <w:t>Предлагается сводный индекс, рассчитываемый не одной цифрой, а профилем из семи измерений. Внутри каждого — 5–15 проверяемых показателей; итоговый индекс не должен скрывать критические провалы по отдельным направлениям.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17324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Измерение</w:t>
            </w:r>
          </w:p>
        </w:tc>
        <w:tc>
          <w:tcPr>
            <w:tcW w:type="dxa" w:w="5043"/>
            <w:shd w:fill="17324D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Смысл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8"/>
              </w:rPr>
              <w:t>C1 — Наследие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сохранность, цифровизация, использование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8"/>
              </w:rPr>
              <w:t>C2 — Знание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доступ, качество, непрерывность обучения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8"/>
              </w:rPr>
              <w:t>C3 — Доверие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социальный капитал, участие, кооперация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8"/>
              </w:rPr>
              <w:t>C4 — Творчество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создание и распространение культурного продукта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8"/>
              </w:rPr>
              <w:t>C5 — Среда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качество общественных пространств и локальная идентичность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8"/>
              </w:rPr>
              <w:t>C6 — Человеческое развитие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компетенции, активность, межпоколенческая связь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8"/>
              </w:rPr>
              <w:t>C7 — Баланс с природой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экологическая культура и воздействие территории</w:t>
            </w:r>
          </w:p>
        </w:tc>
      </w:tr>
    </w:tbl>
    <w:p>
      <w:pPr>
        <w:pStyle w:val="Heading1"/>
      </w:pPr>
      <w:r>
        <w:t>10. Пилоты</w:t>
      </w:r>
    </w:p>
    <w:p>
      <w:r>
        <w:rPr>
          <w:b/>
        </w:rPr>
        <w:t xml:space="preserve">Территория Нового Уклада: </w:t>
      </w:r>
      <w:r>
        <w:t>муниципалитет или агломерация: единый культурно-образовательный баланс, цифровой паспорт, лаборатория проектов и фонд развития.</w:t>
      </w:r>
    </w:p>
    <w:p>
      <w:r>
        <w:rPr>
          <w:b/>
        </w:rPr>
        <w:t xml:space="preserve">Школа Нового Уклада: </w:t>
      </w:r>
      <w:r>
        <w:t>интеграция истории места, науки, искусства, труда, природы и проектного обучения.</w:t>
      </w:r>
    </w:p>
    <w:p>
      <w:r>
        <w:rPr>
          <w:b/>
        </w:rPr>
        <w:t xml:space="preserve">Предприятие как культурная среда: </w:t>
      </w:r>
      <w:r>
        <w:t>корпоративное наследие, наставничество, культура качества, дизайн труда, локальная социальная ответственность.</w:t>
      </w:r>
    </w:p>
    <w:p>
      <w:r>
        <w:rPr>
          <w:b/>
        </w:rPr>
        <w:t xml:space="preserve">Архив будущего: </w:t>
      </w:r>
      <w:r>
        <w:t>оцифровка наследия, семейные и именные фонды, граф связей, долговременное хранение и открытые образовательные сценарии.</w:t>
      </w:r>
    </w:p>
    <w:p>
      <w:r>
        <w:rPr>
          <w:b/>
        </w:rPr>
        <w:t xml:space="preserve">Биоценоз и культура территории: </w:t>
      </w:r>
      <w:r>
        <w:t>связывание природных показателей с образом жизни, землепользованием, архитектурой, туризмом и образованием.</w:t>
      </w:r>
    </w:p>
    <w:p>
      <w:pPr>
        <w:pStyle w:val="Heading1"/>
      </w:pPr>
      <w:r>
        <w:t>11. Дорожная карта 2026–2030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2B5B84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5043"/>
            <w:shd w:fill="2B5B84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8"/>
              </w:rPr>
              <w:t>0–3 месяца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утверждение понятий, 7 измерений индекса, владельцев контуров; инвентаризация существующих реестров и программ.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8"/>
              </w:rPr>
              <w:t>3–9 месяцев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запуск цифрового прототипа и 2–3 территориальных пилотов; формирование Совета и центров валидации.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8"/>
              </w:rPr>
              <w:t>9–18 месяцев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сведение культурных, образовательных, социальных, экологических и экономических данных в систему балансов; запуск системы фондов.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8"/>
              </w:rPr>
              <w:t>18–36 месяцев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масштабирование лучших практик, межрегиональная совместимость, публичный индекс Нового Уклада.</w:t>
            </w:r>
          </w:p>
        </w:tc>
      </w:tr>
      <w:tr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/>
                <w:color w:val="17324D"/>
                <w:sz w:val="18"/>
              </w:rPr>
              <w:t>до 2030 года</w:t>
            </w:r>
          </w:p>
        </w:tc>
        <w:tc>
          <w:tcPr>
            <w:tcW w:type="dxa" w:w="5043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переход от набора культурных мероприятий к непрерывной системе воспроизводства человеческого и культурного капитала.</w:t>
            </w:r>
          </w:p>
        </w:tc>
      </w:tr>
    </w:tbl>
    <w:p>
      <w:pPr>
        <w:pStyle w:val="Heading1"/>
      </w:pPr>
      <w:r>
        <w:t>12. Контур управления</w:t>
      </w:r>
    </w:p>
    <w:p>
      <w:r>
        <w:t>Управление Новым Укладом должно быть межведомственным. Министерство культуры — один из ключевых участников, но не единственный владелец результата. В контур включаются образование и наука, труд и социальная политика, цифровое развитие, экономическое развитие, природные ресурсы, строительство и ЖКХ, спорт, туризм, регионы, муниципалитеты, академические и общественные институты.</w:t>
      </w:r>
    </w:p>
    <w:p>
      <w:pPr>
        <w:pStyle w:val="ListBullet"/>
      </w:pPr>
      <w:r>
        <w:t>единый каталог целей и показателей</w:t>
      </w:r>
    </w:p>
    <w:p>
      <w:pPr>
        <w:pStyle w:val="ListBullet"/>
      </w:pPr>
      <w:r>
        <w:t>межведомственная матрица ответственности</w:t>
      </w:r>
    </w:p>
    <w:p>
      <w:pPr>
        <w:pStyle w:val="ListBullet"/>
      </w:pPr>
      <w:r>
        <w:t>связанные бюджеты и фонды</w:t>
      </w:r>
    </w:p>
    <w:p>
      <w:pPr>
        <w:pStyle w:val="ListBullet"/>
      </w:pPr>
      <w:r>
        <w:t>цикл план → данные → анализ → решение → исполнение → оценка эффекта</w:t>
      </w:r>
    </w:p>
    <w:p>
      <w:pPr>
        <w:pStyle w:val="ListBullet"/>
      </w:pPr>
      <w:r>
        <w:t>публичная отчётность по результату, а не только по освоению средств</w:t>
      </w:r>
    </w:p>
    <w:p>
      <w:pPr>
        <w:pStyle w:val="Heading1"/>
      </w:pPr>
      <w:r>
        <w:t>13. Принципы Нового Уклада</w:t>
      </w:r>
    </w:p>
    <w:p>
      <w:pPr>
        <w:pStyle w:val="ListNumber"/>
      </w:pPr>
      <w:r>
        <w:t>Преемственность без догматизма</w:t>
      </w:r>
    </w:p>
    <w:p>
      <w:pPr>
        <w:pStyle w:val="ListNumber"/>
      </w:pPr>
      <w:r>
        <w:t>Развитие без разрушения наследия</w:t>
      </w:r>
    </w:p>
    <w:p>
      <w:pPr>
        <w:pStyle w:val="ListNumber"/>
      </w:pPr>
      <w:r>
        <w:t>Единство без унификации культур</w:t>
      </w:r>
    </w:p>
    <w:p>
      <w:pPr>
        <w:pStyle w:val="ListNumber"/>
      </w:pPr>
      <w:r>
        <w:t>Технологичность без обезличивания</w:t>
      </w:r>
    </w:p>
    <w:p>
      <w:pPr>
        <w:pStyle w:val="ListNumber"/>
      </w:pPr>
      <w:r>
        <w:t>Экономика как средство развития человека и среды</w:t>
      </w:r>
    </w:p>
    <w:p>
      <w:pPr>
        <w:pStyle w:val="ListNumber"/>
      </w:pPr>
      <w:r>
        <w:t>Свобода творчества в сочетании с ответственностью за общественный эффект</w:t>
      </w:r>
    </w:p>
    <w:p>
      <w:pPr>
        <w:pStyle w:val="ListNumber"/>
      </w:pPr>
      <w:r>
        <w:t>Данные для понимания, а не для тотального контроля</w:t>
      </w:r>
    </w:p>
    <w:p>
      <w:pPr>
        <w:pStyle w:val="ListNumber"/>
      </w:pPr>
      <w:r>
        <w:t>Решения на максимально близком к человеку уровне при сохранении общих стандартов</w:t>
      </w:r>
    </w:p>
    <w:p>
      <w:pPr>
        <w:pStyle w:val="ListNumber"/>
      </w:pPr>
      <w:r>
        <w:t>Баланс человека, общества, государства и биосферы</w:t>
      </w:r>
    </w:p>
    <w:p>
      <w:pPr>
        <w:pStyle w:val="Heading1"/>
      </w:pPr>
      <w:r>
        <w:t>14. Целевой образ</w:t>
      </w:r>
    </w:p>
    <w:p>
      <w:pPr>
        <w:jc w:val="center"/>
      </w:pPr>
      <w:r>
        <w:rPr>
          <w:b/>
          <w:color w:val="17324D"/>
          <w:sz w:val="30"/>
        </w:rPr>
        <w:t>Новый Уклад — это культура, которая умеет сохранять прошлое, понимать настоящее и совместно проектировать будущее.</w:t>
      </w:r>
    </w:p>
    <w:p>
      <w:r>
        <w:t>Для SUR культура становится не обслуживающей функцией, а системой воспроизводства качества общества. Главный критерий успеха — способность человека, семьи, территории и государства развиваться без разрушения связей, памяти, природы и будущих возможностей.</w:t>
      </w:r>
    </w:p>
    <w:sectPr w:rsidR="00FC693F" w:rsidRPr="0006063C" w:rsidSect="00034616">
      <w:footerReference w:type="default" r:id="rId9"/>
      <w:pgSz w:w="12240" w:h="15840"/>
      <w:pgMar w:top="964" w:right="1020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SUR · Культура · Новый Уклад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2B5B8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47708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24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