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1120" w:after="480"/>
        <w:jc w:val="center"/>
      </w:pPr>
      <w:r>
        <w:rPr>
          <w:rFonts w:ascii="Arial" w:hAnsi="Arial" w:eastAsia="Arial" w:cs="Arial"/>
          <w:b/>
          <w:i w:val="0"/>
          <w:color w:val="C5A253"/>
          <w:sz w:val="18"/>
        </w:rPr>
        <w:t>СТРАТЕГИЧЕСКАЯ КОНЦЕПЦИЯ</w:t>
      </w:r>
    </w:p>
    <w:p>
      <w:pPr>
        <w:keepNext w:val="0"/>
        <w:spacing w:before="0" w:after="100"/>
        <w:jc w:val="center"/>
      </w:pPr>
      <w:r>
        <w:rPr>
          <w:rFonts w:ascii="Arial" w:hAnsi="Arial" w:eastAsia="Arial" w:cs="Arial"/>
          <w:b/>
          <w:i w:val="0"/>
          <w:color w:val="0B2545"/>
          <w:sz w:val="76"/>
        </w:rPr>
        <w:t>SUR 810</w:t>
      </w:r>
    </w:p>
    <w:p>
      <w:pPr>
        <w:keepNext w:val="0"/>
        <w:spacing w:before="0" w:after="60"/>
        <w:jc w:val="center"/>
      </w:pPr>
      <w:r>
        <w:rPr>
          <w:rFonts w:ascii="Arial" w:hAnsi="Arial" w:eastAsia="Arial" w:cs="Arial"/>
          <w:b/>
          <w:i w:val="0"/>
          <w:color w:val="2E74B5"/>
          <w:sz w:val="38"/>
        </w:rPr>
        <w:t>СИСТЕМА УПРАВЛЕНИЯ РАЗВИТИЕМ</w:t>
      </w:r>
    </w:p>
    <w:p>
      <w:pPr>
        <w:keepNext w:val="0"/>
        <w:spacing w:before="0" w:after="480"/>
        <w:jc w:val="center"/>
      </w:pPr>
      <w:r>
        <w:rPr>
          <w:rFonts w:ascii="Arial" w:hAnsi="Arial" w:eastAsia="Arial" w:cs="Arial"/>
          <w:b w:val="0"/>
          <w:i w:val="0"/>
          <w:color w:val="0B2545"/>
          <w:sz w:val="30"/>
        </w:rPr>
        <w:t>Интегрированное управление развитием России</w:t>
      </w:r>
    </w:p>
    <w:p>
      <w:pPr>
        <w:keepNext w:val="0"/>
        <w:spacing w:before="0" w:after="1000"/>
        <w:jc w:val="center"/>
        <w:pBdr>
          <w:bottom w:val="single" w:sz="8" w:space="5" w:color="C5A253"/>
        </w:pBdr>
      </w:pPr>
      <w:r>
        <w:rPr>
          <w:rFonts w:ascii="Arial" w:hAnsi="Arial" w:eastAsia="Arial" w:cs="Arial"/>
          <w:b/>
          <w:i w:val="0"/>
          <w:color w:val="C5A253"/>
          <w:sz w:val="21"/>
        </w:rPr>
        <w:t>КРИСТАЛЛ 741  |  СТАНДАРТЫ 260  |  ДЕНЕЖНО-РАСЧЁТНЫЙ КОНТУР 810</w:t>
      </w:r>
    </w:p>
    <w:p>
      <w:pPr>
        <w:keepNext w:val="0"/>
        <w:spacing w:before="0" w:after="680"/>
        <w:jc w:val="center"/>
      </w:pPr>
      <w:r>
        <w:rPr>
          <w:rFonts w:ascii="Arial" w:hAnsi="Arial" w:eastAsia="Arial" w:cs="Arial"/>
          <w:b w:val="0"/>
          <w:i w:val="0"/>
          <w:color w:val="5B6770"/>
          <w:sz w:val="26"/>
        </w:rPr>
        <w:t>Концепция перехода к системе интегрированного управления развитием Российской Федерации</w:t>
      </w:r>
    </w:p>
    <w:p>
      <w:pPr>
        <w:keepNext w:val="0"/>
        <w:spacing w:before="0" w:after="200"/>
        <w:jc w:val="center"/>
      </w:pPr>
      <w:r>
        <w:rPr>
          <w:rFonts w:ascii="Arial" w:hAnsi="Arial" w:eastAsia="Arial" w:cs="Arial"/>
          <w:b/>
          <w:i w:val="0"/>
          <w:color w:val="2E74B5"/>
          <w:sz w:val="20"/>
        </w:rPr>
        <w:t>Проект для межведомственного рассмотрения</w:t>
      </w:r>
    </w:p>
    <w:p>
      <w:pPr>
        <w:keepNext w:val="0"/>
        <w:spacing w:before="0" w:after="80"/>
        <w:jc w:val="center"/>
      </w:pPr>
      <w:r>
        <w:rPr>
          <w:rFonts w:ascii="Arial" w:hAnsi="Arial" w:eastAsia="Arial" w:cs="Arial"/>
          <w:b w:val="0"/>
          <w:i w:val="0"/>
          <w:color w:val="1D2730"/>
          <w:sz w:val="20"/>
        </w:rPr>
        <w:t>Автор: Соколов Сергей Леонидович</w:t>
      </w:r>
    </w:p>
    <w:p>
      <w:pPr>
        <w:keepNext w:val="0"/>
        <w:spacing w:before="0" w:after="80"/>
        <w:jc w:val="center"/>
      </w:pPr>
      <w:r>
        <w:rPr>
          <w:rFonts w:ascii="Arial" w:hAnsi="Arial" w:eastAsia="Arial" w:cs="Arial"/>
          <w:b w:val="0"/>
          <w:i w:val="0"/>
          <w:color w:val="5B6770"/>
          <w:sz w:val="19"/>
        </w:rPr>
        <w:t>Версия 1.0  |  27 августа 2026 года</w:t>
      </w: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СТАТУС ДОКУМЕНТА</w:t>
      </w:r>
    </w:p>
    <w:p>
      <w:pPr>
        <w:pStyle w:val="Heading1"/>
      </w:pPr>
      <w:r>
        <w:t>Паспорт концепции и обязательное разграничение терминов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СТАТУС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Концептуальный проект. Документ не является нормативным актом, юридическим заключением, платёжным инструментом, публичной офертой или решением об эмиссии.</w:t>
            </w:r>
          </w:p>
        </w:tc>
      </w:tr>
    </w:tbl>
    <w:p>
      <w:pPr>
        <w:keepNext w:val="0"/>
        <w:spacing w:before="0" w:after="8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600"/>
        <w:gridCol w:w="4100"/>
        <w:gridCol w:w="3660"/>
      </w:tblGrid>
      <w:tr>
        <w:trPr>
          <w:tblHeader w:val="true"/>
        </w:trPr>
        <w:tc>
          <w:tcPr>
            <w:tcW w:type="dxa" w:w="16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Обозначение</w:t>
            </w:r>
          </w:p>
        </w:tc>
        <w:tc>
          <w:tcPr>
            <w:tcW w:type="dxa" w:w="41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Значение</w:t>
            </w:r>
          </w:p>
        </w:tc>
        <w:tc>
          <w:tcPr>
            <w:tcW w:type="dxa" w:w="366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Статус</w:t>
            </w:r>
          </w:p>
        </w:tc>
      </w:tr>
      <w:tr>
        <w:tc>
          <w:tcPr>
            <w:tcW w:type="dxa" w:w="16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7"/>
              </w:rPr>
              <w:t>СУР</w:t>
            </w:r>
          </w:p>
        </w:tc>
        <w:tc>
          <w:tcPr>
            <w:tcW w:type="dxa" w:w="4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Система управления развитием Российской Федерации</w:t>
            </w:r>
          </w:p>
        </w:tc>
        <w:tc>
          <w:tcPr>
            <w:tcW w:type="dxa" w:w="36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Проектируемая организационно-методическая система</w:t>
            </w:r>
          </w:p>
        </w:tc>
      </w:tr>
      <w:tr>
        <w:tc>
          <w:tcPr>
            <w:tcW w:type="dxa" w:w="1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7"/>
              </w:rPr>
              <w:t>SUR/810</w:t>
            </w:r>
          </w:p>
        </w:tc>
        <w:tc>
          <w:tcPr>
            <w:tcW w:type="dxa" w:w="4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Советский рубль в исторических перечнях ISO 4217</w:t>
            </w:r>
          </w:p>
        </w:tc>
        <w:tc>
          <w:tcPr>
            <w:tcW w:type="dxa" w:w="36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Исторический, недействующий код</w:t>
            </w:r>
          </w:p>
        </w:tc>
      </w:tr>
      <w:tr>
        <w:tc>
          <w:tcPr>
            <w:tcW w:type="dxa" w:w="16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7"/>
              </w:rPr>
              <w:t>RUR/810</w:t>
            </w:r>
          </w:p>
        </w:tc>
        <w:tc>
          <w:tcPr>
            <w:tcW w:type="dxa" w:w="4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Российский рубль до деноминации 1998 года</w:t>
            </w:r>
          </w:p>
        </w:tc>
        <w:tc>
          <w:tcPr>
            <w:tcW w:type="dxa" w:w="36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Исторический, недействующий код</w:t>
            </w:r>
          </w:p>
        </w:tc>
      </w:tr>
      <w:tr>
        <w:tc>
          <w:tcPr>
            <w:tcW w:type="dxa" w:w="1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7"/>
              </w:rPr>
              <w:t>RUB/643</w:t>
            </w:r>
          </w:p>
        </w:tc>
        <w:tc>
          <w:tcPr>
            <w:tcW w:type="dxa" w:w="4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Российский рубль после деноминации</w:t>
            </w:r>
          </w:p>
        </w:tc>
        <w:tc>
          <w:tcPr>
            <w:tcW w:type="dxa" w:w="36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Действующий код российского рубля</w:t>
            </w:r>
          </w:p>
        </w:tc>
      </w:tr>
      <w:tr>
        <w:tc>
          <w:tcPr>
            <w:tcW w:type="dxa" w:w="16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810 в счёте</w:t>
            </w:r>
          </w:p>
        </w:tc>
        <w:tc>
          <w:tcPr>
            <w:tcW w:type="dxa" w:w="4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Технический признак рубля в правилах нумерации</w:t>
            </w:r>
          </w:p>
        </w:tc>
        <w:tc>
          <w:tcPr>
            <w:tcW w:type="dxa" w:w="36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Не является кодом действующей валюты</w:t>
            </w:r>
          </w:p>
        </w:tc>
      </w:tr>
      <w:tr>
        <w:tc>
          <w:tcPr>
            <w:tcW w:type="dxa" w:w="1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Контур 810</w:t>
            </w:r>
          </w:p>
        </w:tc>
        <w:tc>
          <w:tcPr>
            <w:tcW w:type="dxa" w:w="4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Проектное и реестровое имя расчётного контура СУР</w:t>
            </w:r>
          </w:p>
        </w:tc>
        <w:tc>
          <w:tcPr>
            <w:tcW w:type="dxa" w:w="36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Не валюта, не номинал и не средство платежа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2E5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C5A253"/>
                <w:sz w:val="21"/>
              </w:rPr>
              <w:t xml:space="preserve">КЛЮЧЕВАЯ НОРМА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Обозначение «810» применяется только как историко-проектное и реестровое имя. Все юридически значимые расчёты пилота осуществляются в рублях Российской Федерации через уполномоченную банковскую или казначейскую инфраструктуру.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ГЛАВНОЕ</w:t>
      </w:r>
    </w:p>
    <w:p>
      <w:pPr>
        <w:pStyle w:val="Heading1"/>
      </w:pPr>
      <w:r>
        <w:t>Резюме для принятия решения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Российская Федерация располагает национальными целями до 2030 года и на перспективу до 2036 года, системой стратегического планирования, государственными программами, национальными проектами и бюджетными механизмами. Задача следующего этапа состоит не в умножении органов и документов, а в согласовании целей, данных, ресурсов, решений, рисков и измеримых результатов.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СУР предлагается как организационно-методическая и цифровая система интегрированного управления развитием. Единицей управления становится замкнутая доказательная цепочка: цель - исходное состояние - решение - ресурс - исполнение - результат - независимая проверка - корректировка.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Операционное ядро СУР - КРИСТАЛЛ 741: 19 взаимосвязанных балансовых систем управления, 13 фаз жизненного цикла решения и три масштаба управления. Каждая из 741 ячейки получает паспорт ответственности, данных, ресурсов, рисков и результата. Слой 260 задаёт стандарты, показатели, формулы, источники и правила валидации.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Денежно-расчётный контур SUR-810 связывает источник финансирования, обязательство, рублёвый платёж и подтверждённый эффект. На пилотном этапе 810 является историческим идентификатором и реестровым префиксом, а не валютой. Денежное исполнение и учёт ведутся в RUB/643.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ПРЕДЛОЖЕНИЕ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Провести в 2026-2027 годах ограниченный межведомственный пилот на выбранной территории или комплексной задаче; проверить архитектуру СУР, матрицу 741, набор показателей 260 и рублёвый реестр обязательств SUR-810 без выпуска новой денежной единицы.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РЕШЕНИЕ</w:t>
      </w:r>
    </w:p>
    <w:p>
      <w:pPr>
        <w:pStyle w:val="Heading1"/>
      </w:pPr>
      <w:r>
        <w:t>Предлагаемое управленческое решение</w:t>
      </w:r>
    </w:p>
    <w:p>
      <w:pPr>
        <w:numPr>
          <w:ilvl w:val="0"/>
          <w:numId w:val="12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Одобрить разработку и ограниченное пилотирование СУР как системы поддержки решений и межведомственной координации.</w:t>
      </w:r>
    </w:p>
    <w:p>
      <w:pPr>
        <w:numPr>
          <w:ilvl w:val="0"/>
          <w:numId w:val="12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Определить государственного заказчика, координатора, объект пилота и владельца измеримого результата.</w:t>
      </w:r>
    </w:p>
    <w:p>
      <w:pPr>
        <w:numPr>
          <w:ilvl w:val="0"/>
          <w:numId w:val="12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Использовать КРИСТАЛЛ 741 как методическую адресную модель, а каталог 260 - как нормативно-измерительный слой.</w:t>
      </w:r>
    </w:p>
    <w:p>
      <w:pPr>
        <w:numPr>
          <w:ilvl w:val="0"/>
          <w:numId w:val="12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Применять «810» только как проектное и реестровое имя денежно-расчётного контура; исключить денежную эмиссию и публичные обещания обмена.</w:t>
      </w:r>
    </w:p>
    <w:p>
      <w:pPr>
        <w:numPr>
          <w:ilvl w:val="0"/>
          <w:numId w:val="12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Предложить Банку России участие в денежно-правовой экспертизе; обеспечить участие Минфина, Минэкономразвития, Казначейства, Росфинмониторинга, Росстандарта и заинтересованных органов.</w:t>
      </w:r>
    </w:p>
    <w:p>
      <w:pPr>
        <w:numPr>
          <w:ilvl w:val="0"/>
          <w:numId w:val="12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По итогам пилота представить правовую, экономическую, технологическую и организационную оценки и план масштабирования до 2030/2036 годов.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2E5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C5A253"/>
                <w:sz w:val="21"/>
              </w:rPr>
              <w:t xml:space="preserve">ПРИНЦИП  </w:t>
            </w:r>
            <w:r>
              <w:rPr>
                <w:rFonts w:ascii="Arial" w:hAnsi="Arial" w:eastAsia="Arial" w:cs="Arial"/>
                <w:color w:val="1D2730"/>
                <w:sz w:val="21"/>
              </w:rPr>
              <w:t>СУР не заменяет действующие органы власти, не меняет конституционный строй и не перераспределяет полномочия. Она обеспечивает связность данных, решений, ресурсов и доказательств.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ОСНОВАНИЯ</w:t>
      </w:r>
    </w:p>
    <w:p>
      <w:pPr>
        <w:pStyle w:val="Heading1"/>
      </w:pPr>
      <w:r>
        <w:t>Стратегический и нормативный контекст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СУР проектируется как прикладной механизм исполнения уже установленных целей и документов, а не как параллельный контур публичной власти. Нормативные основания задают цели, полномочия и требования; сама СУР требует отдельного решения о пилоте.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3300"/>
        <w:gridCol w:w="4160"/>
      </w:tblGrid>
      <w:tr>
        <w:trPr>
          <w:tblHeader w:val="true"/>
        </w:trPr>
        <w:tc>
          <w:tcPr>
            <w:tcW w:type="dxa" w:w="19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Основание</w:t>
            </w:r>
          </w:p>
        </w:tc>
        <w:tc>
          <w:tcPr>
            <w:tcW w:type="dxa" w:w="33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Что задаёт</w:t>
            </w:r>
          </w:p>
        </w:tc>
        <w:tc>
          <w:tcPr>
            <w:tcW w:type="dxa" w:w="41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Роль для СУР</w:t>
            </w:r>
          </w:p>
        </w:tc>
      </w:tr>
      <w:tr>
        <w:tc>
          <w:tcPr>
            <w:tcW w:type="dxa" w:w="1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Конституция РФ</w:t>
            </w:r>
          </w:p>
        </w:tc>
        <w:tc>
          <w:tcPr>
            <w:tcW w:type="dxa" w:w="3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Полномочия Президента, Правительства и Банка России</w:t>
            </w:r>
          </w:p>
        </w:tc>
        <w:tc>
          <w:tcPr>
            <w:tcW w:type="dxa" w:w="4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Неподмена институтов и законность денежного контура</w:t>
            </w:r>
          </w:p>
        </w:tc>
      </w:tr>
      <w:tr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172-ФЗ</w:t>
            </w:r>
          </w:p>
        </w:tc>
        <w:tc>
          <w:tcPr>
            <w:tcW w:type="dxa" w:w="3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Система стратегического планирования</w:t>
            </w:r>
          </w:p>
        </w:tc>
        <w:tc>
          <w:tcPr>
            <w:tcW w:type="dxa" w:w="4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Связь документов, показателей и мониторинга</w:t>
            </w:r>
          </w:p>
        </w:tc>
      </w:tr>
      <w:tr>
        <w:tc>
          <w:tcPr>
            <w:tcW w:type="dxa" w:w="1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Указ №309</w:t>
            </w:r>
          </w:p>
        </w:tc>
        <w:tc>
          <w:tcPr>
            <w:tcW w:type="dxa" w:w="3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Национальные цели до 2030/2036</w:t>
            </w:r>
          </w:p>
        </w:tc>
        <w:tc>
          <w:tcPr>
            <w:tcW w:type="dxa" w:w="4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Верхний уровень целеполагания</w:t>
            </w:r>
          </w:p>
        </w:tc>
      </w:tr>
      <w:tr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Стратегия пространственного развития №4146-р</w:t>
            </w:r>
          </w:p>
        </w:tc>
        <w:tc>
          <w:tcPr>
            <w:tcW w:type="dxa" w:w="3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Сбалансированное пространственное развитие</w:t>
            </w:r>
          </w:p>
        </w:tc>
        <w:tc>
          <w:tcPr>
            <w:tcW w:type="dxa" w:w="4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Территориальные балансы и пилоты</w:t>
            </w:r>
          </w:p>
        </w:tc>
      </w:tr>
      <w:tr>
        <w:tc>
          <w:tcPr>
            <w:tcW w:type="dxa" w:w="1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Указ №145</w:t>
            </w:r>
          </w:p>
        </w:tc>
        <w:tc>
          <w:tcPr>
            <w:tcW w:type="dxa" w:w="3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Научно-технологическое развитие</w:t>
            </w:r>
          </w:p>
        </w:tc>
        <w:tc>
          <w:tcPr>
            <w:tcW w:type="dxa" w:w="4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Прогноз, технологии и экспертиза</w:t>
            </w:r>
          </w:p>
        </w:tc>
      </w:tr>
      <w:tr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Указ №400</w:t>
            </w:r>
          </w:p>
        </w:tc>
        <w:tc>
          <w:tcPr>
            <w:tcW w:type="dxa" w:w="3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Национальная безопасность</w:t>
            </w:r>
          </w:p>
        </w:tc>
        <w:tc>
          <w:tcPr>
            <w:tcW w:type="dxa" w:w="4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Ограничения, риски и устойчивость</w:t>
            </w:r>
          </w:p>
        </w:tc>
      </w:tr>
      <w:tr>
        <w:tc>
          <w:tcPr>
            <w:tcW w:type="dxa" w:w="1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Постановление №171</w:t>
            </w:r>
          </w:p>
        </w:tc>
        <w:tc>
          <w:tcPr>
            <w:tcW w:type="dxa" w:w="3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Координационный центр Правительства</w:t>
            </w:r>
          </w:p>
        </w:tc>
        <w:tc>
          <w:tcPr>
            <w:tcW w:type="dxa" w:w="4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Совместимость с действующим ситуационным управлением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ОГОВОРКА  </w:t>
            </w:r>
            <w:r>
              <w:rPr>
                <w:rFonts w:ascii="Arial" w:hAnsi="Arial" w:eastAsia="Arial" w:cs="Arial"/>
                <w:color w:val="1D2730"/>
                <w:sz w:val="21"/>
              </w:rPr>
              <w:t>Ссылки на нормативные акты подтверждают совместимость направления, но не означают, что СУР уже создана или наделена государственными полномочиями.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2E5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C5A253"/>
                <w:sz w:val="21"/>
              </w:rPr>
              <w:t xml:space="preserve">ИНТЕГРАЦИОННЫЙ МАРШРУТ  </w:t>
            </w:r>
            <w:r>
              <w:rPr>
                <w:rFonts w:ascii="Arial" w:hAnsi="Arial" w:eastAsia="Arial" w:cs="Arial"/>
                <w:color w:val="1D2730"/>
                <w:sz w:val="21"/>
              </w:rPr>
              <w:t>Юридически надёжная конструкция пилота — модуль или интеграционный контур действующей ФИС стратегического планирования и ГАС «Управление», связанный с национальной системой управления данными и Координационным центром, а не параллельная система публичной власти.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ДИАГНОЗ</w:t>
      </w:r>
    </w:p>
    <w:p>
      <w:pPr>
        <w:pStyle w:val="Heading1"/>
      </w:pPr>
      <w:r>
        <w:t>Проблемное поле: разрыв управленческого цикла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Основной системный дефицит возникает между документом стратегического планирования и фактически подтверждённым результатом. Цели, показатели, бюджеты, проекты, данные, риски и отчётность часто существуют в разных контурах и обновляются с разной периодичностью.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одна и та же цель декомпозируется в несопоставимые показатели и форматы отчётности;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источник данных, формула, версия и владелец показателя не всегда прослеживаются;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межведомственные зависимости обнаруживаются после задержки проекта;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ресурсное решение не всегда связано с конкретным паспортом результата;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сигналы о рисках приходят позже, чем возникает необходимость корректировки;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успешность мероприятия подменяет оценку изменения состояния территории, отрасли или человека.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2E5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C5A253"/>
                <w:sz w:val="21"/>
              </w:rPr>
              <w:t xml:space="preserve">ЦЕЛЕВОЙ ПЕРЕХОД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От разрозненных планов и отчётов - к единому циклу: наблюдение - диагностика - сценарий - решение - ресурс - исполнение - валидация - корректировка.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ЦЕЛЕВАЯ МОДЕЛЬ</w:t>
      </w:r>
    </w:p>
    <w:p>
      <w:pPr>
        <w:pStyle w:val="Heading1"/>
      </w:pPr>
      <w:r>
        <w:t>Определение СУР и границы системы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СУР - это федеративная организационно-методическая и цифровая среда, которая связывает национальные цели, 19 балансов, данные, модели, решения, проектные обязательства, законные расчёты и доказательства результата.</w:t>
      </w:r>
    </w:p>
    <w:p>
      <w:pPr>
        <w:pStyle w:val="Heading2"/>
      </w:pPr>
      <w:r>
        <w:t>СУР выполняет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собирает в единой модели цели, показатели, риски и зависимости;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формирует сценарии и показывает последствия вариантов решения;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адресует ответственность через паспорта модулей КРИСТАЛЛ 741;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связывает ресурсное обязательство с результатом через контур SUR-810;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обеспечивает версионность, происхождение данных и независимую проверку;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возвращает обратную связь в следующий управленческий цикл.</w:t>
      </w:r>
    </w:p>
    <w:p>
      <w:pPr>
        <w:pStyle w:val="Heading2"/>
      </w:pPr>
      <w:r>
        <w:t>СУР не выполняет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не принимает политические или юридически значимые решения вместо уполномоченных органов;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не создаёт 741 орган, 741 информационную систему или новую обязательную отчётность;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не открывает банковские счета, не хранит средства клиентов и не переводит деньги;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не выпускает валюту, денежный суррогат, цифровую валюту или платёжный токен;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не подменяет официальную статистику, бюджетный учёт и государственный аудит.</w:t>
      </w: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АРХИТЕКТУРА</w:t>
      </w:r>
    </w:p>
    <w:p>
      <w:pPr>
        <w:pStyle w:val="Heading1"/>
      </w:pPr>
      <w:r>
        <w:t>Принципы интегрированного управления развитием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7060"/>
      </w:tblGrid>
      <w:tr>
        <w:trPr>
          <w:tblHeader w:val="true"/>
        </w:trPr>
        <w:tc>
          <w:tcPr>
            <w:tcW w:type="dxa" w:w="23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Принцип</w:t>
            </w:r>
          </w:p>
        </w:tc>
        <w:tc>
          <w:tcPr>
            <w:tcW w:type="dxa" w:w="706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Практическое требование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Законность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Каждое решение, полномочие и расчёт имеют правовое основание.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Федеративность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Данные остаются у владельцев; СУР использует согласованные паспорта и интерфейсы.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Субсидиарность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Решение принимается на минимально достаточном уровне управления.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Балансовость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Результат оценивается вместе с ресурсами, ограничениями и побочными эффектами.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Доказательность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У каждого показателя есть формула, источник, версия и валидатор.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Обратимость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Для существенного решения определяются стоп-условия, откат и резервный режим.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Безопасность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Доступ, данные, модели и расчётные события разделяются по классам защиты.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Человекоцентричность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Итогом является изменение качества жизни и устойчивости, а не объём отчётности.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BEAE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9B1C1C"/>
                <w:sz w:val="21"/>
              </w:rPr>
              <w:t xml:space="preserve">НЕИЗМЕННЫЙ БАРЬЕР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Правовая проблема, критический риск или отсутствие полномочий не могут быть компенсированы высоким средним баллом по другим показателям.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ПЯТЬ СЛОЁВ</w:t>
      </w:r>
    </w:p>
    <w:p>
      <w:pPr>
        <w:pStyle w:val="Heading1"/>
      </w:pPr>
      <w:r>
        <w:t>Общая архитектура СУР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4040"/>
        <w:gridCol w:w="3620"/>
      </w:tblGrid>
      <w:tr>
        <w:trPr>
          <w:tblHeader w:val="true"/>
        </w:trPr>
        <w:tc>
          <w:tcPr>
            <w:tcW w:type="dxa" w:w="17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Слой</w:t>
            </w:r>
          </w:p>
        </w:tc>
        <w:tc>
          <w:tcPr>
            <w:tcW w:type="dxa" w:w="40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Назначение</w:t>
            </w:r>
          </w:p>
        </w:tc>
        <w:tc>
          <w:tcPr>
            <w:tcW w:type="dxa" w:w="362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Основной результат</w:t>
            </w:r>
          </w:p>
        </w:tc>
      </w:tr>
      <w:tr>
        <w:tc>
          <w:tcPr>
            <w:tcW w:type="dxa" w:w="17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1. Нормативно-целевой</w:t>
            </w:r>
          </w:p>
        </w:tc>
        <w:tc>
          <w:tcPr>
            <w:tcW w:type="dxa" w:w="404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Национальные цели, стратегии, полномочия, ограничения</w:t>
            </w:r>
          </w:p>
        </w:tc>
        <w:tc>
          <w:tcPr>
            <w:tcW w:type="dxa" w:w="362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Иерархия целей и правовых оснований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2. Наблюдение и данные</w:t>
            </w:r>
          </w:p>
        </w:tc>
        <w:tc>
          <w:tcPr>
            <w:tcW w:type="dxa" w:w="40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Официальная статистика, ведомственные данные, ГАСМП, обратная связь</w:t>
            </w:r>
          </w:p>
        </w:tc>
        <w:tc>
          <w:tcPr>
            <w:tcW w:type="dxa" w:w="36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Проверяемая картина состояния</w:t>
            </w:r>
          </w:p>
        </w:tc>
      </w:tr>
      <w:tr>
        <w:tc>
          <w:tcPr>
            <w:tcW w:type="dxa" w:w="17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3. Аналитика и прогноз</w:t>
            </w:r>
          </w:p>
        </w:tc>
        <w:tc>
          <w:tcPr>
            <w:tcW w:type="dxa" w:w="404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ЭКВИЛИБРИУМ, балансы, сценарии, ранние сигналы</w:t>
            </w:r>
          </w:p>
        </w:tc>
        <w:tc>
          <w:tcPr>
            <w:tcW w:type="dxa" w:w="362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Варианты решений и последствия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4. Проектное исполнение</w:t>
            </w:r>
          </w:p>
        </w:tc>
        <w:tc>
          <w:tcPr>
            <w:tcW w:type="dxa" w:w="40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СФЕРА, ECO-PPA, СПЕЦЗАЩИТА, портфель проектов</w:t>
            </w:r>
          </w:p>
        </w:tc>
        <w:tc>
          <w:tcPr>
            <w:tcW w:type="dxa" w:w="36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Ответственные, ресурсы, сроки</w:t>
            </w:r>
          </w:p>
        </w:tc>
      </w:tr>
      <w:tr>
        <w:tc>
          <w:tcPr>
            <w:tcW w:type="dxa" w:w="17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5. Расчёт и доказательство</w:t>
            </w:r>
          </w:p>
        </w:tc>
        <w:tc>
          <w:tcPr>
            <w:tcW w:type="dxa" w:w="404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SUR-810, банковские/казначейские статусы, ESG-IR 1.0</w:t>
            </w:r>
          </w:p>
        </w:tc>
        <w:tc>
          <w:tcPr>
            <w:tcW w:type="dxa" w:w="362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Связь обязательства, платежа и результата</w:t>
            </w:r>
          </w:p>
        </w:tc>
      </w:tr>
    </w:tbl>
    <w:p>
      <w:pPr>
        <w:keepNext w:val="0"/>
        <w:spacing w:before="0" w:after="80"/>
      </w:pP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Все слои используют общий идентификатор объекта и версию паспорта, но сохраняют юридическое разделение полномочий, данных и ответственности.</w:t>
      </w: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АРХИТЕКТУРА</w:t>
      </w:r>
    </w:p>
    <w:p>
      <w:pPr>
        <w:pStyle w:val="Heading1"/>
      </w:pPr>
      <w:r>
        <w:t>Институциональная модель и распределение полномочий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СУР встраивается в действующую систему публичного управления. Каждый институт сохраняет конституционные и законные полномочия; цифровая платформа предоставляет согласованную информацию, маршруты координации и доказательный пакет.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4250"/>
        <w:gridCol w:w="3310"/>
      </w:tblGrid>
      <w:tr>
        <w:trPr>
          <w:tblHeader w:val="true"/>
        </w:trPr>
        <w:tc>
          <w:tcPr>
            <w:tcW w:type="dxa" w:w="18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Институт</w:t>
            </w:r>
          </w:p>
        </w:tc>
        <w:tc>
          <w:tcPr>
            <w:tcW w:type="dxa" w:w="425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Роль в контуре</w:t>
            </w:r>
          </w:p>
        </w:tc>
        <w:tc>
          <w:tcPr>
            <w:tcW w:type="dxa" w:w="331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Граница</w:t>
            </w:r>
          </w:p>
        </w:tc>
      </w:tr>
      <w:tr>
        <w:tc>
          <w:tcPr>
            <w:tcW w:type="dxa" w:w="1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Президент РФ</w:t>
            </w:r>
          </w:p>
        </w:tc>
        <w:tc>
          <w:tcPr>
            <w:tcW w:type="dxa" w:w="42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Национальные цели и стратегические приоритеты</w:t>
            </w:r>
          </w:p>
        </w:tc>
        <w:tc>
          <w:tcPr>
            <w:tcW w:type="dxa" w:w="33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СУР не формирует политические решения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Администрация Президента</w:t>
            </w:r>
          </w:p>
        </w:tc>
        <w:tc>
          <w:tcPr>
            <w:tcW w:type="dxa" w:w="42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Согласованность приоритетов и контроль поручений</w:t>
            </w:r>
          </w:p>
        </w:tc>
        <w:tc>
          <w:tcPr>
            <w:tcW w:type="dxa" w:w="33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Не подменяется ведомственное исполнение</w:t>
            </w:r>
          </w:p>
        </w:tc>
      </w:tr>
      <w:tr>
        <w:tc>
          <w:tcPr>
            <w:tcW w:type="dxa" w:w="1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Правительство РФ</w:t>
            </w:r>
          </w:p>
        </w:tc>
        <w:tc>
          <w:tcPr>
            <w:tcW w:type="dxa" w:w="42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Портфель, ресурсы, межведомственное исполнение</w:t>
            </w:r>
          </w:p>
        </w:tc>
        <w:tc>
          <w:tcPr>
            <w:tcW w:type="dxa" w:w="33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Юридически значимые решения — по установленным процедурам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Государственный Совет</w:t>
            </w:r>
          </w:p>
        </w:tc>
        <w:tc>
          <w:tcPr>
            <w:tcW w:type="dxa" w:w="42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Федерально-региональная координация</w:t>
            </w:r>
          </w:p>
        </w:tc>
        <w:tc>
          <w:tcPr>
            <w:tcW w:type="dxa" w:w="33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Сохраняются полномочия субъектов РФ</w:t>
            </w:r>
          </w:p>
        </w:tc>
      </w:tr>
      <w:tr>
        <w:tc>
          <w:tcPr>
            <w:tcW w:type="dxa" w:w="1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Совет Безопасности</w:t>
            </w:r>
          </w:p>
        </w:tc>
        <w:tc>
          <w:tcPr>
            <w:tcW w:type="dxa" w:w="42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Риски, безопасность и устойчивость</w:t>
            </w:r>
          </w:p>
        </w:tc>
        <w:tc>
          <w:tcPr>
            <w:tcW w:type="dxa" w:w="33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Доступ — по режимам и допускам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Федеральное Собрание</w:t>
            </w:r>
          </w:p>
        </w:tc>
        <w:tc>
          <w:tcPr>
            <w:tcW w:type="dxa" w:w="42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Законодательство и парламентский контроль</w:t>
            </w:r>
          </w:p>
        </w:tc>
        <w:tc>
          <w:tcPr>
            <w:tcW w:type="dxa" w:w="33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СУР не заменяет законотворчество</w:t>
            </w:r>
          </w:p>
        </w:tc>
      </w:tr>
      <w:tr>
        <w:tc>
          <w:tcPr>
            <w:tcW w:type="dxa" w:w="1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Банк России</w:t>
            </w:r>
          </w:p>
        </w:tc>
        <w:tc>
          <w:tcPr>
            <w:tcW w:type="dxa" w:w="42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Денежно-кредитная и платёжная компетенция</w:t>
            </w:r>
          </w:p>
        </w:tc>
        <w:tc>
          <w:tcPr>
            <w:tcW w:type="dxa" w:w="33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Участие предлагается; решения — в пределах независимого мандата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Казначейство России</w:t>
            </w:r>
          </w:p>
        </w:tc>
        <w:tc>
          <w:tcPr>
            <w:tcW w:type="dxa" w:w="42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Казначейское исполнение и бюджетная прослеживаемость</w:t>
            </w:r>
          </w:p>
        </w:tc>
        <w:tc>
          <w:tcPr>
            <w:tcW w:type="dxa" w:w="33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СУР не открывает и не ведёт казначейские счета</w:t>
            </w:r>
          </w:p>
        </w:tc>
      </w:tr>
      <w:tr>
        <w:tc>
          <w:tcPr>
            <w:tcW w:type="dxa" w:w="1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Счётная палата</w:t>
            </w:r>
          </w:p>
        </w:tc>
        <w:tc>
          <w:tcPr>
            <w:tcW w:type="dxa" w:w="42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Внешний государственный аудит</w:t>
            </w:r>
          </w:p>
        </w:tc>
        <w:tc>
          <w:tcPr>
            <w:tcW w:type="dxa" w:w="33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Независимая оценка не подменяется самооценкой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Росстат</w:t>
            </w:r>
          </w:p>
        </w:tc>
        <w:tc>
          <w:tcPr>
            <w:tcW w:type="dxa" w:w="42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Официальная статистическая информация</w:t>
            </w:r>
          </w:p>
        </w:tc>
        <w:tc>
          <w:tcPr>
            <w:tcW w:type="dxa" w:w="33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Авторские индексы маркируются отдельно</w:t>
            </w:r>
          </w:p>
        </w:tc>
      </w:tr>
      <w:tr>
        <w:tc>
          <w:tcPr>
            <w:tcW w:type="dxa" w:w="1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Субъекты и муниципалитеты</w:t>
            </w:r>
          </w:p>
        </w:tc>
        <w:tc>
          <w:tcPr>
            <w:tcW w:type="dxa" w:w="42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Территориальное исполнение и обратная связь</w:t>
            </w:r>
          </w:p>
        </w:tc>
        <w:tc>
          <w:tcPr>
            <w:tcW w:type="dxa" w:w="33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Применяется принцип субсидиарности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ФОРМУЛА ВСТРАИВАНИЯ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Полномочие остаётся у института; СУР связывает основание, данные, вариант решения, ресурс, исполнение и проверку.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АРХИТЕКТУРА</w:t>
      </w:r>
    </w:p>
    <w:p>
      <w:pPr>
        <w:pStyle w:val="Heading1"/>
      </w:pPr>
      <w:r>
        <w:t>Экосистема СУР: роли без дублирования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4350"/>
        <w:gridCol w:w="3310"/>
      </w:tblGrid>
      <w:tr>
        <w:trPr>
          <w:tblHeader w:val="true"/>
        </w:trPr>
        <w:tc>
          <w:tcPr>
            <w:tcW w:type="dxa" w:w="17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Компонент</w:t>
            </w:r>
          </w:p>
        </w:tc>
        <w:tc>
          <w:tcPr>
            <w:tcW w:type="dxa" w:w="435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Функция</w:t>
            </w:r>
          </w:p>
        </w:tc>
        <w:tc>
          <w:tcPr>
            <w:tcW w:type="dxa" w:w="331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Результат</w:t>
            </w:r>
          </w:p>
        </w:tc>
      </w:tr>
      <w:tr>
        <w:tc>
          <w:tcPr>
            <w:tcW w:type="dxa" w:w="17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ЭКВИЛИБРИУМ</w:t>
            </w:r>
          </w:p>
        </w:tc>
        <w:tc>
          <w:tcPr>
            <w:tcW w:type="dxa" w:w="43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Балансовая аналитика, прогноз и сценарии</w:t>
            </w:r>
          </w:p>
        </w:tc>
        <w:tc>
          <w:tcPr>
            <w:tcW w:type="dxa" w:w="33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Обоснованные варианты решения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ГАСМП</w:t>
            </w:r>
          </w:p>
        </w:tc>
        <w:tc>
          <w:tcPr>
            <w:tcW w:type="dxa" w:w="43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Наблюдение и ранние сигналы</w:t>
            </w:r>
          </w:p>
        </w:tc>
        <w:tc>
          <w:tcPr>
            <w:tcW w:type="dxa" w:w="33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Подтверждённое событие или отклонение</w:t>
            </w:r>
          </w:p>
        </w:tc>
      </w:tr>
      <w:tr>
        <w:tc>
          <w:tcPr>
            <w:tcW w:type="dxa" w:w="17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КРИСТАЛЛ 741</w:t>
            </w:r>
          </w:p>
        </w:tc>
        <w:tc>
          <w:tcPr>
            <w:tcW w:type="dxa" w:w="43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Адресация объекта, фазы и масштаба</w:t>
            </w:r>
          </w:p>
        </w:tc>
        <w:tc>
          <w:tcPr>
            <w:tcW w:type="dxa" w:w="33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Паспорт управленческого модуля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СФЕРА</w:t>
            </w:r>
          </w:p>
        </w:tc>
        <w:tc>
          <w:tcPr>
            <w:tcW w:type="dxa" w:w="43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Приём и маршрутизация инициатив</w:t>
            </w:r>
          </w:p>
        </w:tc>
        <w:tc>
          <w:tcPr>
            <w:tcW w:type="dxa" w:w="33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Прозрачный статус предложения</w:t>
            </w:r>
          </w:p>
        </w:tc>
      </w:tr>
      <w:tr>
        <w:tc>
          <w:tcPr>
            <w:tcW w:type="dxa" w:w="17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ECO-PPA</w:t>
            </w:r>
          </w:p>
        </w:tc>
        <w:tc>
          <w:tcPr>
            <w:tcW w:type="dxa" w:w="43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Структурирование проекта и ресурсных обязательств</w:t>
            </w:r>
          </w:p>
        </w:tc>
        <w:tc>
          <w:tcPr>
            <w:tcW w:type="dxa" w:w="33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Согласованный проектный пакет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СПЕЦЗАЩИТА</w:t>
            </w:r>
          </w:p>
        </w:tc>
        <w:tc>
          <w:tcPr>
            <w:tcW w:type="dxa" w:w="43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Исполнение и защита критичных процессов</w:t>
            </w:r>
          </w:p>
        </w:tc>
        <w:tc>
          <w:tcPr>
            <w:tcW w:type="dxa" w:w="33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Результат и первичные доказательства</w:t>
            </w:r>
          </w:p>
        </w:tc>
      </w:tr>
      <w:tr>
        <w:tc>
          <w:tcPr>
            <w:tcW w:type="dxa" w:w="17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ESG-IR 1.0</w:t>
            </w:r>
          </w:p>
        </w:tc>
        <w:tc>
          <w:tcPr>
            <w:tcW w:type="dxa" w:w="43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Паспорт показателя и независимая валидация</w:t>
            </w:r>
          </w:p>
        </w:tc>
        <w:tc>
          <w:tcPr>
            <w:tcW w:type="dxa" w:w="33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Доказательная отчётность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SUR-810</w:t>
            </w:r>
          </w:p>
        </w:tc>
        <w:tc>
          <w:tcPr>
            <w:tcW w:type="dxa" w:w="43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Связь обязательства, рублёвого платежа и результата</w:t>
            </w:r>
          </w:p>
        </w:tc>
        <w:tc>
          <w:tcPr>
            <w:tcW w:type="dxa" w:w="33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Прослеживаемый расчётный след</w:t>
            </w:r>
          </w:p>
        </w:tc>
      </w:tr>
    </w:tbl>
    <w:p>
      <w:pPr>
        <w:keepNext w:val="0"/>
        <w:spacing w:before="0" w:after="80"/>
      </w:pP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Типовая цепочка: ГАСМП выявляет сигнал → ЭКВИЛИБРИУМ формирует сценарии → КРИСТАЛЛ 741 адресует модуль → СФЕРА регистрирует инициативу → ECO-PPA оформляет проект → СПЕЦЗАЩИТА обеспечивает исполнение → SUR-810 сверяет обязательство и платёж → ESG-IR 1.0 подтверждает результат.</w:t>
      </w: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ИДЕНТИФИКАТОРЫ</w:t>
      </w:r>
    </w:p>
    <w:p>
      <w:pPr>
        <w:pStyle w:val="Heading1"/>
      </w:pPr>
      <w:r>
        <w:t>Три кода — три разные функции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200"/>
        <w:gridCol w:w="4750"/>
        <w:gridCol w:w="3410"/>
      </w:tblGrid>
      <w:tr>
        <w:trPr>
          <w:tblHeader w:val="true"/>
        </w:trPr>
        <w:tc>
          <w:tcPr>
            <w:tcW w:type="dxa" w:w="12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8"/>
              </w:rPr>
              <w:t>Код</w:t>
            </w:r>
          </w:p>
        </w:tc>
        <w:tc>
          <w:tcPr>
            <w:tcW w:type="dxa" w:w="475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8"/>
              </w:rPr>
              <w:t>Функция</w:t>
            </w:r>
          </w:p>
        </w:tc>
        <w:tc>
          <w:tcPr>
            <w:tcW w:type="dxa" w:w="341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8"/>
              </w:rPr>
              <w:t>Что код не означает</w:t>
            </w:r>
          </w:p>
        </w:tc>
      </w:tr>
      <w:tr>
        <w:tc>
          <w:tcPr>
            <w:tcW w:type="dxa" w:w="1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8"/>
              </w:rPr>
              <w:t>810</w:t>
            </w:r>
          </w:p>
        </w:tc>
        <w:tc>
          <w:tcPr>
            <w:tcW w:type="dxa" w:w="47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8"/>
              </w:rPr>
              <w:t>Историческая память расчётов и имя реестра прослеживаемости</w:t>
            </w:r>
          </w:p>
        </w:tc>
        <w:tc>
          <w:tcPr>
            <w:tcW w:type="dxa" w:w="34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8"/>
              </w:rPr>
              <w:t>Не действующая валюта и не коэффициент стоимости</w:t>
            </w:r>
          </w:p>
        </w:tc>
      </w:tr>
      <w:tr>
        <w:tc>
          <w:tcPr>
            <w:tcW w:type="dxa" w:w="1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8"/>
              </w:rPr>
              <w:t>741</w:t>
            </w:r>
          </w:p>
        </w:tc>
        <w:tc>
          <w:tcPr>
            <w:tcW w:type="dxa" w:w="47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8"/>
              </w:rPr>
              <w:t>19 балансовых систем управления × 13 фаз × 3 масштаба</w:t>
            </w:r>
          </w:p>
        </w:tc>
        <w:tc>
          <w:tcPr>
            <w:tcW w:type="dxa" w:w="34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8"/>
              </w:rPr>
              <w:t>Не количество органов, ведомств или обязательных отчётов</w:t>
            </w:r>
          </w:p>
        </w:tc>
      </w:tr>
      <w:tr>
        <w:tc>
          <w:tcPr>
            <w:tcW w:type="dxa" w:w="1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8"/>
              </w:rPr>
              <w:t>260</w:t>
            </w:r>
          </w:p>
        </w:tc>
        <w:tc>
          <w:tcPr>
            <w:tcW w:type="dxa" w:w="47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8"/>
              </w:rPr>
              <w:t>Каталог стандартов, показателей, формул и правил проверки</w:t>
            </w:r>
          </w:p>
        </w:tc>
        <w:tc>
          <w:tcPr>
            <w:tcW w:type="dxa" w:w="34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8"/>
              </w:rPr>
              <w:t>Не фиксированный навсегда перечень нормативных актов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2E5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C5A253"/>
                <w:sz w:val="21"/>
              </w:rPr>
              <w:t xml:space="preserve">КОРОТКАЯ ФОРМУЛА  </w:t>
            </w:r>
            <w:r>
              <w:rPr>
                <w:rFonts w:ascii="Arial" w:hAnsi="Arial" w:eastAsia="Arial" w:cs="Arial"/>
                <w:color w:val="1D2730"/>
                <w:sz w:val="21"/>
              </w:rPr>
              <w:t>810 — прослеживаемость ресурса. 741 — адрес управленческого действия. 260 — измерение и валидация результата.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ДЕНЕЖНО-РАСЧЁТНЫЙ КОНТУР</w:t>
      </w:r>
    </w:p>
    <w:p>
      <w:pPr>
        <w:pStyle w:val="Heading1"/>
      </w:pPr>
      <w:r>
        <w:t>Код 810: историческая хронология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1700"/>
        <w:gridCol w:w="5460"/>
      </w:tblGrid>
      <w:tr>
        <w:trPr>
          <w:tblHeader w:val="true"/>
        </w:trPr>
        <w:tc>
          <w:tcPr>
            <w:tcW w:type="dxa" w:w="22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Период / объект</w:t>
            </w:r>
          </w:p>
        </w:tc>
        <w:tc>
          <w:tcPr>
            <w:tcW w:type="dxa" w:w="17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Обозначение</w:t>
            </w:r>
          </w:p>
        </w:tc>
        <w:tc>
          <w:tcPr>
            <w:tcW w:type="dxa" w:w="54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Корректная интерпретация</w:t>
            </w:r>
          </w:p>
        </w:tc>
      </w:tr>
      <w:tr>
        <w:tc>
          <w:tcPr>
            <w:tcW w:type="dxa" w:w="2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Советский рубль</w:t>
            </w:r>
          </w:p>
        </w:tc>
        <w:tc>
          <w:tcPr>
            <w:tcW w:type="dxa" w:w="17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SUR / 810</w:t>
            </w:r>
          </w:p>
        </w:tc>
        <w:tc>
          <w:tcPr>
            <w:tcW w:type="dxa" w:w="54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Историческое валютное обозначение в перечнях ISO 4217</w:t>
            </w:r>
          </w:p>
        </w:tc>
      </w:tr>
      <w:tr>
        <w:tc>
          <w:tcPr>
            <w:tcW w:type="dxa" w:w="2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Российский рубль до деноминации</w:t>
            </w:r>
          </w:p>
        </w:tc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RUR / 810</w:t>
            </w:r>
          </w:p>
        </w:tc>
        <w:tc>
          <w:tcPr>
            <w:tcW w:type="dxa" w:w="54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Историческое обозначение российского рубля старого масштаба</w:t>
            </w:r>
          </w:p>
        </w:tc>
      </w:tr>
      <w:tr>
        <w:tc>
          <w:tcPr>
            <w:tcW w:type="dxa" w:w="2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Деноминация с 01.01.1998</w:t>
            </w:r>
          </w:p>
        </w:tc>
        <w:tc>
          <w:tcPr>
            <w:tcW w:type="dxa" w:w="17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1000 : 1</w:t>
            </w:r>
          </w:p>
        </w:tc>
        <w:tc>
          <w:tcPr>
            <w:tcW w:type="dxa" w:w="54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Завершённое изменение масштаба цен; не современный курс</w:t>
            </w:r>
          </w:p>
        </w:tc>
      </w:tr>
      <w:tr>
        <w:tc>
          <w:tcPr>
            <w:tcW w:type="dxa" w:w="2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Действующий российский рубль</w:t>
            </w:r>
          </w:p>
        </w:tc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RUB / 643</w:t>
            </w:r>
          </w:p>
        </w:tc>
        <w:tc>
          <w:tcPr>
            <w:tcW w:type="dxa" w:w="54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Текущий код денежного исполнения и учёта</w:t>
            </w:r>
          </w:p>
        </w:tc>
      </w:tr>
      <w:tr>
        <w:tc>
          <w:tcPr>
            <w:tcW w:type="dxa" w:w="2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Номер банковского счёта</w:t>
            </w:r>
          </w:p>
        </w:tc>
        <w:tc>
          <w:tcPr>
            <w:tcW w:type="dxa" w:w="17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признак 810</w:t>
            </w:r>
          </w:p>
        </w:tc>
        <w:tc>
          <w:tcPr>
            <w:tcW w:type="dxa" w:w="54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Технический признак рубля по правилам Банка России</w:t>
            </w:r>
          </w:p>
        </w:tc>
      </w:tr>
      <w:tr>
        <w:tc>
          <w:tcPr>
            <w:tcW w:type="dxa" w:w="2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Проект СУР</w:t>
            </w:r>
          </w:p>
        </w:tc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SUR-810</w:t>
            </w:r>
          </w:p>
        </w:tc>
        <w:tc>
          <w:tcPr>
            <w:tcW w:type="dxa" w:w="54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Название реестра связи ресурса, обязательства, платежа и результата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BEAE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9B1C1C"/>
                <w:sz w:val="21"/>
              </w:rPr>
              <w:t xml:space="preserve">ВАЖНО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Историческое соотношение 1000:1 не создаёт сегодня второго рубля, обменного курса, требования к банку или права на перерасчёт средств.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ПРАВОВАЯ ЯСНОСТЬ</w:t>
      </w:r>
    </w:p>
    <w:p>
      <w:pPr>
        <w:pStyle w:val="Heading1"/>
      </w:pPr>
      <w:r>
        <w:t>810 и 643: факты, мифы и обязательный дисклеймер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400"/>
        <w:gridCol w:w="1300"/>
        <w:gridCol w:w="4660"/>
      </w:tblGrid>
      <w:tr>
        <w:trPr>
          <w:tblHeader w:val="true"/>
        </w:trPr>
        <w:tc>
          <w:tcPr>
            <w:tcW w:type="dxa" w:w="34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Утверждение</w:t>
            </w:r>
          </w:p>
        </w:tc>
        <w:tc>
          <w:tcPr>
            <w:tcW w:type="dxa" w:w="13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Оценка</w:t>
            </w:r>
          </w:p>
        </w:tc>
        <w:tc>
          <w:tcPr>
            <w:tcW w:type="dxa" w:w="466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Корректная позиция</w:t>
            </w:r>
          </w:p>
        </w:tc>
      </w:tr>
      <w:tr>
        <w:tc>
          <w:tcPr>
            <w:tcW w:type="dxa" w:w="34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В России обращаются два рубля — 810 и 643</w:t>
            </w:r>
          </w:p>
        </w:tc>
        <w:tc>
          <w:tcPr>
            <w:tcW w:type="dxa" w:w="1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Неверно</w:t>
            </w:r>
          </w:p>
        </w:tc>
        <w:tc>
          <w:tcPr>
            <w:tcW w:type="dxa" w:w="46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Действующий рубль обозначается RUB/643</w:t>
            </w:r>
          </w:p>
        </w:tc>
      </w:tr>
      <w:tr>
        <w:tc>
          <w:tcPr>
            <w:tcW w:type="dxa" w:w="34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810 в счёте означает советские рубли</w:t>
            </w:r>
          </w:p>
        </w:tc>
        <w:tc>
          <w:tcPr>
            <w:tcW w:type="dxa" w:w="1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Неверно</w:t>
            </w:r>
          </w:p>
        </w:tc>
        <w:tc>
          <w:tcPr>
            <w:tcW w:type="dxa" w:w="46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Это технический признак рубля в структуре счёта</w:t>
            </w:r>
          </w:p>
        </w:tc>
      </w:tr>
      <w:tr>
        <w:tc>
          <w:tcPr>
            <w:tcW w:type="dxa" w:w="34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Сумму на счёте следует умножить на 1000</w:t>
            </w:r>
          </w:p>
        </w:tc>
        <w:tc>
          <w:tcPr>
            <w:tcW w:type="dxa" w:w="1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Неверно</w:t>
            </w:r>
          </w:p>
        </w:tc>
        <w:tc>
          <w:tcPr>
            <w:tcW w:type="dxa" w:w="46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1000:1 — завершённая деноминация 1998 года</w:t>
            </w:r>
          </w:p>
        </w:tc>
      </w:tr>
      <w:tr>
        <w:tc>
          <w:tcPr>
            <w:tcW w:type="dxa" w:w="34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ISO-код сам создаёт денежное требование</w:t>
            </w:r>
          </w:p>
        </w:tc>
        <w:tc>
          <w:tcPr>
            <w:tcW w:type="dxa" w:w="1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Неверно</w:t>
            </w:r>
          </w:p>
        </w:tc>
        <w:tc>
          <w:tcPr>
            <w:tcW w:type="dxa" w:w="46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Классификатор не создаёт обязательство или курс</w:t>
            </w:r>
          </w:p>
        </w:tc>
      </w:tr>
      <w:tr>
        <w:tc>
          <w:tcPr>
            <w:tcW w:type="dxa" w:w="34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SUR-810 можно использовать как имя проекта</w:t>
            </w:r>
          </w:p>
        </w:tc>
        <w:tc>
          <w:tcPr>
            <w:tcW w:type="dxa" w:w="1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Допустимо</w:t>
            </w:r>
          </w:p>
        </w:tc>
        <w:tc>
          <w:tcPr>
            <w:tcW w:type="dxa" w:w="46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При ясном дисклеймере и расчётах только в RUB</w:t>
            </w:r>
          </w:p>
        </w:tc>
      </w:tr>
      <w:tr>
        <w:tc>
          <w:tcPr>
            <w:tcW w:type="dxa" w:w="34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Условная единица возможна в договоре</w:t>
            </w:r>
          </w:p>
        </w:tc>
        <w:tc>
          <w:tcPr>
            <w:tcW w:type="dxa" w:w="1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Условно</w:t>
            </w:r>
          </w:p>
        </w:tc>
        <w:tc>
          <w:tcPr>
            <w:tcW w:type="dxa" w:w="46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После правовой квалификации и с определимым рублёвым исполнением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2E5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C5A253"/>
                <w:sz w:val="21"/>
              </w:rPr>
              <w:t xml:space="preserve">ДИСКЛЕЙМЕР  </w:t>
            </w:r>
            <w:r>
              <w:rPr>
                <w:rFonts w:ascii="Arial" w:hAnsi="Arial" w:eastAsia="Arial" w:cs="Arial"/>
                <w:color w:val="1D2730"/>
                <w:sz w:val="21"/>
              </w:rPr>
              <w:t>SUR-810 — проектное обозначение. Не валюта, не цифровая валюта, не денежный суррогат и не платёжное средство. Все расчёты производятся в рублях Российской Федерации.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ПРАВОВАЯ МОДЕЛЬ</w:t>
      </w:r>
    </w:p>
    <w:p>
      <w:pPr>
        <w:pStyle w:val="Heading1"/>
      </w:pPr>
      <w:r>
        <w:t>Допустимые сценарии использования обозначения 810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650"/>
        <w:gridCol w:w="4110"/>
      </w:tblGrid>
      <w:tr>
        <w:trPr>
          <w:tblHeader w:val="true"/>
        </w:trPr>
        <w:tc>
          <w:tcPr>
            <w:tcW w:type="dxa" w:w="36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Сценарий</w:t>
            </w:r>
          </w:p>
        </w:tc>
        <w:tc>
          <w:tcPr>
            <w:tcW w:type="dxa" w:w="165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Риск</w:t>
            </w:r>
          </w:p>
        </w:tc>
        <w:tc>
          <w:tcPr>
            <w:tcW w:type="dxa" w:w="411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Решение для концепции</w:t>
            </w:r>
          </w:p>
        </w:tc>
      </w:tr>
      <w:tr>
        <w:tc>
          <w:tcPr>
            <w:tcW w:type="dxa" w:w="36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Исторический символ и имя реестра</w:t>
            </w:r>
          </w:p>
        </w:tc>
        <w:tc>
          <w:tcPr>
            <w:tcW w:type="dxa" w:w="16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Низкий</w:t>
            </w:r>
          </w:p>
        </w:tc>
        <w:tc>
          <w:tcPr>
            <w:tcW w:type="dxa" w:w="41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Применять сейчас с дисклеймером</w:t>
            </w:r>
          </w:p>
        </w:tc>
      </w:tr>
      <w:tr>
        <w:tc>
          <w:tcPr>
            <w:tcW w:type="dxa" w:w="3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Непередаваемый аналитический индекс</w:t>
            </w:r>
          </w:p>
        </w:tc>
        <w:tc>
          <w:tcPr>
            <w:tcW w:type="dxa" w:w="16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Низкий–средний</w:t>
            </w:r>
          </w:p>
        </w:tc>
        <w:tc>
          <w:tcPr>
            <w:tcW w:type="dxa" w:w="41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Методика, аудит, отсутствие обещания обмена</w:t>
            </w:r>
          </w:p>
        </w:tc>
      </w:tr>
      <w:tr>
        <w:tc>
          <w:tcPr>
            <w:tcW w:type="dxa" w:w="36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Договорная условная единица</w:t>
            </w:r>
          </w:p>
        </w:tc>
        <w:tc>
          <w:tcPr>
            <w:tcW w:type="dxa" w:w="16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Средний</w:t>
            </w:r>
          </w:p>
        </w:tc>
        <w:tc>
          <w:tcPr>
            <w:tcW w:type="dxa" w:w="41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Только после правового заключения и типового договора</w:t>
            </w:r>
          </w:p>
        </w:tc>
      </w:tr>
      <w:tr>
        <w:tc>
          <w:tcPr>
            <w:tcW w:type="dxa" w:w="3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Баллы закрытого проекта</w:t>
            </w:r>
          </w:p>
        </w:tc>
        <w:tc>
          <w:tcPr>
            <w:tcW w:type="dxa" w:w="16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Средний–высокий</w:t>
            </w:r>
          </w:p>
        </w:tc>
        <w:tc>
          <w:tcPr>
            <w:tcW w:type="dxa" w:w="41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Не продавать, не обналичивать, не обещать универсальное принятие</w:t>
            </w:r>
          </w:p>
        </w:tc>
      </w:tr>
      <w:tr>
        <w:tc>
          <w:tcPr>
            <w:tcW w:type="dxa" w:w="36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Многосторонний клиринг</w:t>
            </w:r>
          </w:p>
        </w:tc>
        <w:tc>
          <w:tcPr>
            <w:tcW w:type="dxa" w:w="16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Высокий</w:t>
            </w:r>
          </w:p>
        </w:tc>
        <w:tc>
          <w:tcPr>
            <w:tcW w:type="dxa" w:w="41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Не включать в базовый пилот; возможен лишь с регулируемым партнёром</w:t>
            </w:r>
          </w:p>
        </w:tc>
      </w:tr>
      <w:tr>
        <w:tc>
          <w:tcPr>
            <w:tcW w:type="dxa" w:w="3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Передаваемый токен или цифровое право</w:t>
            </w:r>
          </w:p>
        </w:tc>
        <w:tc>
          <w:tcPr>
            <w:tcW w:type="dxa" w:w="16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Очень высокий</w:t>
            </w:r>
          </w:p>
        </w:tc>
        <w:tc>
          <w:tcPr>
            <w:tcW w:type="dxa" w:w="41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Отдельный регулируемый проект на законной инфраструктуре</w:t>
            </w:r>
          </w:p>
        </w:tc>
      </w:tr>
      <w:tr>
        <w:tc>
          <w:tcPr>
            <w:tcW w:type="dxa" w:w="36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Параллельная валюта «рубль 810»</w:t>
            </w:r>
          </w:p>
        </w:tc>
        <w:tc>
          <w:tcPr>
            <w:tcW w:type="dxa" w:w="16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Недопустимый</w:t>
            </w:r>
          </w:p>
        </w:tc>
        <w:tc>
          <w:tcPr>
            <w:tcW w:type="dxa" w:w="41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Исключить из концепции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РЕКОМЕНДУЕМЫЙ МАРШРУТ  </w:t>
            </w:r>
            <w:r>
              <w:rPr>
                <w:rFonts w:ascii="Arial" w:hAnsi="Arial" w:eastAsia="Arial" w:cs="Arial"/>
                <w:color w:val="1D2730"/>
                <w:sz w:val="21"/>
              </w:rPr>
              <w:t>Этап 1 — исторический знак и реестр; этап 2 — аналитический индекс; договорная единица — только после отдельного правового меморандума.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ДЕНЕЖНО-РАСЧЁТНЫЙ КОНТУР</w:t>
      </w:r>
    </w:p>
    <w:p>
      <w:pPr>
        <w:pStyle w:val="Heading1"/>
      </w:pPr>
      <w:r>
        <w:t>Трёхслойная модель SUR-810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4300"/>
        <w:gridCol w:w="2960"/>
      </w:tblGrid>
      <w:tr>
        <w:trPr>
          <w:tblHeader w:val="true"/>
        </w:trPr>
        <w:tc>
          <w:tcPr>
            <w:tcW w:type="dxa" w:w="21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Слой</w:t>
            </w:r>
          </w:p>
        </w:tc>
        <w:tc>
          <w:tcPr>
            <w:tcW w:type="dxa" w:w="43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Назначение</w:t>
            </w:r>
          </w:p>
        </w:tc>
        <w:tc>
          <w:tcPr>
            <w:tcW w:type="dxa" w:w="296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Источник юридической истины</w:t>
            </w:r>
          </w:p>
        </w:tc>
      </w:tr>
      <w:tr>
        <w:tc>
          <w:tcPr>
            <w:tcW w:type="dxa" w:w="2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H-810 — исторический</w:t>
            </w:r>
          </w:p>
        </w:tc>
        <w:tc>
          <w:tcPr>
            <w:tcW w:type="dxa" w:w="4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Архив SUR/RUR, сопоставление статистических рядов, документирование деноминации</w:t>
            </w:r>
          </w:p>
        </w:tc>
        <w:tc>
          <w:tcPr>
            <w:tcW w:type="dxa" w:w="29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Первичные исторические документы и официальные данные</w:t>
            </w:r>
          </w:p>
        </w:tc>
      </w:tr>
      <w:tr>
        <w:tc>
          <w:tcPr>
            <w:tcW w:type="dxa" w:w="2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L-643 — юридический</w:t>
            </w:r>
          </w:p>
        </w:tc>
        <w:tc>
          <w:tcPr>
            <w:tcW w:type="dxa" w:w="4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Договоры, бюджетные обязательства, банковские и казначейские платежи</w:t>
            </w:r>
          </w:p>
        </w:tc>
        <w:tc>
          <w:tcPr>
            <w:tcW w:type="dxa" w:w="29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Закон, договор, банк или Казначейство; суммы в RUB</w:t>
            </w:r>
          </w:p>
        </w:tc>
      </w:tr>
      <w:tr>
        <w:tc>
          <w:tcPr>
            <w:tcW w:type="dxa" w:w="2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U-SUR — аналитический</w:t>
            </w:r>
          </w:p>
        </w:tc>
        <w:tc>
          <w:tcPr>
            <w:tcW w:type="dxa" w:w="4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Опциональный индекс стоимости, устойчивости или результата</w:t>
            </w:r>
          </w:p>
        </w:tc>
        <w:tc>
          <w:tcPr>
            <w:tcW w:type="dxa" w:w="29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Утверждённая методика; не изменяет денежное обязательство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2E5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C5A253"/>
                <w:sz w:val="21"/>
              </w:rPr>
              <w:t xml:space="preserve">ПРАВИЛО ПРИОРИТЕТА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При расхождении данных запись закона, договора, банка или Казначейства в RUB имеет приоритет. Аналитическая запись SUR не изменяет денежного обязательства.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ДЕНЕЖНО-РАСЧЁТНЫЙ КОНТУР</w:t>
      </w:r>
    </w:p>
    <w:p>
      <w:pPr>
        <w:pStyle w:val="Heading1"/>
      </w:pPr>
      <w:r>
        <w:t>Финансовый поток и функциональные модули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ДЕНЕЖНЫЙ ПОТОК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Источник финансирования → банк или Казначейство → проектный счёт → подтверждение этапа → решение уполномоченного лица → платёж в RUB → сверка → ESG-IR-отчёт.</w:t>
            </w:r>
          </w:p>
        </w:tc>
      </w:tr>
    </w:tbl>
    <w:p>
      <w:pPr>
        <w:keepNext w:val="0"/>
        <w:spacing w:before="0" w:after="8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4420"/>
        <w:gridCol w:w="3040"/>
      </w:tblGrid>
      <w:tr>
        <w:trPr>
          <w:tblHeader w:val="true"/>
        </w:trPr>
        <w:tc>
          <w:tcPr>
            <w:tcW w:type="dxa" w:w="19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Модуль</w:t>
            </w:r>
          </w:p>
        </w:tc>
        <w:tc>
          <w:tcPr>
            <w:tcW w:type="dxa" w:w="442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Функция</w:t>
            </w:r>
          </w:p>
        </w:tc>
        <w:tc>
          <w:tcPr>
            <w:tcW w:type="dxa" w:w="30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Контрольный результат</w:t>
            </w:r>
          </w:p>
        </w:tc>
      </w:tr>
      <w:tr>
        <w:tc>
          <w:tcPr>
            <w:tcW w:type="dxa" w:w="1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Источники</w:t>
            </w:r>
          </w:p>
        </w:tc>
        <w:tc>
          <w:tcPr>
            <w:tcW w:type="dxa" w:w="442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Реестр бюджетных и внебюджетных источников</w:t>
            </w:r>
          </w:p>
        </w:tc>
        <w:tc>
          <w:tcPr>
            <w:tcW w:type="dxa" w:w="304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Правовое основание и лимит</w:t>
            </w:r>
          </w:p>
        </w:tc>
      </w:tr>
      <w:tr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Обязательства</w:t>
            </w:r>
          </w:p>
        </w:tc>
        <w:tc>
          <w:tcPr>
            <w:tcW w:type="dxa" w:w="44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Договоры, этапы, суммы, сроки</w:t>
            </w:r>
          </w:p>
        </w:tc>
        <w:tc>
          <w:tcPr>
            <w:tcW w:type="dxa" w:w="30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Однозначная связь с проектом</w:t>
            </w:r>
          </w:p>
        </w:tc>
      </w:tr>
      <w:tr>
        <w:tc>
          <w:tcPr>
            <w:tcW w:type="dxa" w:w="1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Платёжный календарь</w:t>
            </w:r>
          </w:p>
        </w:tc>
        <w:tc>
          <w:tcPr>
            <w:tcW w:type="dxa" w:w="442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Планирование кассовых событий</w:t>
            </w:r>
          </w:p>
        </w:tc>
        <w:tc>
          <w:tcPr>
            <w:tcW w:type="dxa" w:w="304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Ранний сигнал дефицита</w:t>
            </w:r>
          </w:p>
        </w:tc>
      </w:tr>
      <w:tr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Приёмка</w:t>
            </w:r>
          </w:p>
        </w:tc>
        <w:tc>
          <w:tcPr>
            <w:tcW w:type="dxa" w:w="44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Подтверждение этапа и результата</w:t>
            </w:r>
          </w:p>
        </w:tc>
        <w:tc>
          <w:tcPr>
            <w:tcW w:type="dxa" w:w="30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Комплект доказательств</w:t>
            </w:r>
          </w:p>
        </w:tc>
      </w:tr>
      <w:tr>
        <w:tc>
          <w:tcPr>
            <w:tcW w:type="dxa" w:w="1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Решение</w:t>
            </w:r>
          </w:p>
        </w:tc>
        <w:tc>
          <w:tcPr>
            <w:tcW w:type="dxa" w:w="442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Авторизация уполномоченным лицом</w:t>
            </w:r>
          </w:p>
        </w:tc>
        <w:tc>
          <w:tcPr>
            <w:tcW w:type="dxa" w:w="304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Подпись и полномочие</w:t>
            </w:r>
          </w:p>
        </w:tc>
      </w:tr>
      <w:tr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Интеграция</w:t>
            </w:r>
          </w:p>
        </w:tc>
        <w:tc>
          <w:tcPr>
            <w:tcW w:type="dxa" w:w="44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Передача распоряжения банку или Казначейству</w:t>
            </w:r>
          </w:p>
        </w:tc>
        <w:tc>
          <w:tcPr>
            <w:tcW w:type="dxa" w:w="30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Статус исполнения в RUB</w:t>
            </w:r>
          </w:p>
        </w:tc>
      </w:tr>
      <w:tr>
        <w:tc>
          <w:tcPr>
            <w:tcW w:type="dxa" w:w="1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Сверка</w:t>
            </w:r>
          </w:p>
        </w:tc>
        <w:tc>
          <w:tcPr>
            <w:tcW w:type="dxa" w:w="442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Сопоставление выписки и проектного реестра</w:t>
            </w:r>
          </w:p>
        </w:tc>
        <w:tc>
          <w:tcPr>
            <w:tcW w:type="dxa" w:w="304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Закрытие T+1 или инцидент</w:t>
            </w:r>
          </w:p>
        </w:tc>
      </w:tr>
      <w:tr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Аудит</w:t>
            </w:r>
          </w:p>
        </w:tc>
        <w:tc>
          <w:tcPr>
            <w:tcW w:type="dxa" w:w="44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Неизменяемый журнал и выгрузка досье</w:t>
            </w:r>
          </w:p>
        </w:tc>
        <w:tc>
          <w:tcPr>
            <w:tcW w:type="dxa" w:w="30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Проверяемая цепочка</w:t>
            </w:r>
          </w:p>
        </w:tc>
      </w:tr>
    </w:tbl>
    <w:p>
      <w:pPr>
        <w:keepNext w:val="0"/>
        <w:spacing w:before="0" w:after="80"/>
      </w:pP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Оператор СУР не принимает клиентские деньги, не открывает счета и не осуществляет переводы. Денежная операция выполняется регулируемой инфраструктурой.</w:t>
      </w: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КОНТРОЛЬ</w:t>
      </w:r>
    </w:p>
    <w:p>
      <w:pPr>
        <w:pStyle w:val="Heading1"/>
      </w:pPr>
      <w:r>
        <w:t>Восемь обязательных контуров финансовой готовности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50"/>
        <w:gridCol w:w="3100"/>
        <w:gridCol w:w="5110"/>
      </w:tblGrid>
      <w:tr>
        <w:trPr>
          <w:tblHeader w:val="true"/>
        </w:trPr>
        <w:tc>
          <w:tcPr>
            <w:tcW w:type="dxa" w:w="115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Код</w:t>
            </w:r>
          </w:p>
        </w:tc>
        <w:tc>
          <w:tcPr>
            <w:tcW w:type="dxa" w:w="31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Контур</w:t>
            </w:r>
          </w:p>
        </w:tc>
        <w:tc>
          <w:tcPr>
            <w:tcW w:type="dxa" w:w="511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Блокирующее условие</w:t>
            </w:r>
          </w:p>
        </w:tc>
      </w:tr>
      <w:tr>
        <w:tc>
          <w:tcPr>
            <w:tcW w:type="dxa" w:w="11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LEG</w:t>
            </w:r>
          </w:p>
        </w:tc>
        <w:tc>
          <w:tcPr>
            <w:tcW w:type="dxa" w:w="3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Правовая квалификация</w:t>
            </w:r>
          </w:p>
        </w:tc>
        <w:tc>
          <w:tcPr>
            <w:tcW w:type="dxa" w:w="51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Неопределённая правовая природа операции</w:t>
            </w:r>
          </w:p>
        </w:tc>
      </w:tr>
      <w:tr>
        <w:tc>
          <w:tcPr>
            <w:tcW w:type="dxa" w:w="11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PAY</w:t>
            </w:r>
          </w:p>
        </w:tc>
        <w:tc>
          <w:tcPr>
            <w:tcW w:type="dxa" w:w="3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Платёжная совместимость</w:t>
            </w:r>
          </w:p>
        </w:tc>
        <w:tc>
          <w:tcPr>
            <w:tcW w:type="dxa" w:w="51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Нелицензированный перевод или неверный маршрут</w:t>
            </w:r>
          </w:p>
        </w:tc>
      </w:tr>
      <w:tr>
        <w:tc>
          <w:tcPr>
            <w:tcW w:type="dxa" w:w="11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BUD</w:t>
            </w:r>
          </w:p>
        </w:tc>
        <w:tc>
          <w:tcPr>
            <w:tcW w:type="dxa" w:w="3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Бюджетная совместимость</w:t>
            </w:r>
          </w:p>
        </w:tc>
        <w:tc>
          <w:tcPr>
            <w:tcW w:type="dxa" w:w="51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Нет лимита, основания или казначейского контроля</w:t>
            </w:r>
          </w:p>
        </w:tc>
      </w:tr>
      <w:tr>
        <w:tc>
          <w:tcPr>
            <w:tcW w:type="dxa" w:w="11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TRC</w:t>
            </w:r>
          </w:p>
        </w:tc>
        <w:tc>
          <w:tcPr>
            <w:tcW w:type="dxa" w:w="3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Сквозная прослеживаемость</w:t>
            </w:r>
          </w:p>
        </w:tc>
        <w:tc>
          <w:tcPr>
            <w:tcW w:type="dxa" w:w="51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Платёж без обязательства или приёмки</w:t>
            </w:r>
          </w:p>
        </w:tc>
      </w:tr>
      <w:tr>
        <w:tc>
          <w:tcPr>
            <w:tcW w:type="dxa" w:w="11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RES</w:t>
            </w:r>
          </w:p>
        </w:tc>
        <w:tc>
          <w:tcPr>
            <w:tcW w:type="dxa" w:w="3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Резерв и ликвидность</w:t>
            </w:r>
          </w:p>
        </w:tc>
        <w:tc>
          <w:tcPr>
            <w:tcW w:type="dxa" w:w="51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Недостаточно покрытия принятого обязательства</w:t>
            </w:r>
          </w:p>
        </w:tc>
      </w:tr>
      <w:tr>
        <w:tc>
          <w:tcPr>
            <w:tcW w:type="dxa" w:w="11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AML</w:t>
            </w:r>
          </w:p>
        </w:tc>
        <w:tc>
          <w:tcPr>
            <w:tcW w:type="dxa" w:w="3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ПОД/ФТ, KYB/KYC</w:t>
            </w:r>
          </w:p>
        </w:tc>
        <w:tc>
          <w:tcPr>
            <w:tcW w:type="dxa" w:w="51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Неустановленный участник или неразрешённый сигнал</w:t>
            </w:r>
          </w:p>
        </w:tc>
      </w:tr>
      <w:tr>
        <w:tc>
          <w:tcPr>
            <w:tcW w:type="dxa" w:w="11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CYB</w:t>
            </w:r>
          </w:p>
        </w:tc>
        <w:tc>
          <w:tcPr>
            <w:tcW w:type="dxa" w:w="3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Киберустойчивость</w:t>
            </w:r>
          </w:p>
        </w:tc>
        <w:tc>
          <w:tcPr>
            <w:tcW w:type="dxa" w:w="51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Нарушение полномочий, целостности или подписи</w:t>
            </w:r>
          </w:p>
        </w:tc>
      </w:tr>
      <w:tr>
        <w:tc>
          <w:tcPr>
            <w:tcW w:type="dxa" w:w="11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CNV</w:t>
            </w:r>
          </w:p>
        </w:tc>
        <w:tc>
          <w:tcPr>
            <w:tcW w:type="dxa" w:w="3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Оценка и конвертация</w:t>
            </w:r>
          </w:p>
        </w:tc>
        <w:tc>
          <w:tcPr>
            <w:tcW w:type="dxa" w:w="51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Нет утверждённой формулы или надёжного источника цены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2E5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C5A253"/>
                <w:sz w:val="21"/>
              </w:rPr>
              <w:t xml:space="preserve">ОЦЕНКА ГОТОВНОСТИ  </w:t>
            </w:r>
            <w:r>
              <w:rPr>
                <w:rFonts w:ascii="Arial" w:hAnsi="Arial" w:eastAsia="Arial" w:cs="Arial"/>
                <w:color w:val="1D2730"/>
                <w:sz w:val="21"/>
              </w:rPr>
              <w:t>Readiness SUR = min(LEG, PAY, BUD, TRC, RES, AML, CYB, CNV). Итоговая готовность равна слабейшему обязательному контуру.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ОПЕРАЦИОННОЕ ЯДРО</w:t>
      </w:r>
    </w:p>
    <w:p>
      <w:pPr>
        <w:pStyle w:val="Heading1"/>
      </w:pPr>
      <w:r>
        <w:t>Баланс как система управления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В СУР баланс — это не статическая таблица и не одиночный показатель. Это логическая система управления определённой областью развития: она наблюдает состояние управляемого объекта, сравнивает его с целевым коридором, выявляет причины отклонения, формирует варианты воздействия, связывает решение с ресурсом и проверяет фактический результат по обратной связи.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4400"/>
        <w:gridCol w:w="2860"/>
      </w:tblGrid>
      <w:tr>
        <w:trPr>
          <w:tblHeader w:val="true"/>
        </w:trPr>
        <w:tc>
          <w:tcPr>
            <w:tcW w:type="dxa" w:w="21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Элемент системы</w:t>
            </w:r>
          </w:p>
        </w:tc>
        <w:tc>
          <w:tcPr>
            <w:tcW w:type="dxa" w:w="44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Содержание</w:t>
            </w:r>
          </w:p>
        </w:tc>
        <w:tc>
          <w:tcPr>
            <w:tcW w:type="dxa" w:w="286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Обязательный вопрос</w:t>
            </w:r>
          </w:p>
        </w:tc>
      </w:tr>
      <w:tr>
        <w:tc>
          <w:tcPr>
            <w:tcW w:type="dxa" w:w="2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Управляемый объект</w:t>
            </w:r>
          </w:p>
        </w:tc>
        <w:tc>
          <w:tcPr>
            <w:tcW w:type="dxa" w:w="44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Население, территория, ресурс, инфраструктура, отрасль или институт</w:t>
            </w:r>
          </w:p>
        </w:tc>
        <w:tc>
          <w:tcPr>
            <w:tcW w:type="dxa" w:w="28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Что именно изменяем?</w:t>
            </w:r>
          </w:p>
        </w:tc>
      </w:tr>
      <w:tr>
        <w:tc>
          <w:tcPr>
            <w:tcW w:type="dxa" w:w="2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Состояние</w:t>
            </w:r>
          </w:p>
        </w:tc>
        <w:tc>
          <w:tcPr>
            <w:tcW w:type="dxa" w:w="44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Запасы, потоки, структура, ограничения и межбалансовые связи</w:t>
            </w:r>
          </w:p>
        </w:tc>
        <w:tc>
          <w:tcPr>
            <w:tcW w:type="dxa" w:w="2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Где находимся сейчас?</w:t>
            </w:r>
          </w:p>
        </w:tc>
      </w:tr>
      <w:tr>
        <w:tc>
          <w:tcPr>
            <w:tcW w:type="dxa" w:w="2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Целевой коридор</w:t>
            </w:r>
          </w:p>
        </w:tc>
        <w:tc>
          <w:tcPr>
            <w:tcW w:type="dxa" w:w="44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Стандарт, целевое значение, допустимое отклонение и срок</w:t>
            </w:r>
          </w:p>
        </w:tc>
        <w:tc>
          <w:tcPr>
            <w:tcW w:type="dxa" w:w="28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Куда и в каких пределах движемся?</w:t>
            </w:r>
          </w:p>
        </w:tc>
      </w:tr>
      <w:tr>
        <w:tc>
          <w:tcPr>
            <w:tcW w:type="dxa" w:w="2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Наблюдение</w:t>
            </w:r>
          </w:p>
        </w:tc>
        <w:tc>
          <w:tcPr>
            <w:tcW w:type="dxa" w:w="44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Источники данных, сигналы, периодичность и качество</w:t>
            </w:r>
          </w:p>
        </w:tc>
        <w:tc>
          <w:tcPr>
            <w:tcW w:type="dxa" w:w="2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Как узнаём об изменении?</w:t>
            </w:r>
          </w:p>
        </w:tc>
      </w:tr>
      <w:tr>
        <w:tc>
          <w:tcPr>
            <w:tcW w:type="dxa" w:w="2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Модель</w:t>
            </w:r>
          </w:p>
        </w:tc>
        <w:tc>
          <w:tcPr>
            <w:tcW w:type="dxa" w:w="44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Причинные связи, сценарии и прогноз последствий</w:t>
            </w:r>
          </w:p>
        </w:tc>
        <w:tc>
          <w:tcPr>
            <w:tcW w:type="dxa" w:w="28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Почему возникло отклонение?</w:t>
            </w:r>
          </w:p>
        </w:tc>
      </w:tr>
      <w:tr>
        <w:tc>
          <w:tcPr>
            <w:tcW w:type="dxa" w:w="2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Регулятор</w:t>
            </w:r>
          </w:p>
        </w:tc>
        <w:tc>
          <w:tcPr>
            <w:tcW w:type="dxa" w:w="44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Уполномоченный владелец решения и маршрут согласования</w:t>
            </w:r>
          </w:p>
        </w:tc>
        <w:tc>
          <w:tcPr>
            <w:tcW w:type="dxa" w:w="2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Кто вправе принять решение?</w:t>
            </w:r>
          </w:p>
        </w:tc>
      </w:tr>
      <w:tr>
        <w:tc>
          <w:tcPr>
            <w:tcW w:type="dxa" w:w="2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Воздействие</w:t>
            </w:r>
          </w:p>
        </w:tc>
        <w:tc>
          <w:tcPr>
            <w:tcW w:type="dxa" w:w="44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Норма, программа, проект, ресурсное или организационное решение</w:t>
            </w:r>
          </w:p>
        </w:tc>
        <w:tc>
          <w:tcPr>
            <w:tcW w:type="dxa" w:w="28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Что именно будет сделано?</w:t>
            </w:r>
          </w:p>
        </w:tc>
      </w:tr>
      <w:tr>
        <w:tc>
          <w:tcPr>
            <w:tcW w:type="dxa" w:w="2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Исполнение</w:t>
            </w:r>
          </w:p>
        </w:tc>
        <w:tc>
          <w:tcPr>
            <w:tcW w:type="dxa" w:w="44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Ответственный, ресурс, календарь, зависимости и контроль</w:t>
            </w:r>
          </w:p>
        </w:tc>
        <w:tc>
          <w:tcPr>
            <w:tcW w:type="dxa" w:w="2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Кто, когда и за счёт чего выполняет?</w:t>
            </w:r>
          </w:p>
        </w:tc>
      </w:tr>
      <w:tr>
        <w:tc>
          <w:tcPr>
            <w:tcW w:type="dxa" w:w="2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Обратная связь</w:t>
            </w:r>
          </w:p>
        </w:tc>
        <w:tc>
          <w:tcPr>
            <w:tcW w:type="dxa" w:w="44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Приёмка, показатель результата, независимая проверка и корректировка</w:t>
            </w:r>
          </w:p>
        </w:tc>
        <w:tc>
          <w:tcPr>
            <w:tcW w:type="dxa" w:w="28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Достигнут ли эффект и что изменить?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2E5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C5A253"/>
                <w:sz w:val="21"/>
              </w:rPr>
              <w:t xml:space="preserve">ЕДИНИЦА УПРАВЛЕНИЯ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Балансовая система = объект + цель + наблюдение + модель + полномочие + воздействие + ресурс + исполнение + обратная связь.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ИНСТИТУЦИОНАЛЬНАЯ ГРАНИЦА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Каждая балансовая система является сквозным контуром координации, а не новым органом власти. Решения принимают действующие уполномоченные институты.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ОПЕРАЦИОННОЕ ЯДРО</w:t>
      </w:r>
    </w:p>
    <w:p>
      <w:pPr>
        <w:pStyle w:val="Heading1"/>
      </w:pPr>
      <w:r>
        <w:t>КРИСТАЛЛ 741: девятнадцать систем управления балансами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7860"/>
      </w:tblGrid>
      <w:tr>
        <w:trPr>
          <w:tblHeader w:val="true"/>
        </w:trPr>
        <w:tc>
          <w:tcPr>
            <w:tcW w:type="dxa" w:w="15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Код</w:t>
            </w:r>
          </w:p>
        </w:tc>
        <w:tc>
          <w:tcPr>
            <w:tcW w:type="dxa" w:w="78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Система управления балансом</w:t>
            </w:r>
          </w:p>
        </w:tc>
      </w:tr>
      <w:tr>
        <w:tc>
          <w:tcPr>
            <w:tcW w:type="dxa" w:w="15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B01</w:t>
            </w:r>
          </w:p>
        </w:tc>
        <w:tc>
          <w:tcPr>
            <w:tcW w:type="dxa" w:w="78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Демография</w:t>
            </w:r>
          </w:p>
        </w:tc>
      </w:tr>
      <w:tr>
        <w:tc>
          <w:tcPr>
            <w:tcW w:type="dxa" w:w="1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B02</w:t>
            </w:r>
          </w:p>
        </w:tc>
        <w:tc>
          <w:tcPr>
            <w:tcW w:type="dxa" w:w="7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Здоровье</w:t>
            </w:r>
          </w:p>
        </w:tc>
      </w:tr>
      <w:tr>
        <w:tc>
          <w:tcPr>
            <w:tcW w:type="dxa" w:w="15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B03</w:t>
            </w:r>
          </w:p>
        </w:tc>
        <w:tc>
          <w:tcPr>
            <w:tcW w:type="dxa" w:w="78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Семья, доходы и социальное благополучие</w:t>
            </w:r>
          </w:p>
        </w:tc>
      </w:tr>
      <w:tr>
        <w:tc>
          <w:tcPr>
            <w:tcW w:type="dxa" w:w="1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B04</w:t>
            </w:r>
          </w:p>
        </w:tc>
        <w:tc>
          <w:tcPr>
            <w:tcW w:type="dxa" w:w="7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Образование, навыки и таланты</w:t>
            </w:r>
          </w:p>
        </w:tc>
      </w:tr>
      <w:tr>
        <w:tc>
          <w:tcPr>
            <w:tcW w:type="dxa" w:w="15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B05</w:t>
            </w:r>
          </w:p>
        </w:tc>
        <w:tc>
          <w:tcPr>
            <w:tcW w:type="dxa" w:w="78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Культура, ценности и общественная связанность</w:t>
            </w:r>
          </w:p>
        </w:tc>
      </w:tr>
      <w:tr>
        <w:tc>
          <w:tcPr>
            <w:tcW w:type="dxa" w:w="1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B06</w:t>
            </w:r>
          </w:p>
        </w:tc>
        <w:tc>
          <w:tcPr>
            <w:tcW w:type="dxa" w:w="7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Труд и занятость</w:t>
            </w:r>
          </w:p>
        </w:tc>
      </w:tr>
      <w:tr>
        <w:tc>
          <w:tcPr>
            <w:tcW w:type="dxa" w:w="15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B07</w:t>
            </w:r>
          </w:p>
        </w:tc>
        <w:tc>
          <w:tcPr>
            <w:tcW w:type="dxa" w:w="78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Продовольствие и АПК</w:t>
            </w:r>
          </w:p>
        </w:tc>
      </w:tr>
      <w:tr>
        <w:tc>
          <w:tcPr>
            <w:tcW w:type="dxa" w:w="1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B08</w:t>
            </w:r>
          </w:p>
        </w:tc>
        <w:tc>
          <w:tcPr>
            <w:tcW w:type="dxa" w:w="7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Пространство и расселение</w:t>
            </w:r>
          </w:p>
        </w:tc>
      </w:tr>
      <w:tr>
        <w:tc>
          <w:tcPr>
            <w:tcW w:type="dxa" w:w="15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B09</w:t>
            </w:r>
          </w:p>
        </w:tc>
        <w:tc>
          <w:tcPr>
            <w:tcW w:type="dxa" w:w="78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Жильё и коммунальная инфраструктура</w:t>
            </w:r>
          </w:p>
        </w:tc>
      </w:tr>
      <w:tr>
        <w:tc>
          <w:tcPr>
            <w:tcW w:type="dxa" w:w="1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B10</w:t>
            </w:r>
          </w:p>
        </w:tc>
        <w:tc>
          <w:tcPr>
            <w:tcW w:type="dxa" w:w="7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Транспорт и логистика</w:t>
            </w:r>
          </w:p>
        </w:tc>
      </w:tr>
      <w:tr>
        <w:tc>
          <w:tcPr>
            <w:tcW w:type="dxa" w:w="15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B11</w:t>
            </w:r>
          </w:p>
        </w:tc>
        <w:tc>
          <w:tcPr>
            <w:tcW w:type="dxa" w:w="78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Топливно-энергетический</w:t>
            </w:r>
          </w:p>
        </w:tc>
      </w:tr>
      <w:tr>
        <w:tc>
          <w:tcPr>
            <w:tcW w:type="dxa" w:w="1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B12</w:t>
            </w:r>
          </w:p>
        </w:tc>
        <w:tc>
          <w:tcPr>
            <w:tcW w:type="dxa" w:w="7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Вода</w:t>
            </w:r>
          </w:p>
        </w:tc>
      </w:tr>
      <w:tr>
        <w:tc>
          <w:tcPr>
            <w:tcW w:type="dxa" w:w="15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B13</w:t>
            </w:r>
          </w:p>
        </w:tc>
        <w:tc>
          <w:tcPr>
            <w:tcW w:type="dxa" w:w="78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Природный капитал и экологическая ёмкость</w:t>
            </w:r>
          </w:p>
        </w:tc>
      </w:tr>
      <w:tr>
        <w:tc>
          <w:tcPr>
            <w:tcW w:type="dxa" w:w="1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B14</w:t>
            </w:r>
          </w:p>
        </w:tc>
        <w:tc>
          <w:tcPr>
            <w:tcW w:type="dxa" w:w="7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Материалы, ресурсы и циркулярность</w:t>
            </w:r>
          </w:p>
        </w:tc>
      </w:tr>
      <w:tr>
        <w:tc>
          <w:tcPr>
            <w:tcW w:type="dxa" w:w="15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B15</w:t>
            </w:r>
          </w:p>
        </w:tc>
        <w:tc>
          <w:tcPr>
            <w:tcW w:type="dxa" w:w="78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Производство и межотраслевые связи</w:t>
            </w:r>
          </w:p>
        </w:tc>
      </w:tr>
      <w:tr>
        <w:tc>
          <w:tcPr>
            <w:tcW w:type="dxa" w:w="1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B16</w:t>
            </w:r>
          </w:p>
        </w:tc>
        <w:tc>
          <w:tcPr>
            <w:tcW w:type="dxa" w:w="7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Финансы, инвестиции и бюджет</w:t>
            </w:r>
          </w:p>
        </w:tc>
      </w:tr>
      <w:tr>
        <w:tc>
          <w:tcPr>
            <w:tcW w:type="dxa" w:w="15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B17</w:t>
            </w:r>
          </w:p>
        </w:tc>
        <w:tc>
          <w:tcPr>
            <w:tcW w:type="dxa" w:w="78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Наука, технологии и инновации</w:t>
            </w:r>
          </w:p>
        </w:tc>
      </w:tr>
      <w:tr>
        <w:tc>
          <w:tcPr>
            <w:tcW w:type="dxa" w:w="1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B18</w:t>
            </w:r>
          </w:p>
        </w:tc>
        <w:tc>
          <w:tcPr>
            <w:tcW w:type="dxa" w:w="7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Цифровая среда, информация и данные</w:t>
            </w:r>
          </w:p>
        </w:tc>
      </w:tr>
      <w:tr>
        <w:tc>
          <w:tcPr>
            <w:tcW w:type="dxa" w:w="15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B19</w:t>
            </w:r>
          </w:p>
        </w:tc>
        <w:tc>
          <w:tcPr>
            <w:tcW w:type="dxa" w:w="78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Безопасность, суверенитет и институциональная устойчивость</w:t>
            </w:r>
          </w:p>
        </w:tc>
      </w:tr>
    </w:tbl>
    <w:p>
      <w:pPr>
        <w:keepNext w:val="0"/>
        <w:spacing w:before="0" w:after="80"/>
      </w:pP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Каждая из 19 систем проходит один и тот же замкнутый цикл управления, но имеет собственный объект, целевой коридор, модель причинности, набор воздействий, владельцев решений и показатели результата.</w:t>
      </w: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ОПЕРАЦИОННОЕ ЯДРО</w:t>
      </w:r>
    </w:p>
    <w:p>
      <w:pPr>
        <w:pStyle w:val="Heading1"/>
      </w:pPr>
      <w:r>
        <w:t>Тринадцать фаз жизненного цикла решения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050"/>
        <w:gridCol w:w="4950"/>
        <w:gridCol w:w="3360"/>
      </w:tblGrid>
      <w:tr>
        <w:trPr>
          <w:tblHeader w:val="true"/>
        </w:trPr>
        <w:tc>
          <w:tcPr>
            <w:tcW w:type="dxa" w:w="105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Код</w:t>
            </w:r>
          </w:p>
        </w:tc>
        <w:tc>
          <w:tcPr>
            <w:tcW w:type="dxa" w:w="495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Фаза</w:t>
            </w:r>
          </w:p>
        </w:tc>
        <w:tc>
          <w:tcPr>
            <w:tcW w:type="dxa" w:w="336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Главный вопрос</w:t>
            </w:r>
          </w:p>
        </w:tc>
      </w:tr>
      <w:tr>
        <w:tc>
          <w:tcPr>
            <w:tcW w:type="dxa" w:w="10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L01</w:t>
            </w:r>
          </w:p>
        </w:tc>
        <w:tc>
          <w:tcPr>
            <w:tcW w:type="dxa" w:w="49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Сигнал или потребность</w:t>
            </w:r>
          </w:p>
        </w:tc>
        <w:tc>
          <w:tcPr>
            <w:tcW w:type="dxa" w:w="33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Что изменилось?</w:t>
            </w:r>
          </w:p>
        </w:tc>
      </w:tr>
      <w:tr>
        <w:tc>
          <w:tcPr>
            <w:tcW w:type="dxa" w:w="1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L02</w:t>
            </w:r>
          </w:p>
        </w:tc>
        <w:tc>
          <w:tcPr>
            <w:tcW w:type="dxa" w:w="49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Идентификация данных и источников</w:t>
            </w:r>
          </w:p>
        </w:tc>
        <w:tc>
          <w:tcPr>
            <w:tcW w:type="dxa" w:w="33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На чём основана оценка?</w:t>
            </w:r>
          </w:p>
        </w:tc>
      </w:tr>
      <w:tr>
        <w:tc>
          <w:tcPr>
            <w:tcW w:type="dxa" w:w="10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L03</w:t>
            </w:r>
          </w:p>
        </w:tc>
        <w:tc>
          <w:tcPr>
            <w:tcW w:type="dxa" w:w="49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Проверка данных</w:t>
            </w:r>
          </w:p>
        </w:tc>
        <w:tc>
          <w:tcPr>
            <w:tcW w:type="dxa" w:w="33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Можно ли доверять данным?</w:t>
            </w:r>
          </w:p>
        </w:tc>
      </w:tr>
      <w:tr>
        <w:tc>
          <w:tcPr>
            <w:tcW w:type="dxa" w:w="1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L04</w:t>
            </w:r>
          </w:p>
        </w:tc>
        <w:tc>
          <w:tcPr>
            <w:tcW w:type="dxa" w:w="49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Базовая линия</w:t>
            </w:r>
          </w:p>
        </w:tc>
        <w:tc>
          <w:tcPr>
            <w:tcW w:type="dxa" w:w="33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Откуда начинаем?</w:t>
            </w:r>
          </w:p>
        </w:tc>
      </w:tr>
      <w:tr>
        <w:tc>
          <w:tcPr>
            <w:tcW w:type="dxa" w:w="10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L05</w:t>
            </w:r>
          </w:p>
        </w:tc>
        <w:tc>
          <w:tcPr>
            <w:tcW w:type="dxa" w:w="49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Балансовая и причинная диагностика</w:t>
            </w:r>
          </w:p>
        </w:tc>
        <w:tc>
          <w:tcPr>
            <w:tcW w:type="dxa" w:w="33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Почему возникло отклонение?</w:t>
            </w:r>
          </w:p>
        </w:tc>
      </w:tr>
      <w:tr>
        <w:tc>
          <w:tcPr>
            <w:tcW w:type="dxa" w:w="1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L06</w:t>
            </w:r>
          </w:p>
        </w:tc>
        <w:tc>
          <w:tcPr>
            <w:tcW w:type="dxa" w:w="49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Прогноз и сценарии</w:t>
            </w:r>
          </w:p>
        </w:tc>
        <w:tc>
          <w:tcPr>
            <w:tcW w:type="dxa" w:w="33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Что произойдёт при разных решениях?</w:t>
            </w:r>
          </w:p>
        </w:tc>
      </w:tr>
      <w:tr>
        <w:tc>
          <w:tcPr>
            <w:tcW w:type="dxa" w:w="10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L07</w:t>
            </w:r>
          </w:p>
        </w:tc>
        <w:tc>
          <w:tcPr>
            <w:tcW w:type="dxa" w:w="49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Цель, стандарт и допустимое отклонение</w:t>
            </w:r>
          </w:p>
        </w:tc>
        <w:tc>
          <w:tcPr>
            <w:tcW w:type="dxa" w:w="33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Какой результат и предел риска?</w:t>
            </w:r>
          </w:p>
        </w:tc>
      </w:tr>
      <w:tr>
        <w:tc>
          <w:tcPr>
            <w:tcW w:type="dxa" w:w="1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L08</w:t>
            </w:r>
          </w:p>
        </w:tc>
        <w:tc>
          <w:tcPr>
            <w:tcW w:type="dxa" w:w="49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Варианты решения</w:t>
            </w:r>
          </w:p>
        </w:tc>
        <w:tc>
          <w:tcPr>
            <w:tcW w:type="dxa" w:w="33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Какие альтернативы доступны?</w:t>
            </w:r>
          </w:p>
        </w:tc>
      </w:tr>
      <w:tr>
        <w:tc>
          <w:tcPr>
            <w:tcW w:type="dxa" w:w="10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L09</w:t>
            </w:r>
          </w:p>
        </w:tc>
        <w:tc>
          <w:tcPr>
            <w:tcW w:type="dxa" w:w="49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Правовая экспертиза и безопасность</w:t>
            </w:r>
          </w:p>
        </w:tc>
        <w:tc>
          <w:tcPr>
            <w:tcW w:type="dxa" w:w="33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Законно и безопасно ли решение?</w:t>
            </w:r>
          </w:p>
        </w:tc>
      </w:tr>
      <w:tr>
        <w:tc>
          <w:tcPr>
            <w:tcW w:type="dxa" w:w="1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L10</w:t>
            </w:r>
          </w:p>
        </w:tc>
        <w:tc>
          <w:tcPr>
            <w:tcW w:type="dxa" w:w="49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Ресурсная и расчётная модель</w:t>
            </w:r>
          </w:p>
        </w:tc>
        <w:tc>
          <w:tcPr>
            <w:tcW w:type="dxa" w:w="33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Какие ресурсы и расчёты нужны?</w:t>
            </w:r>
          </w:p>
        </w:tc>
      </w:tr>
      <w:tr>
        <w:tc>
          <w:tcPr>
            <w:tcW w:type="dxa" w:w="10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L11</w:t>
            </w:r>
          </w:p>
        </w:tc>
        <w:tc>
          <w:tcPr>
            <w:tcW w:type="dxa" w:w="49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Исполнение и координация</w:t>
            </w:r>
          </w:p>
        </w:tc>
        <w:tc>
          <w:tcPr>
            <w:tcW w:type="dxa" w:w="33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Кто, что и когда выполняет?</w:t>
            </w:r>
          </w:p>
        </w:tc>
      </w:tr>
      <w:tr>
        <w:tc>
          <w:tcPr>
            <w:tcW w:type="dxa" w:w="1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L12</w:t>
            </w:r>
          </w:p>
        </w:tc>
        <w:tc>
          <w:tcPr>
            <w:tcW w:type="dxa" w:w="49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Мониторинг, приёмка и валидация</w:t>
            </w:r>
          </w:p>
        </w:tc>
        <w:tc>
          <w:tcPr>
            <w:tcW w:type="dxa" w:w="33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Достигнут ли проверяемый результат?</w:t>
            </w:r>
          </w:p>
        </w:tc>
      </w:tr>
      <w:tr>
        <w:tc>
          <w:tcPr>
            <w:tcW w:type="dxa" w:w="10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L13</w:t>
            </w:r>
          </w:p>
        </w:tc>
        <w:tc>
          <w:tcPr>
            <w:tcW w:type="dxa" w:w="49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Корректировка, масштабирование или закрытие</w:t>
            </w:r>
          </w:p>
        </w:tc>
        <w:tc>
          <w:tcPr>
            <w:tcW w:type="dxa" w:w="33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Что изменить в следующем цикле?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ОПЕРАЦИОННОЕ ЯДРО</w:t>
      </w:r>
    </w:p>
    <w:p>
      <w:pPr>
        <w:pStyle w:val="Heading1"/>
      </w:pPr>
      <w:r>
        <w:t>Три масштаба и формула 741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50"/>
        <w:gridCol w:w="3200"/>
        <w:gridCol w:w="5010"/>
      </w:tblGrid>
      <w:tr>
        <w:trPr>
          <w:tblHeader w:val="true"/>
        </w:trPr>
        <w:tc>
          <w:tcPr>
            <w:tcW w:type="dxa" w:w="115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Код</w:t>
            </w:r>
          </w:p>
        </w:tc>
        <w:tc>
          <w:tcPr>
            <w:tcW w:type="dxa" w:w="32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Масштаб</w:t>
            </w:r>
          </w:p>
        </w:tc>
        <w:tc>
          <w:tcPr>
            <w:tcW w:type="dxa" w:w="501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Типовое решение</w:t>
            </w:r>
          </w:p>
        </w:tc>
      </w:tr>
      <w:tr>
        <w:tc>
          <w:tcPr>
            <w:tcW w:type="dxa" w:w="11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7"/>
              </w:rPr>
              <w:t>S1</w:t>
            </w:r>
          </w:p>
        </w:tc>
        <w:tc>
          <w:tcPr>
            <w:tcW w:type="dxa" w:w="3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Национальный / федеральный</w:t>
            </w:r>
          </w:p>
        </w:tc>
        <w:tc>
          <w:tcPr>
            <w:tcW w:type="dxa" w:w="50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Национальная цель, межотраслевой баланс, федеральный ресурс</w:t>
            </w:r>
          </w:p>
        </w:tc>
      </w:tr>
      <w:tr>
        <w:tc>
          <w:tcPr>
            <w:tcW w:type="dxa" w:w="11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7"/>
              </w:rPr>
              <w:t>S2</w:t>
            </w:r>
          </w:p>
        </w:tc>
        <w:tc>
          <w:tcPr>
            <w:tcW w:type="dxa" w:w="3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Региональный / межрегиональный</w:t>
            </w:r>
          </w:p>
        </w:tc>
        <w:tc>
          <w:tcPr>
            <w:tcW w:type="dxa" w:w="50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Территориальный сценарий и межведомственный портфель</w:t>
            </w:r>
          </w:p>
        </w:tc>
      </w:tr>
      <w:tr>
        <w:tc>
          <w:tcPr>
            <w:tcW w:type="dxa" w:w="11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7"/>
              </w:rPr>
              <w:t>S3</w:t>
            </w:r>
          </w:p>
        </w:tc>
        <w:tc>
          <w:tcPr>
            <w:tcW w:type="dxa" w:w="3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Муниципальный / объектовый / проектный</w:t>
            </w:r>
          </w:p>
        </w:tc>
        <w:tc>
          <w:tcPr>
            <w:tcW w:type="dxa" w:w="50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Конкретное исполнение, приёмка и эффект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2E5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C5A253"/>
                <w:sz w:val="21"/>
              </w:rPr>
              <w:t xml:space="preserve">ФОРМУЛА  </w:t>
            </w:r>
            <w:r>
              <w:rPr>
                <w:rFonts w:ascii="Arial" w:hAnsi="Arial" w:eastAsia="Arial" w:cs="Arial"/>
                <w:color w:val="1D2730"/>
                <w:sz w:val="21"/>
              </w:rPr>
              <w:t>19 балансовых систем управления × 13 фаз × 3 масштаба = 741 адресуемый управленческий модуль.</w:t>
            </w:r>
          </w:p>
        </w:tc>
      </w:tr>
    </w:tbl>
    <w:p>
      <w:pPr>
        <w:keepNext w:val="0"/>
        <w:spacing w:before="0" w:after="8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6360"/>
      </w:tblGrid>
      <w:tr>
        <w:trPr>
          <w:tblHeader w:val="true"/>
        </w:trPr>
        <w:tc>
          <w:tcPr>
            <w:tcW w:type="dxa" w:w="30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8"/>
              </w:rPr>
              <w:t>Пример кода</w:t>
            </w:r>
          </w:p>
        </w:tc>
        <w:tc>
          <w:tcPr>
            <w:tcW w:type="dxa" w:w="636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8"/>
              </w:rPr>
              <w:t>Расшифровка</w:t>
            </w:r>
          </w:p>
        </w:tc>
      </w:tr>
      <w:tr>
        <w:tc>
          <w:tcPr>
            <w:tcW w:type="dxa" w:w="3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8"/>
              </w:rPr>
              <w:t>SUR-B16-L10-S1</w:t>
            </w:r>
          </w:p>
        </w:tc>
        <w:tc>
          <w:tcPr>
            <w:tcW w:type="dxa" w:w="63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8"/>
              </w:rPr>
              <w:t>Федеральная ресурсно-расчётная модель финансового баланса</w:t>
            </w:r>
          </w:p>
        </w:tc>
      </w:tr>
      <w:tr>
        <w:tc>
          <w:tcPr>
            <w:tcW w:type="dxa" w:w="3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8"/>
              </w:rPr>
              <w:t>SUR-B12-L12-S2</w:t>
            </w:r>
          </w:p>
        </w:tc>
        <w:tc>
          <w:tcPr>
            <w:tcW w:type="dxa" w:w="63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8"/>
              </w:rPr>
              <w:t>Региональная валидация результата по водному балансу</w:t>
            </w:r>
          </w:p>
        </w:tc>
      </w:tr>
      <w:tr>
        <w:tc>
          <w:tcPr>
            <w:tcW w:type="dxa" w:w="3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8"/>
              </w:rPr>
              <w:t>SUR-B06-L11-S3</w:t>
            </w:r>
          </w:p>
        </w:tc>
        <w:tc>
          <w:tcPr>
            <w:tcW w:type="dxa" w:w="63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8"/>
              </w:rPr>
              <w:t>Проектное исполнение по балансу труда и занятости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КРИСТАЛЛ 741</w:t>
      </w:r>
    </w:p>
    <w:p>
      <w:pPr>
        <w:pStyle w:val="Heading1"/>
      </w:pPr>
      <w:r>
        <w:t>Универсальный паспорт модуля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00"/>
        <w:gridCol w:w="6960"/>
      </w:tblGrid>
      <w:tr>
        <w:trPr>
          <w:tblHeader w:val="true"/>
        </w:trPr>
        <w:tc>
          <w:tcPr>
            <w:tcW w:type="dxa" w:w="24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Блок</w:t>
            </w:r>
          </w:p>
        </w:tc>
        <w:tc>
          <w:tcPr>
            <w:tcW w:type="dxa" w:w="69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Обязательные поля</w:t>
            </w:r>
          </w:p>
        </w:tc>
      </w:tr>
      <w:tr>
        <w:tc>
          <w:tcPr>
            <w:tcW w:type="dxa" w:w="24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Идентификация</w:t>
            </w:r>
          </w:p>
        </w:tc>
        <w:tc>
          <w:tcPr>
            <w:tcW w:type="dxa" w:w="69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Код, наименование, версия, дата действия</w:t>
            </w:r>
          </w:p>
        </w:tc>
      </w:tr>
      <w:tr>
        <w:tc>
          <w:tcPr>
            <w:tcW w:type="dxa" w:w="24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Ответственность</w:t>
            </w:r>
          </w:p>
        </w:tc>
        <w:tc>
          <w:tcPr>
            <w:tcW w:type="dxa" w:w="69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Владелец результата, оператор, согласующие, валидатор</w:t>
            </w:r>
          </w:p>
        </w:tc>
      </w:tr>
      <w:tr>
        <w:tc>
          <w:tcPr>
            <w:tcW w:type="dxa" w:w="24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Правовая модель</w:t>
            </w:r>
          </w:p>
        </w:tc>
        <w:tc>
          <w:tcPr>
            <w:tcW w:type="dxa" w:w="69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Нормы, полномочия, лицензии, допустимые и запрещённые функции</w:t>
            </w:r>
          </w:p>
        </w:tc>
      </w:tr>
      <w:tr>
        <w:tc>
          <w:tcPr>
            <w:tcW w:type="dxa" w:w="24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Цель и периметр</w:t>
            </w:r>
          </w:p>
        </w:tc>
        <w:tc>
          <w:tcPr>
            <w:tcW w:type="dxa" w:w="69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Измеримый результат, срок, территория, участники, ограничения</w:t>
            </w:r>
          </w:p>
        </w:tc>
      </w:tr>
      <w:tr>
        <w:tc>
          <w:tcPr>
            <w:tcW w:type="dxa" w:w="24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Входы и выходы</w:t>
            </w:r>
          </w:p>
        </w:tc>
        <w:tc>
          <w:tcPr>
            <w:tcW w:type="dxa" w:w="69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Документы, данные, события, решения и форматы обмена</w:t>
            </w:r>
          </w:p>
        </w:tc>
      </w:tr>
      <w:tr>
        <w:tc>
          <w:tcPr>
            <w:tcW w:type="dxa" w:w="24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Показатели</w:t>
            </w:r>
          </w:p>
        </w:tc>
        <w:tc>
          <w:tcPr>
            <w:tcW w:type="dxa" w:w="69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Формулы, источники, частота, пороги, исключения</w:t>
            </w:r>
          </w:p>
        </w:tc>
      </w:tr>
      <w:tr>
        <w:tc>
          <w:tcPr>
            <w:tcW w:type="dxa" w:w="24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Риски</w:t>
            </w:r>
          </w:p>
        </w:tc>
        <w:tc>
          <w:tcPr>
            <w:tcW w:type="dxa" w:w="69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Правовые, ресурсные, финансовые, социальные, экологические, киберриски</w:t>
            </w:r>
          </w:p>
        </w:tc>
      </w:tr>
      <w:tr>
        <w:tc>
          <w:tcPr>
            <w:tcW w:type="dxa" w:w="24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Зависимости</w:t>
            </w:r>
          </w:p>
        </w:tc>
        <w:tc>
          <w:tcPr>
            <w:tcW w:type="dxa" w:w="69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Смежные модули, справочники, договоры, внешние системы</w:t>
            </w:r>
          </w:p>
        </w:tc>
      </w:tr>
      <w:tr>
        <w:tc>
          <w:tcPr>
            <w:tcW w:type="dxa" w:w="24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Решение</w:t>
            </w:r>
          </w:p>
        </w:tc>
        <w:tc>
          <w:tcPr>
            <w:tcW w:type="dxa" w:w="69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Что допускается, предупреждается, блокируется и кем утверждается</w:t>
            </w:r>
          </w:p>
        </w:tc>
      </w:tr>
      <w:tr>
        <w:tc>
          <w:tcPr>
            <w:tcW w:type="dxa" w:w="24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Резервный режим</w:t>
            </w:r>
          </w:p>
        </w:tc>
        <w:tc>
          <w:tcPr>
            <w:tcW w:type="dxa" w:w="69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Ручной сценарий, откат, восстановление и стоп-условия</w:t>
            </w:r>
          </w:p>
        </w:tc>
      </w:tr>
      <w:tr>
        <w:tc>
          <w:tcPr>
            <w:tcW w:type="dxa" w:w="24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Доказательства</w:t>
            </w:r>
          </w:p>
        </w:tc>
        <w:tc>
          <w:tcPr>
            <w:tcW w:type="dxa" w:w="69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Подписи, выписки, статусы, протоколы, хеши и заключения</w:t>
            </w:r>
          </w:p>
        </w:tc>
      </w:tr>
      <w:tr>
        <w:tc>
          <w:tcPr>
            <w:tcW w:type="dxa" w:w="24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История</w:t>
            </w:r>
          </w:p>
        </w:tc>
        <w:tc>
          <w:tcPr>
            <w:tcW w:type="dxa" w:w="69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Автор, изменения, согласование и основание новой версии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ПРАВИЛО  </w:t>
            </w:r>
            <w:r>
              <w:rPr>
                <w:rFonts w:ascii="Arial" w:hAnsi="Arial" w:eastAsia="Arial" w:cs="Arial"/>
                <w:color w:val="1D2730"/>
                <w:sz w:val="21"/>
              </w:rPr>
              <w:t>У каждого критического решения один владелец результата, одно правовое основание, одна актуальная версия и проверяемая цепочка доказательств.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ИЗМЕРИТЕЛЬНЫЙ СЛОЙ</w:t>
      </w:r>
    </w:p>
    <w:p>
      <w:pPr>
        <w:pStyle w:val="Heading1"/>
      </w:pPr>
      <w:r>
        <w:t>Каталог 260: стандарт измерения результата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Число 260 обозначает управляемый каталог стандартов и показателей. Состав каталога версионируется; каждая позиция проходит методическую, правовую и отраслевую проверку.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4250"/>
        <w:gridCol w:w="2810"/>
      </w:tblGrid>
      <w:tr>
        <w:trPr>
          <w:tblHeader w:val="true"/>
        </w:trPr>
        <w:tc>
          <w:tcPr>
            <w:tcW w:type="dxa" w:w="23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Группа</w:t>
            </w:r>
          </w:p>
        </w:tc>
        <w:tc>
          <w:tcPr>
            <w:tcW w:type="dxa" w:w="425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Содержание паспорта</w:t>
            </w:r>
          </w:p>
        </w:tc>
        <w:tc>
          <w:tcPr>
            <w:tcW w:type="dxa" w:w="281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Контроль качества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Целевые показатели</w:t>
            </w:r>
          </w:p>
        </w:tc>
        <w:tc>
          <w:tcPr>
            <w:tcW w:type="dxa" w:w="42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Связь с национальной целью и документом</w:t>
            </w:r>
          </w:p>
        </w:tc>
        <w:tc>
          <w:tcPr>
            <w:tcW w:type="dxa" w:w="28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Непротиворечивость декомпозиции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Балансовые показатели</w:t>
            </w:r>
          </w:p>
        </w:tc>
        <w:tc>
          <w:tcPr>
            <w:tcW w:type="dxa" w:w="42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Запас, поток, дефицит, предел устойчивости</w:t>
            </w:r>
          </w:p>
        </w:tc>
        <w:tc>
          <w:tcPr>
            <w:tcW w:type="dxa" w:w="28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Балансовое тождество и единицы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Результат</w:t>
            </w:r>
          </w:p>
        </w:tc>
        <w:tc>
          <w:tcPr>
            <w:tcW w:type="dxa" w:w="42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Изменение состояния объекта</w:t>
            </w:r>
          </w:p>
        </w:tc>
        <w:tc>
          <w:tcPr>
            <w:tcW w:type="dxa" w:w="28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Не подменяется объёмом мероприятий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7"/>
              </w:rPr>
              <w:t>Риск</w:t>
            </w:r>
          </w:p>
        </w:tc>
        <w:tc>
          <w:tcPr>
            <w:tcW w:type="dxa" w:w="42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Вероятность, воздействие, ранний сигнал</w:t>
            </w:r>
          </w:p>
        </w:tc>
        <w:tc>
          <w:tcPr>
            <w:tcW w:type="dxa" w:w="28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Порог и владелец реакции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7"/>
              </w:rPr>
              <w:t>Данные</w:t>
            </w:r>
          </w:p>
        </w:tc>
        <w:tc>
          <w:tcPr>
            <w:tcW w:type="dxa" w:w="42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Источник, дата, охват, задержка, качество</w:t>
            </w:r>
          </w:p>
        </w:tc>
        <w:tc>
          <w:tcPr>
            <w:tcW w:type="dxa" w:w="28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Происхождение и версия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Валидация</w:t>
            </w:r>
          </w:p>
        </w:tc>
        <w:tc>
          <w:tcPr>
            <w:tcW w:type="dxa" w:w="42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Метод проверки, независимый валидатор</w:t>
            </w:r>
          </w:p>
        </w:tc>
        <w:tc>
          <w:tcPr>
            <w:tcW w:type="dxa" w:w="28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Воспроизводимость расчёта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2E5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C5A253"/>
                <w:sz w:val="21"/>
              </w:rPr>
              <w:t xml:space="preserve">МИНИМАЛЬНЫЙ ПАСПОРТ ПОКАЗАТЕЛЯ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Код → определение → формула → единица → источник → период → владелец → пороги → исключения → валидатор → версия.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ЦИФРОВАЯ АРХИТЕКТУРА</w:t>
      </w:r>
    </w:p>
    <w:p>
      <w:pPr>
        <w:pStyle w:val="Heading1"/>
      </w:pPr>
      <w:r>
        <w:t>Реестры, данные и доказательная цепочка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6360"/>
      </w:tblGrid>
      <w:tr>
        <w:trPr>
          <w:tblHeader w:val="true"/>
        </w:trPr>
        <w:tc>
          <w:tcPr>
            <w:tcW w:type="dxa" w:w="30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Реестр</w:t>
            </w:r>
          </w:p>
        </w:tc>
        <w:tc>
          <w:tcPr>
            <w:tcW w:type="dxa" w:w="63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Ключевые объекты</w:t>
            </w:r>
          </w:p>
        </w:tc>
      </w:tr>
      <w:tr>
        <w:tc>
          <w:tcPr>
            <w:tcW w:type="dxa" w:w="3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Цели и документы</w:t>
            </w:r>
          </w:p>
        </w:tc>
        <w:tc>
          <w:tcPr>
            <w:tcW w:type="dxa" w:w="63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Цель, показатель, основание, срок, версия</w:t>
            </w:r>
          </w:p>
        </w:tc>
      </w:tr>
      <w:tr>
        <w:tc>
          <w:tcPr>
            <w:tcW w:type="dxa" w:w="3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Балансы и объекты</w:t>
            </w:r>
          </w:p>
        </w:tc>
        <w:tc>
          <w:tcPr>
            <w:tcW w:type="dxa" w:w="63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Баланс, территория, отрасль, объект, взаимосвязь</w:t>
            </w:r>
          </w:p>
        </w:tc>
      </w:tr>
      <w:tr>
        <w:tc>
          <w:tcPr>
            <w:tcW w:type="dxa" w:w="3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Стандарты и показатели</w:t>
            </w:r>
          </w:p>
        </w:tc>
        <w:tc>
          <w:tcPr>
            <w:tcW w:type="dxa" w:w="63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Формула, источник, порог, валидатор</w:t>
            </w:r>
          </w:p>
        </w:tc>
      </w:tr>
      <w:tr>
        <w:tc>
          <w:tcPr>
            <w:tcW w:type="dxa" w:w="3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Сигналы и инициативы</w:t>
            </w:r>
          </w:p>
        </w:tc>
        <w:tc>
          <w:tcPr>
            <w:tcW w:type="dxa" w:w="63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Событие, источник, приоритет, балансовая система и маршрут</w:t>
            </w:r>
          </w:p>
        </w:tc>
      </w:tr>
      <w:tr>
        <w:tc>
          <w:tcPr>
            <w:tcW w:type="dxa" w:w="3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Программы и проекты</w:t>
            </w:r>
          </w:p>
        </w:tc>
        <w:tc>
          <w:tcPr>
            <w:tcW w:type="dxa" w:w="63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Паспорт, этап, исполнитель, зависимость</w:t>
            </w:r>
          </w:p>
        </w:tc>
      </w:tr>
      <w:tr>
        <w:tc>
          <w:tcPr>
            <w:tcW w:type="dxa" w:w="3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Ресурсы и финансирование</w:t>
            </w:r>
          </w:p>
        </w:tc>
        <w:tc>
          <w:tcPr>
            <w:tcW w:type="dxa" w:w="63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Источник, лимит, назначение, доступность</w:t>
            </w:r>
          </w:p>
        </w:tc>
      </w:tr>
      <w:tr>
        <w:tc>
          <w:tcPr>
            <w:tcW w:type="dxa" w:w="3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Обязательства и расчёты</w:t>
            </w:r>
          </w:p>
        </w:tc>
        <w:tc>
          <w:tcPr>
            <w:tcW w:type="dxa" w:w="63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Договор, этап, решение, платёжный статус в RUB</w:t>
            </w:r>
          </w:p>
        </w:tc>
      </w:tr>
      <w:tr>
        <w:tc>
          <w:tcPr>
            <w:tcW w:type="dxa" w:w="3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Риски и решения</w:t>
            </w:r>
          </w:p>
        </w:tc>
        <w:tc>
          <w:tcPr>
            <w:tcW w:type="dxa" w:w="63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Сигнал, оценка, уполномоченное решение, срок</w:t>
            </w:r>
          </w:p>
        </w:tc>
      </w:tr>
      <w:tr>
        <w:tc>
          <w:tcPr>
            <w:tcW w:type="dxa" w:w="3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Доказательства и результаты</w:t>
            </w:r>
          </w:p>
        </w:tc>
        <w:tc>
          <w:tcPr>
            <w:tcW w:type="dxa" w:w="63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Приёмка, показатель, проверка, заключение</w:t>
            </w:r>
          </w:p>
        </w:tc>
      </w:tr>
      <w:tr>
        <w:tc>
          <w:tcPr>
            <w:tcW w:type="dxa" w:w="3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Участники и полномочия</w:t>
            </w:r>
          </w:p>
        </w:tc>
        <w:tc>
          <w:tcPr>
            <w:tcW w:type="dxa" w:w="63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Организация, роль, доверенность, допуск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ДОКАЗАТЕЛЬНАЯ ЦЕПОЧКА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Источник → данные → метод → расчёт → решение → полномочие → ресурс → исполнение → приёмка → результат → проверка → корректировка.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ЦИФРОВАЯ АРХИТЕКТУРА</w:t>
      </w:r>
    </w:p>
    <w:p>
      <w:pPr>
        <w:pStyle w:val="Heading1"/>
      </w:pPr>
      <w:r>
        <w:t>Управленческий цикл и правила автоматизации</w:t>
      </w:r>
    </w:p>
    <w:p>
      <w:pPr>
        <w:numPr>
          <w:ilvl w:val="0"/>
          <w:numId w:val="13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Сигнал регистрируется с источником, временем, территорией и уровнем доверия.</w:t>
      </w:r>
    </w:p>
    <w:p>
      <w:pPr>
        <w:numPr>
          <w:ilvl w:val="0"/>
          <w:numId w:val="13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Алгоритм предлагает связанный баланс, фазу, масштаб и владельца маршрута.</w:t>
      </w:r>
    </w:p>
    <w:p>
      <w:pPr>
        <w:numPr>
          <w:ilvl w:val="0"/>
          <w:numId w:val="13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ЭКВИЛИБРИУМ формирует базовую линию, зависимости и сценарии.</w:t>
      </w:r>
    </w:p>
    <w:p>
      <w:pPr>
        <w:numPr>
          <w:ilvl w:val="0"/>
          <w:numId w:val="13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Уполномоченные лица выбирают решение и фиксируют правовое основание.</w:t>
      </w:r>
    </w:p>
    <w:p>
      <w:pPr>
        <w:numPr>
          <w:ilvl w:val="0"/>
          <w:numId w:val="13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ECO-PPA переводит решение в проект, ресурс и календарь обязательств.</w:t>
      </w:r>
    </w:p>
    <w:p>
      <w:pPr>
        <w:numPr>
          <w:ilvl w:val="0"/>
          <w:numId w:val="13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SUR-810 связывает обязательство с законным рублёвым исполнением.</w:t>
      </w:r>
    </w:p>
    <w:p>
      <w:pPr>
        <w:numPr>
          <w:ilvl w:val="0"/>
          <w:numId w:val="13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ESG-IR 1.0 подтверждает изменение показателя; результат возвращается в модель.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468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Автоматизируется</w:t>
            </w:r>
          </w:p>
        </w:tc>
        <w:tc>
          <w:tcPr>
            <w:tcW w:type="dxa" w:w="468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Требует решения человека</w:t>
            </w:r>
          </w:p>
        </w:tc>
      </w:tr>
      <w:tr>
        <w:tc>
          <w:tcPr>
            <w:tcW w:type="dxa" w:w="468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Проверка формата, полноты и версии</w:t>
            </w:r>
          </w:p>
        </w:tc>
        <w:tc>
          <w:tcPr>
            <w:tcW w:type="dxa" w:w="468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Политический и нормативный выбор</w:t>
            </w:r>
          </w:p>
        </w:tc>
      </w:tr>
      <w:tr>
        <w:tc>
          <w:tcPr>
            <w:tcW w:type="dxa" w:w="46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Сопоставление идентификаторов и зависимостей</w:t>
            </w:r>
          </w:p>
        </w:tc>
        <w:tc>
          <w:tcPr>
            <w:tcW w:type="dxa" w:w="46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Утверждение ресурса и обязательства</w:t>
            </w:r>
          </w:p>
        </w:tc>
      </w:tr>
      <w:tr>
        <w:tc>
          <w:tcPr>
            <w:tcW w:type="dxa" w:w="468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Расчёт показателей и ранних сигналов</w:t>
            </w:r>
          </w:p>
        </w:tc>
        <w:tc>
          <w:tcPr>
            <w:tcW w:type="dxa" w:w="468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Правовая квалификация спорного сценария</w:t>
            </w:r>
          </w:p>
        </w:tc>
      </w:tr>
      <w:tr>
        <w:tc>
          <w:tcPr>
            <w:tcW w:type="dxa" w:w="46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Блокировка технического дубля</w:t>
            </w:r>
          </w:p>
        </w:tc>
        <w:tc>
          <w:tcPr>
            <w:tcW w:type="dxa" w:w="46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Разрешение критического риска</w:t>
            </w:r>
          </w:p>
        </w:tc>
      </w:tr>
      <w:tr>
        <w:tc>
          <w:tcPr>
            <w:tcW w:type="dxa" w:w="468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Формирование досье и сверка</w:t>
            </w:r>
          </w:p>
        </w:tc>
        <w:tc>
          <w:tcPr>
            <w:tcW w:type="dxa" w:w="468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Приёмка результата и ответственность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ИЗМЕРЕНИЕ</w:t>
      </w:r>
    </w:p>
    <w:p>
      <w:pPr>
        <w:pStyle w:val="Heading1"/>
      </w:pPr>
      <w:r>
        <w:t>Метрики результата и нефальсифицируемая готовность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Средний балл не должен скрывать блокирующий риск. Каждый обязательный контур получает уровень: 0 — блокирован; 1 — проектируется; 2 — допущен к ограниченному пилоту; 3 — готов к масштабированию.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2E5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C5A253"/>
                <w:sz w:val="21"/>
              </w:rPr>
              <w:t xml:space="preserve">ФОРМУЛА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Итоговая готовность равна минимуму уровней обязательных контуров. Правовой дефект, отсутствие полномочий или критическая уязвимость не компенсируются скоростью и удобством.</w:t>
            </w:r>
          </w:p>
        </w:tc>
      </w:tr>
    </w:tbl>
    <w:p>
      <w:pPr>
        <w:keepNext w:val="0"/>
        <w:spacing w:before="0" w:after="8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4050"/>
        <w:gridCol w:w="3310"/>
      </w:tblGrid>
      <w:tr>
        <w:trPr>
          <w:tblHeader w:val="true"/>
        </w:trPr>
        <w:tc>
          <w:tcPr>
            <w:tcW w:type="dxa" w:w="20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Класс</w:t>
            </w:r>
          </w:p>
        </w:tc>
        <w:tc>
          <w:tcPr>
            <w:tcW w:type="dxa" w:w="405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Пример</w:t>
            </w:r>
          </w:p>
        </w:tc>
        <w:tc>
          <w:tcPr>
            <w:tcW w:type="dxa" w:w="331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Правило</w:t>
            </w:r>
          </w:p>
        </w:tc>
      </w:tr>
      <w:tr>
        <w:tc>
          <w:tcPr>
            <w:tcW w:type="dxa" w:w="2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Стоп-показатель</w:t>
            </w:r>
          </w:p>
        </w:tc>
        <w:tc>
          <w:tcPr>
            <w:tcW w:type="dxa" w:w="40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Нелицензированная операция, платёж без основания</w:t>
            </w:r>
          </w:p>
        </w:tc>
        <w:tc>
          <w:tcPr>
            <w:tcW w:type="dxa" w:w="33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Допустимое значение — только 0</w:t>
            </w:r>
          </w:p>
        </w:tc>
      </w:tr>
      <w:tr>
        <w:tc>
          <w:tcPr>
            <w:tcW w:type="dxa" w:w="2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Порог допуска</w:t>
            </w:r>
          </w:p>
        </w:tc>
        <w:tc>
          <w:tcPr>
            <w:tcW w:type="dxa" w:w="4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Полнота правовой квалификации</w:t>
            </w:r>
          </w:p>
        </w:tc>
        <w:tc>
          <w:tcPr>
            <w:tcW w:type="dxa" w:w="33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100% типов операций до пилота</w:t>
            </w:r>
          </w:p>
        </w:tc>
      </w:tr>
      <w:tr>
        <w:tc>
          <w:tcPr>
            <w:tcW w:type="dxa" w:w="2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Операционный KPI</w:t>
            </w:r>
          </w:p>
        </w:tc>
        <w:tc>
          <w:tcPr>
            <w:tcW w:type="dxa" w:w="40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Сверка T+1, доступность, STP</w:t>
            </w:r>
          </w:p>
        </w:tc>
        <w:tc>
          <w:tcPr>
            <w:tcW w:type="dxa" w:w="33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Модельный порог уточняется на базовой линии</w:t>
            </w:r>
          </w:p>
        </w:tc>
      </w:tr>
      <w:tr>
        <w:tc>
          <w:tcPr>
            <w:tcW w:type="dxa" w:w="2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Показатель эффекта</w:t>
            </w:r>
          </w:p>
        </w:tc>
        <w:tc>
          <w:tcPr>
            <w:tcW w:type="dxa" w:w="4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Изменение состояния баланса</w:t>
            </w:r>
          </w:p>
        </w:tc>
        <w:tc>
          <w:tcPr>
            <w:tcW w:type="dxa" w:w="33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Сравнение с базовой линией и контрольным сценарием</w:t>
            </w:r>
          </w:p>
        </w:tc>
      </w:tr>
      <w:tr>
        <w:tc>
          <w:tcPr>
            <w:tcW w:type="dxa" w:w="2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Качество данных</w:t>
            </w:r>
          </w:p>
        </w:tc>
        <w:tc>
          <w:tcPr>
            <w:tcW w:type="dxa" w:w="40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Полнота происхождения и актуальность</w:t>
            </w:r>
          </w:p>
        </w:tc>
        <w:tc>
          <w:tcPr>
            <w:tcW w:type="dxa" w:w="33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Источник и версия обязательны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ИЗМЕРЕНИЕ</w:t>
      </w:r>
    </w:p>
    <w:p>
      <w:pPr>
        <w:pStyle w:val="Heading1"/>
      </w:pPr>
      <w:r>
        <w:t>Модельные KPI финансового контура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Значения с пометкой [М] — модельные параметры пилота, а не действующие нормативы. Они уточняются после правового заключения, базовой линии и первых двух месяцев измерений.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100"/>
        <w:gridCol w:w="2100"/>
        <w:gridCol w:w="2160"/>
      </w:tblGrid>
      <w:tr>
        <w:trPr>
          <w:tblHeader w:val="true"/>
        </w:trPr>
        <w:tc>
          <w:tcPr>
            <w:tcW w:type="dxa" w:w="51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Показатель</w:t>
            </w:r>
          </w:p>
        </w:tc>
        <w:tc>
          <w:tcPr>
            <w:tcW w:type="dxa" w:w="21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Порог пилота</w:t>
            </w:r>
          </w:p>
        </w:tc>
        <w:tc>
          <w:tcPr>
            <w:tcW w:type="dxa" w:w="216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Статус</w:t>
            </w:r>
          </w:p>
        </w:tc>
      </w:tr>
      <w:tr>
        <w:tc>
          <w:tcPr>
            <w:tcW w:type="dxa" w:w="5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Правовая квалификация типов операций</w:t>
            </w:r>
          </w:p>
        </w:tc>
        <w:tc>
          <w:tcPr>
            <w:tcW w:type="dxa" w:w="2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100%</w:t>
            </w:r>
          </w:p>
        </w:tc>
        <w:tc>
          <w:tcPr>
            <w:tcW w:type="dxa" w:w="2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Барьер допуска</w:t>
            </w:r>
          </w:p>
        </w:tc>
      </w:tr>
      <w:tr>
        <w:tc>
          <w:tcPr>
            <w:tcW w:type="dxa" w:w="5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Нелицензированные финансовые функции</w:t>
            </w:r>
          </w:p>
        </w:tc>
        <w:tc>
          <w:tcPr>
            <w:tcW w:type="dxa" w:w="2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0</w:t>
            </w:r>
          </w:p>
        </w:tc>
        <w:tc>
          <w:tcPr>
            <w:tcW w:type="dxa" w:w="2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Стоп-показатель</w:t>
            </w:r>
          </w:p>
        </w:tc>
      </w:tr>
      <w:tr>
        <w:tc>
          <w:tcPr>
            <w:tcW w:type="dxa" w:w="5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Успешность принятых платежей</w:t>
            </w:r>
          </w:p>
        </w:tc>
        <w:tc>
          <w:tcPr>
            <w:tcW w:type="dxa" w:w="2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≥99,0%</w:t>
            </w:r>
          </w:p>
        </w:tc>
        <w:tc>
          <w:tcPr>
            <w:tcW w:type="dxa" w:w="2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[М]</w:t>
            </w:r>
          </w:p>
        </w:tc>
      </w:tr>
      <w:tr>
        <w:tc>
          <w:tcPr>
            <w:tcW w:type="dxa" w:w="5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Автоматическая обработка без ручной правки</w:t>
            </w:r>
          </w:p>
        </w:tc>
        <w:tc>
          <w:tcPr>
            <w:tcW w:type="dxa" w:w="2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≥90%</w:t>
            </w:r>
          </w:p>
        </w:tc>
        <w:tc>
          <w:tcPr>
            <w:tcW w:type="dxa" w:w="2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[М]</w:t>
            </w:r>
          </w:p>
        </w:tc>
      </w:tr>
      <w:tr>
        <w:tc>
          <w:tcPr>
            <w:tcW w:type="dxa" w:w="5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Сверка до T+1</w:t>
            </w:r>
          </w:p>
        </w:tc>
        <w:tc>
          <w:tcPr>
            <w:tcW w:type="dxa" w:w="2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≥99,5%</w:t>
            </w:r>
          </w:p>
        </w:tc>
        <w:tc>
          <w:tcPr>
            <w:tcW w:type="dxa" w:w="2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[М]</w:t>
            </w:r>
          </w:p>
        </w:tc>
      </w:tr>
      <w:tr>
        <w:tc>
          <w:tcPr>
            <w:tcW w:type="dxa" w:w="5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Дублированные или осиротевшие платежи</w:t>
            </w:r>
          </w:p>
        </w:tc>
        <w:tc>
          <w:tcPr>
            <w:tcW w:type="dxa" w:w="2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0</w:t>
            </w:r>
          </w:p>
        </w:tc>
        <w:tc>
          <w:tcPr>
            <w:tcW w:type="dxa" w:w="2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Стоп-показатель</w:t>
            </w:r>
          </w:p>
        </w:tc>
      </w:tr>
      <w:tr>
        <w:tc>
          <w:tcPr>
            <w:tcW w:type="dxa" w:w="5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Полная цепочка обязательство—результат</w:t>
            </w:r>
          </w:p>
        </w:tc>
        <w:tc>
          <w:tcPr>
            <w:tcW w:type="dxa" w:w="2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≥99,5%</w:t>
            </w:r>
          </w:p>
        </w:tc>
        <w:tc>
          <w:tcPr>
            <w:tcW w:type="dxa" w:w="2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[М]</w:t>
            </w:r>
          </w:p>
        </w:tc>
      </w:tr>
      <w:tr>
        <w:tc>
          <w:tcPr>
            <w:tcW w:type="dxa" w:w="5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Доступность финансового контура</w:t>
            </w:r>
          </w:p>
        </w:tc>
        <w:tc>
          <w:tcPr>
            <w:tcW w:type="dxa" w:w="2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≥99,9%</w:t>
            </w:r>
          </w:p>
        </w:tc>
        <w:tc>
          <w:tcPr>
            <w:tcW w:type="dxa" w:w="2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[М]</w:t>
            </w:r>
          </w:p>
        </w:tc>
      </w:tr>
      <w:tr>
        <w:tc>
          <w:tcPr>
            <w:tcW w:type="dxa" w:w="5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Несанкционированные платежи</w:t>
            </w:r>
          </w:p>
        </w:tc>
        <w:tc>
          <w:tcPr>
            <w:tcW w:type="dxa" w:w="2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0</w:t>
            </w:r>
          </w:p>
        </w:tc>
        <w:tc>
          <w:tcPr>
            <w:tcW w:type="dxa" w:w="2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Стоп-показатель</w:t>
            </w:r>
          </w:p>
        </w:tc>
      </w:tr>
      <w:tr>
        <w:tc>
          <w:tcPr>
            <w:tcW w:type="dxa" w:w="5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Формирование полного досье, P95</w:t>
            </w:r>
          </w:p>
        </w:tc>
        <w:tc>
          <w:tcPr>
            <w:tcW w:type="dxa" w:w="2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≤15 минут</w:t>
            </w:r>
          </w:p>
        </w:tc>
        <w:tc>
          <w:tcPr>
            <w:tcW w:type="dxa" w:w="2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[М]</w:t>
            </w:r>
          </w:p>
        </w:tc>
      </w:tr>
    </w:tbl>
    <w:p>
      <w:pPr>
        <w:keepNext w:val="0"/>
        <w:spacing w:before="0" w:after="80"/>
      </w:pP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Платёжное распоряжение получает идемпотентный ключ из обязательства, получателя, суммы, даты, договора и этапа. Повтор с тем же ключом блокируется до проверки.</w:t>
      </w: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КОНТРОЛЬ</w:t>
      </w:r>
    </w:p>
    <w:p>
      <w:pPr>
        <w:pStyle w:val="Heading1"/>
      </w:pPr>
      <w:r>
        <w:t>Безопасность, ПОД/ФТ и непрерывность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4490"/>
        <w:gridCol w:w="3070"/>
      </w:tblGrid>
      <w:tr>
        <w:trPr>
          <w:tblHeader w:val="true"/>
        </w:trPr>
        <w:tc>
          <w:tcPr>
            <w:tcW w:type="dxa" w:w="18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Контроль</w:t>
            </w:r>
          </w:p>
        </w:tc>
        <w:tc>
          <w:tcPr>
            <w:tcW w:type="dxa" w:w="449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Обязательное требование</w:t>
            </w:r>
          </w:p>
        </w:tc>
        <w:tc>
          <w:tcPr>
            <w:tcW w:type="dxa" w:w="307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Доказательство</w:t>
            </w:r>
          </w:p>
        </w:tc>
      </w:tr>
      <w:tr>
        <w:tc>
          <w:tcPr>
            <w:tcW w:type="dxa" w:w="1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Идентификация</w:t>
            </w:r>
          </w:p>
        </w:tc>
        <w:tc>
          <w:tcPr>
            <w:tcW w:type="dxa" w:w="449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Участник и бенефициар проверены до операции</w:t>
            </w:r>
          </w:p>
        </w:tc>
        <w:tc>
          <w:tcPr>
            <w:tcW w:type="dxa" w:w="307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Досье KYB/KYC и статус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ПОД/ФТ</w:t>
            </w:r>
          </w:p>
        </w:tc>
        <w:tc>
          <w:tcPr>
            <w:tcW w:type="dxa" w:w="449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Сигналы рассматривает уполномоченный комплаенс</w:t>
            </w:r>
          </w:p>
        </w:tc>
        <w:tc>
          <w:tcPr>
            <w:tcW w:type="dxa" w:w="307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Решение и журнал действий</w:t>
            </w:r>
          </w:p>
        </w:tc>
      </w:tr>
      <w:tr>
        <w:tc>
          <w:tcPr>
            <w:tcW w:type="dxa" w:w="1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Полномочия</w:t>
            </w:r>
          </w:p>
        </w:tc>
        <w:tc>
          <w:tcPr>
            <w:tcW w:type="dxa" w:w="449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Принцип двух лиц для денежно значимых действий</w:t>
            </w:r>
          </w:p>
        </w:tc>
        <w:tc>
          <w:tcPr>
            <w:tcW w:type="dxa" w:w="307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ЭП, роль, доверенность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Целостность</w:t>
            </w:r>
          </w:p>
        </w:tc>
        <w:tc>
          <w:tcPr>
            <w:tcW w:type="dxa" w:w="449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Неизменяемый журнал критических событий</w:t>
            </w:r>
          </w:p>
        </w:tc>
        <w:tc>
          <w:tcPr>
            <w:tcW w:type="dxa" w:w="307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Подпись, время и контрольный хеш</w:t>
            </w:r>
          </w:p>
        </w:tc>
      </w:tr>
      <w:tr>
        <w:tc>
          <w:tcPr>
            <w:tcW w:type="dxa" w:w="1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Доступ</w:t>
            </w:r>
          </w:p>
        </w:tc>
        <w:tc>
          <w:tcPr>
            <w:tcW w:type="dxa" w:w="449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Минимальные привилегии и многофакторная аутентификация</w:t>
            </w:r>
          </w:p>
        </w:tc>
        <w:tc>
          <w:tcPr>
            <w:tcW w:type="dxa" w:w="307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Матрица ролей и журнал входов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Непрерывность</w:t>
            </w:r>
          </w:p>
        </w:tc>
        <w:tc>
          <w:tcPr>
            <w:tcW w:type="dxa" w:w="449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Резервный режим, RTO/RPO и испытание восстановления</w:t>
            </w:r>
          </w:p>
        </w:tc>
        <w:tc>
          <w:tcPr>
            <w:tcW w:type="dxa" w:w="307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Протокол не менее двух тестов [М]</w:t>
            </w:r>
          </w:p>
        </w:tc>
      </w:tr>
      <w:tr>
        <w:tc>
          <w:tcPr>
            <w:tcW w:type="dxa" w:w="1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Персональные данные</w:t>
            </w:r>
          </w:p>
        </w:tc>
        <w:tc>
          <w:tcPr>
            <w:tcW w:type="dxa" w:w="449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Минимизация, цель обработки и сроки хранения</w:t>
            </w:r>
          </w:p>
        </w:tc>
        <w:tc>
          <w:tcPr>
            <w:tcW w:type="dxa" w:w="307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Реестр оснований и удалений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КИИ</w:t>
            </w:r>
          </w:p>
        </w:tc>
        <w:tc>
          <w:tcPr>
            <w:tcW w:type="dxa" w:w="449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Классификация и профильные меры при применимости</w:t>
            </w:r>
          </w:p>
        </w:tc>
        <w:tc>
          <w:tcPr>
            <w:tcW w:type="dxa" w:w="307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Акт категорирования и контроль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ГРАНИЦА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Банк и иные обязанные организации сохраняют установленную законом ответственность. СУР предоставляет структурированные сведения, но не заменяет обязательный контроль.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ВНЕДРЕНИЕ</w:t>
      </w:r>
    </w:p>
    <w:p>
      <w:pPr>
        <w:pStyle w:val="Heading1"/>
      </w:pPr>
      <w:r>
        <w:t>Пилот 2026–2027: объект и ограничения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Пилот выбирается по принципу управляемой сложности: одна комплексная задача или территория, несколько взаимосвязанных балансов, измеримый результат, доступные данные и готовый владелец решения.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rPr>
          <w:tblHeader w:val="true"/>
        </w:trPr>
        <w:tc>
          <w:tcPr>
            <w:tcW w:type="dxa" w:w="22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Параметр</w:t>
            </w:r>
          </w:p>
        </w:tc>
        <w:tc>
          <w:tcPr>
            <w:tcW w:type="dxa" w:w="716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Предлагаемая рамка</w:t>
            </w:r>
          </w:p>
        </w:tc>
      </w:tr>
      <w:tr>
        <w:tc>
          <w:tcPr>
            <w:tcW w:type="dxa" w:w="2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7"/>
              </w:rPr>
              <w:t>Периметр</w:t>
            </w:r>
          </w:p>
        </w:tc>
        <w:tc>
          <w:tcPr>
            <w:tcW w:type="dxa" w:w="7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3 проекта, 3–5 юридических лиц и один регулируемый платёжный адаптер [М]</w:t>
            </w:r>
          </w:p>
        </w:tc>
      </w:tr>
      <w:tr>
        <w:tc>
          <w:tcPr>
            <w:tcW w:type="dxa" w:w="2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7"/>
              </w:rPr>
              <w:t>Операции</w:t>
            </w:r>
          </w:p>
        </w:tc>
        <w:tc>
          <w:tcPr>
            <w:tcW w:type="dxa" w:w="7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До 2 000 рублёвых событий; без публичной эмиссии, обмена и привлечения средств [М]</w:t>
            </w:r>
          </w:p>
        </w:tc>
      </w:tr>
      <w:tr>
        <w:tc>
          <w:tcPr>
            <w:tcW w:type="dxa" w:w="2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7"/>
              </w:rPr>
              <w:t>Балансы</w:t>
            </w:r>
          </w:p>
        </w:tc>
        <w:tc>
          <w:tcPr>
            <w:tcW w:type="dxa" w:w="7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3–5 наиболее связанных балансов из КРИСТАЛЛ 741</w:t>
            </w:r>
          </w:p>
        </w:tc>
      </w:tr>
      <w:tr>
        <w:tc>
          <w:tcPr>
            <w:tcW w:type="dxa" w:w="2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7"/>
              </w:rPr>
              <w:t>Данные</w:t>
            </w:r>
          </w:p>
        </w:tc>
        <w:tc>
          <w:tcPr>
            <w:tcW w:type="dxa" w:w="7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Официальные и ведомственные источники плюс документированная первичная информация</w:t>
            </w:r>
          </w:p>
        </w:tc>
      </w:tr>
      <w:tr>
        <w:tc>
          <w:tcPr>
            <w:tcW w:type="dxa" w:w="2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7"/>
              </w:rPr>
              <w:t>Финансы</w:t>
            </w:r>
          </w:p>
        </w:tc>
        <w:tc>
          <w:tcPr>
            <w:tcW w:type="dxa" w:w="7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RUB/643 через банк или Казначейство; «810» только в идентификаторе реестра</w:t>
            </w:r>
          </w:p>
        </w:tc>
      </w:tr>
      <w:tr>
        <w:tc>
          <w:tcPr>
            <w:tcW w:type="dxa" w:w="2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7"/>
              </w:rPr>
              <w:t>Контроль</w:t>
            </w:r>
          </w:p>
        </w:tc>
        <w:tc>
          <w:tcPr>
            <w:tcW w:type="dxa" w:w="7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Правовая, финансовая, кибернетическая и методическая независимая проверка</w:t>
            </w:r>
          </w:p>
        </w:tc>
      </w:tr>
      <w:tr>
        <w:tc>
          <w:tcPr>
            <w:tcW w:type="dxa" w:w="2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7"/>
              </w:rPr>
              <w:t>Выход</w:t>
            </w:r>
          </w:p>
        </w:tc>
        <w:tc>
          <w:tcPr>
            <w:tcW w:type="dxa" w:w="7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Решение о прекращении, доработке или масштабировании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BEAE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9B1C1C"/>
                <w:sz w:val="21"/>
              </w:rPr>
              <w:t xml:space="preserve">СТОП-УСЛОВИЯ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Публичное обещание обмена; приём чужих денег оператором; отсутствие полномочий; неразрешённый AML-сигнал; нарушение целостности; использование 810 как действующей валюты.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ВНЕДРЕНИЕ</w:t>
      </w:r>
    </w:p>
    <w:p>
      <w:pPr>
        <w:pStyle w:val="Heading1"/>
      </w:pPr>
      <w:r>
        <w:t>Этапы пилота: 30 / 100 / 365 дней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450"/>
        <w:gridCol w:w="5200"/>
        <w:gridCol w:w="2710"/>
      </w:tblGrid>
      <w:tr>
        <w:trPr>
          <w:tblHeader w:val="true"/>
        </w:trPr>
        <w:tc>
          <w:tcPr>
            <w:tcW w:type="dxa" w:w="145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Срок</w:t>
            </w:r>
          </w:p>
        </w:tc>
        <w:tc>
          <w:tcPr>
            <w:tcW w:type="dxa" w:w="52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Работы</w:t>
            </w:r>
          </w:p>
        </w:tc>
        <w:tc>
          <w:tcPr>
            <w:tcW w:type="dxa" w:w="271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Решение контрольной точки</w:t>
            </w:r>
          </w:p>
        </w:tc>
      </w:tr>
      <w:tr>
        <w:tc>
          <w:tcPr>
            <w:tcW w:type="dxa" w:w="14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0–30 дней</w:t>
            </w:r>
          </w:p>
        </w:tc>
        <w:tc>
          <w:tcPr>
            <w:tcW w:type="dxa" w:w="5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Назначение заказчика и владельца; выбор объекта; инвентаризация права, данных, систем и расчётов</w:t>
            </w:r>
          </w:p>
        </w:tc>
        <w:tc>
          <w:tcPr>
            <w:tcW w:type="dxa" w:w="27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Есть мандат, границы и исходная линия</w:t>
            </w:r>
          </w:p>
        </w:tc>
      </w:tr>
      <w:tr>
        <w:tc>
          <w:tcPr>
            <w:tcW w:type="dxa" w:w="14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31–100 дней</w:t>
            </w:r>
          </w:p>
        </w:tc>
        <w:tc>
          <w:tcPr>
            <w:tcW w:type="dxa" w:w="5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Правовое заключение; модель 741; каталог показателей; прототип реестров; архитектура безопасности</w:t>
            </w:r>
          </w:p>
        </w:tc>
        <w:tc>
          <w:tcPr>
            <w:tcW w:type="dxa" w:w="27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Go / revise / stop для ограниченного запуска</w:t>
            </w:r>
          </w:p>
        </w:tc>
      </w:tr>
      <w:tr>
        <w:tc>
          <w:tcPr>
            <w:tcW w:type="dxa" w:w="14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101–180 дней</w:t>
            </w:r>
          </w:p>
        </w:tc>
        <w:tc>
          <w:tcPr>
            <w:tcW w:type="dxa" w:w="5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Теневой режим без юридически значимых автоматических решений; сверка с текущими процессами</w:t>
            </w:r>
          </w:p>
        </w:tc>
        <w:tc>
          <w:tcPr>
            <w:tcW w:type="dxa" w:w="27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Подтверждены качество данных и управляемость</w:t>
            </w:r>
          </w:p>
        </w:tc>
      </w:tr>
      <w:tr>
        <w:tc>
          <w:tcPr>
            <w:tcW w:type="dxa" w:w="14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181–300 дней</w:t>
            </w:r>
          </w:p>
        </w:tc>
        <w:tc>
          <w:tcPr>
            <w:tcW w:type="dxa" w:w="5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Ограниченный рабочий пилот с контролем человека и независимым аудитом</w:t>
            </w:r>
          </w:p>
        </w:tc>
        <w:tc>
          <w:tcPr>
            <w:tcW w:type="dxa" w:w="27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Выполнены стоп-показатели и KPI</w:t>
            </w:r>
          </w:p>
        </w:tc>
      </w:tr>
      <w:tr>
        <w:tc>
          <w:tcPr>
            <w:tcW w:type="dxa" w:w="14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301–365 дней</w:t>
            </w:r>
          </w:p>
        </w:tc>
        <w:tc>
          <w:tcPr>
            <w:tcW w:type="dxa" w:w="5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Стресс-тест, восстановление, оценка эффекта и пакет масштабирования</w:t>
            </w:r>
          </w:p>
        </w:tc>
        <w:tc>
          <w:tcPr>
            <w:tcW w:type="dxa" w:w="27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Решение Правительства о следующем этапе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ПРИНЦИП ПОЭТАПНОСТИ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Каждая контрольная точка допускает остановку или откат. Масштабирование возможно только после устойчивого выполнения обязательных условий.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ВНЕДРЕНИЕ</w:t>
      </w:r>
    </w:p>
    <w:p>
      <w:pPr>
        <w:pStyle w:val="Heading1"/>
      </w:pPr>
      <w:r>
        <w:t>KPI двенадцатимесячного пилота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rPr>
          <w:tblHeader w:val="true"/>
        </w:trPr>
        <w:tc>
          <w:tcPr>
            <w:tcW w:type="dxa" w:w="22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Блок</w:t>
            </w:r>
          </w:p>
        </w:tc>
        <w:tc>
          <w:tcPr>
            <w:tcW w:type="dxa" w:w="716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Критерий завершения</w:t>
            </w:r>
          </w:p>
        </w:tc>
      </w:tr>
      <w:tr>
        <w:tc>
          <w:tcPr>
            <w:tcW w:type="dxa" w:w="2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Право</w:t>
            </w:r>
          </w:p>
        </w:tc>
        <w:tc>
          <w:tcPr>
            <w:tcW w:type="dxa" w:w="7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100% сценариев квалифицированы; 0 нелицензированных функций; 0 критических замечаний</w:t>
            </w:r>
          </w:p>
        </w:tc>
      </w:tr>
      <w:tr>
        <w:tc>
          <w:tcPr>
            <w:tcW w:type="dxa" w:w="2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Управление</w:t>
            </w:r>
          </w:p>
        </w:tc>
        <w:tc>
          <w:tcPr>
            <w:tcW w:type="dxa" w:w="7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100% критических решений имеют владельца, основание и доказательный пакет</w:t>
            </w:r>
          </w:p>
        </w:tc>
      </w:tr>
      <w:tr>
        <w:tc>
          <w:tcPr>
            <w:tcW w:type="dxa" w:w="2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Данные</w:t>
            </w:r>
          </w:p>
        </w:tc>
        <w:tc>
          <w:tcPr>
            <w:tcW w:type="dxa" w:w="7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100% обязательных полей имеют источник, время и версию</w:t>
            </w:r>
          </w:p>
        </w:tc>
      </w:tr>
      <w:tr>
        <w:tc>
          <w:tcPr>
            <w:tcW w:type="dxa" w:w="2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Платежи</w:t>
            </w:r>
          </w:p>
        </w:tc>
        <w:tc>
          <w:tcPr>
            <w:tcW w:type="dxa" w:w="7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≥99% успешности; ≥90% STP; 0 дублей и потерь [М]</w:t>
            </w:r>
          </w:p>
        </w:tc>
      </w:tr>
      <w:tr>
        <w:tc>
          <w:tcPr>
            <w:tcW w:type="dxa" w:w="2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Сверка</w:t>
            </w:r>
          </w:p>
        </w:tc>
        <w:tc>
          <w:tcPr>
            <w:tcW w:type="dxa" w:w="7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≥99,5% операций закрыты T+1; необъяснённая разница — 0 [М]</w:t>
            </w:r>
          </w:p>
        </w:tc>
      </w:tr>
      <w:tr>
        <w:tc>
          <w:tcPr>
            <w:tcW w:type="dxa" w:w="2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Прослеживаемость</w:t>
            </w:r>
          </w:p>
        </w:tc>
        <w:tc>
          <w:tcPr>
            <w:tcW w:type="dxa" w:w="7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≥99,5% полных цепочек; досье ≤15 минут [М]</w:t>
            </w:r>
          </w:p>
        </w:tc>
      </w:tr>
      <w:tr>
        <w:tc>
          <w:tcPr>
            <w:tcW w:type="dxa" w:w="2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Безопасность</w:t>
            </w:r>
          </w:p>
        </w:tc>
        <w:tc>
          <w:tcPr>
            <w:tcW w:type="dxa" w:w="7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≥99,9% доступности; 0 несанкционированных платежей; два DR-теста [М]</w:t>
            </w:r>
          </w:p>
        </w:tc>
      </w:tr>
      <w:tr>
        <w:tc>
          <w:tcPr>
            <w:tcW w:type="dxa" w:w="2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Результат</w:t>
            </w:r>
          </w:p>
        </w:tc>
        <w:tc>
          <w:tcPr>
            <w:tcW w:type="dxa" w:w="7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Подтверждено улучшение выбранного балансового показателя относительно базовой линии</w:t>
            </w:r>
          </w:p>
        </w:tc>
      </w:tr>
      <w:tr>
        <w:tc>
          <w:tcPr>
            <w:tcW w:type="dxa" w:w="2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Эффективность</w:t>
            </w:r>
          </w:p>
        </w:tc>
        <w:tc>
          <w:tcPr>
            <w:tcW w:type="dxa" w:w="7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Измерен выигрыш по времени или трудозатратам без ухудшения контроля</w:t>
            </w:r>
          </w:p>
        </w:tc>
      </w:tr>
      <w:tr>
        <w:tc>
          <w:tcPr>
            <w:tcW w:type="dxa" w:w="2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Аудит</w:t>
            </w:r>
          </w:p>
        </w:tc>
        <w:tc>
          <w:tcPr>
            <w:tcW w:type="dxa" w:w="7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Независимая правовая, финансовая и киберпроверка без критических замечаний</w:t>
            </w:r>
          </w:p>
        </w:tc>
      </w:tr>
    </w:tbl>
    <w:p>
      <w:pPr>
        <w:keepNext w:val="0"/>
        <w:spacing w:before="0" w:after="80"/>
      </w:pP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Пороговые значения [М] являются гипотезами пилота. Эмпирический эффект не заявляется до получения базовой линии и результатов контрольного периода.</w:t>
      </w: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МАСШТАБИРОВАНИЕ</w:t>
      </w:r>
    </w:p>
    <w:p>
      <w:pPr>
        <w:pStyle w:val="Heading1"/>
      </w:pPr>
      <w:r>
        <w:t>Дорожная карта до 2030 и 2036 годов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3900"/>
        <w:gridCol w:w="3760"/>
      </w:tblGrid>
      <w:tr>
        <w:trPr>
          <w:tblHeader w:val="true"/>
        </w:trPr>
        <w:tc>
          <w:tcPr>
            <w:tcW w:type="dxa" w:w="17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Этап</w:t>
            </w:r>
          </w:p>
        </w:tc>
        <w:tc>
          <w:tcPr>
            <w:tcW w:type="dxa" w:w="39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Фокус</w:t>
            </w:r>
          </w:p>
        </w:tc>
        <w:tc>
          <w:tcPr>
            <w:tcW w:type="dxa" w:w="37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Результат</w:t>
            </w:r>
          </w:p>
        </w:tc>
      </w:tr>
      <w:tr>
        <w:tc>
          <w:tcPr>
            <w:tcW w:type="dxa" w:w="17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7"/>
              </w:rPr>
              <w:t>2026</w:t>
            </w:r>
          </w:p>
        </w:tc>
        <w:tc>
          <w:tcPr>
            <w:tcW w:type="dxa" w:w="3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Проектирование и правовая квалификация</w:t>
            </w:r>
          </w:p>
        </w:tc>
        <w:tc>
          <w:tcPr>
            <w:tcW w:type="dxa" w:w="37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Согласованная архитектура, паспорта и рамки пилота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7"/>
              </w:rPr>
              <w:t>2027</w:t>
            </w:r>
          </w:p>
        </w:tc>
        <w:tc>
          <w:tcPr>
            <w:tcW w:type="dxa" w:w="3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Пилот и независимая проверка</w:t>
            </w:r>
          </w:p>
        </w:tc>
        <w:tc>
          <w:tcPr>
            <w:tcW w:type="dxa" w:w="37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Решение о доработке или масштабировании</w:t>
            </w:r>
          </w:p>
        </w:tc>
      </w:tr>
      <w:tr>
        <w:tc>
          <w:tcPr>
            <w:tcW w:type="dxa" w:w="17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7"/>
              </w:rPr>
              <w:t>2028</w:t>
            </w:r>
          </w:p>
        </w:tc>
        <w:tc>
          <w:tcPr>
            <w:tcW w:type="dxa" w:w="3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Межведомственная интеграция</w:t>
            </w:r>
          </w:p>
        </w:tc>
        <w:tc>
          <w:tcPr>
            <w:tcW w:type="dxa" w:w="37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Общие идентификаторы, API и доказательные пакеты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2029–2030</w:t>
            </w:r>
          </w:p>
        </w:tc>
        <w:tc>
          <w:tcPr>
            <w:tcW w:type="dxa" w:w="3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Расширение на портфели и территории</w:t>
            </w:r>
          </w:p>
        </w:tc>
        <w:tc>
          <w:tcPr>
            <w:tcW w:type="dxa" w:w="37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Устойчивый цикл исполнения национальных целей</w:t>
            </w:r>
          </w:p>
        </w:tc>
      </w:tr>
      <w:tr>
        <w:tc>
          <w:tcPr>
            <w:tcW w:type="dxa" w:w="17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2031–2036</w:t>
            </w:r>
          </w:p>
        </w:tc>
        <w:tc>
          <w:tcPr>
            <w:tcW w:type="dxa" w:w="3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Адаптивное управление развитием</w:t>
            </w:r>
          </w:p>
        </w:tc>
        <w:tc>
          <w:tcPr>
            <w:tcW w:type="dxa" w:w="37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Сценарное управление долгосрочными балансами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2E5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C5A253"/>
                <w:sz w:val="21"/>
              </w:rPr>
              <w:t xml:space="preserve">УСЛОВИЕ МАСШТАБИРОВАНИЯ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Не календарная дата, а выполнение правовых, организационных, данных, финансовых и безопасностных шлюзов.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ОРГАНИЗАЦИЯ</w:t>
      </w:r>
    </w:p>
    <w:p>
      <w:pPr>
        <w:pStyle w:val="Heading1"/>
      </w:pPr>
      <w:r>
        <w:t>Управление программой и модель ответственности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100"/>
        <w:gridCol w:w="6260"/>
      </w:tblGrid>
      <w:tr>
        <w:trPr>
          <w:tblHeader w:val="true"/>
        </w:trPr>
        <w:tc>
          <w:tcPr>
            <w:tcW w:type="dxa" w:w="31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Роль</w:t>
            </w:r>
          </w:p>
        </w:tc>
        <w:tc>
          <w:tcPr>
            <w:tcW w:type="dxa" w:w="626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Ответственность</w:t>
            </w:r>
          </w:p>
        </w:tc>
      </w:tr>
      <w:tr>
        <w:tc>
          <w:tcPr>
            <w:tcW w:type="dxa" w:w="3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Государственный заказчик</w:t>
            </w:r>
          </w:p>
        </w:tc>
        <w:tc>
          <w:tcPr>
            <w:tcW w:type="dxa" w:w="62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Мандат, объект пилота, ресурс и итоговое решение</w:t>
            </w:r>
          </w:p>
        </w:tc>
      </w:tr>
      <w:tr>
        <w:tc>
          <w:tcPr>
            <w:tcW w:type="dxa" w:w="3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Межведомственный координационный совет</w:t>
            </w:r>
          </w:p>
        </w:tc>
        <w:tc>
          <w:tcPr>
            <w:tcW w:type="dxa" w:w="62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Разрешение зависимостей и контроль шлюзов</w:t>
            </w:r>
          </w:p>
        </w:tc>
      </w:tr>
      <w:tr>
        <w:tc>
          <w:tcPr>
            <w:tcW w:type="dxa" w:w="3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Владелец результата</w:t>
            </w:r>
          </w:p>
        </w:tc>
        <w:tc>
          <w:tcPr>
            <w:tcW w:type="dxa" w:w="62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Изменение состояния выбранного баланса</w:t>
            </w:r>
          </w:p>
        </w:tc>
      </w:tr>
      <w:tr>
        <w:tc>
          <w:tcPr>
            <w:tcW w:type="dxa" w:w="3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Методический центр</w:t>
            </w:r>
          </w:p>
        </w:tc>
        <w:tc>
          <w:tcPr>
            <w:tcW w:type="dxa" w:w="62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Модель 741, каталог 260, качество показателей</w:t>
            </w:r>
          </w:p>
        </w:tc>
      </w:tr>
      <w:tr>
        <w:tc>
          <w:tcPr>
            <w:tcW w:type="dxa" w:w="3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Оператор платформы</w:t>
            </w:r>
          </w:p>
        </w:tc>
        <w:tc>
          <w:tcPr>
            <w:tcW w:type="dxa" w:w="62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Интеграции, доступность, журналирование и поддержка</w:t>
            </w:r>
          </w:p>
        </w:tc>
      </w:tr>
      <w:tr>
        <w:tc>
          <w:tcPr>
            <w:tcW w:type="dxa" w:w="3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Финансовый оператор</w:t>
            </w:r>
          </w:p>
        </w:tc>
        <w:tc>
          <w:tcPr>
            <w:tcW w:type="dxa" w:w="62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Банк или Казначейство; исполнение в RUB</w:t>
            </w:r>
          </w:p>
        </w:tc>
      </w:tr>
      <w:tr>
        <w:tc>
          <w:tcPr>
            <w:tcW w:type="dxa" w:w="3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Правовой комитет</w:t>
            </w:r>
          </w:p>
        </w:tc>
        <w:tc>
          <w:tcPr>
            <w:tcW w:type="dxa" w:w="62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Квалификация сценариев и контроль границ</w:t>
            </w:r>
          </w:p>
        </w:tc>
      </w:tr>
      <w:tr>
        <w:tc>
          <w:tcPr>
            <w:tcW w:type="dxa" w:w="3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Независимый валидатор</w:t>
            </w:r>
          </w:p>
        </w:tc>
        <w:tc>
          <w:tcPr>
            <w:tcW w:type="dxa" w:w="62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Проверка результата, методики и доказательств</w:t>
            </w:r>
          </w:p>
        </w:tc>
      </w:tr>
      <w:tr>
        <w:tc>
          <w:tcPr>
            <w:tcW w:type="dxa" w:w="3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Аудитор / контрольный орган</w:t>
            </w:r>
          </w:p>
        </w:tc>
        <w:tc>
          <w:tcPr>
            <w:tcW w:type="dxa" w:w="62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Независимая оценка и рекомендации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ЕДИНОНАЧАЛИЕ РЕЗУЛЬТАТА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Коллегиальная координация не отменяет персонального владельца каждого критического результата.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РИСКИ</w:t>
      </w:r>
    </w:p>
    <w:p>
      <w:pPr>
        <w:pStyle w:val="Heading1"/>
      </w:pPr>
      <w:r>
        <w:t>Ключевые риски и меры управления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400"/>
        <w:gridCol w:w="4160"/>
      </w:tblGrid>
      <w:tr>
        <w:trPr>
          <w:tblHeader w:val="true"/>
        </w:trPr>
        <w:tc>
          <w:tcPr>
            <w:tcW w:type="dxa" w:w="18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Риск</w:t>
            </w:r>
          </w:p>
        </w:tc>
        <w:tc>
          <w:tcPr>
            <w:tcW w:type="dxa" w:w="34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Проявление</w:t>
            </w:r>
          </w:p>
        </w:tc>
        <w:tc>
          <w:tcPr>
            <w:tcW w:type="dxa" w:w="41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Мера</w:t>
            </w:r>
          </w:p>
        </w:tc>
      </w:tr>
      <w:tr>
        <w:tc>
          <w:tcPr>
            <w:tcW w:type="dxa" w:w="1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Правовой</w:t>
            </w:r>
          </w:p>
        </w:tc>
        <w:tc>
          <w:tcPr>
            <w:tcW w:type="dxa" w:w="34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SUR-810 воспринимается как частные деньги</w:t>
            </w:r>
          </w:p>
        </w:tc>
        <w:tc>
          <w:tcPr>
            <w:tcW w:type="dxa" w:w="4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Дисклеймер, квалификация, только RUB/643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Репутационный</w:t>
            </w:r>
          </w:p>
        </w:tc>
        <w:tc>
          <w:tcPr>
            <w:tcW w:type="dxa" w:w="34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Связь 810 с псевдоюридическими теориями</w:t>
            </w:r>
          </w:p>
        </w:tc>
        <w:tc>
          <w:tcPr>
            <w:tcW w:type="dxa" w:w="4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Публичная таблица фактов и единая терминология</w:t>
            </w:r>
          </w:p>
        </w:tc>
      </w:tr>
      <w:tr>
        <w:tc>
          <w:tcPr>
            <w:tcW w:type="dxa" w:w="1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Институциональный</w:t>
            </w:r>
          </w:p>
        </w:tc>
        <w:tc>
          <w:tcPr>
            <w:tcW w:type="dxa" w:w="34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Опасение подмены органов</w:t>
            </w:r>
          </w:p>
        </w:tc>
        <w:tc>
          <w:tcPr>
            <w:tcW w:type="dxa" w:w="4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Явные границы полномочий и совместное управление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Данных</w:t>
            </w:r>
          </w:p>
        </w:tc>
        <w:tc>
          <w:tcPr>
            <w:tcW w:type="dxa" w:w="34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Несопоставимые формулы и версии</w:t>
            </w:r>
          </w:p>
        </w:tc>
        <w:tc>
          <w:tcPr>
            <w:tcW w:type="dxa" w:w="4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Паспорт показателя и происхождение данных</w:t>
            </w:r>
          </w:p>
        </w:tc>
      </w:tr>
      <w:tr>
        <w:tc>
          <w:tcPr>
            <w:tcW w:type="dxa" w:w="1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Модельный</w:t>
            </w:r>
          </w:p>
        </w:tc>
        <w:tc>
          <w:tcPr>
            <w:tcW w:type="dxa" w:w="34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Ошибочный прогноз или автоматизация решения</w:t>
            </w:r>
          </w:p>
        </w:tc>
        <w:tc>
          <w:tcPr>
            <w:tcW w:type="dxa" w:w="4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Сценарии, человек в контуре, журнал версий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Финансовый</w:t>
            </w:r>
          </w:p>
        </w:tc>
        <w:tc>
          <w:tcPr>
            <w:tcW w:type="dxa" w:w="34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Платёж без основания или дубль</w:t>
            </w:r>
          </w:p>
        </w:tc>
        <w:tc>
          <w:tcPr>
            <w:tcW w:type="dxa" w:w="4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Проверка комплекта, два лица, идемпотентный ключ</w:t>
            </w:r>
          </w:p>
        </w:tc>
      </w:tr>
      <w:tr>
        <w:tc>
          <w:tcPr>
            <w:tcW w:type="dxa" w:w="1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Кибернетический</w:t>
            </w:r>
          </w:p>
        </w:tc>
        <w:tc>
          <w:tcPr>
            <w:tcW w:type="dxa" w:w="34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Компрометация доступа или реестра</w:t>
            </w:r>
          </w:p>
        </w:tc>
        <w:tc>
          <w:tcPr>
            <w:tcW w:type="dxa" w:w="4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Сегментация, MFA, подпись, резервирование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Проектный</w:t>
            </w:r>
          </w:p>
        </w:tc>
        <w:tc>
          <w:tcPr>
            <w:tcW w:type="dxa" w:w="34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Слишком широкий первый периметр</w:t>
            </w:r>
          </w:p>
        </w:tc>
        <w:tc>
          <w:tcPr>
            <w:tcW w:type="dxa" w:w="4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Ограниченный пилот и шлюзы stop/go</w:t>
            </w:r>
          </w:p>
        </w:tc>
      </w:tr>
      <w:tr>
        <w:tc>
          <w:tcPr>
            <w:tcW w:type="dxa" w:w="1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Методический</w:t>
            </w:r>
          </w:p>
        </w:tc>
        <w:tc>
          <w:tcPr>
            <w:tcW w:type="dxa" w:w="34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Показатель активности вместо эффекта</w:t>
            </w:r>
          </w:p>
        </w:tc>
        <w:tc>
          <w:tcPr>
            <w:tcW w:type="dxa" w:w="4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Базовая линия и независимая валидация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ПРОЕКТ РЕШЕНИЯ</w:t>
      </w:r>
    </w:p>
    <w:p>
      <w:pPr>
        <w:pStyle w:val="Heading1"/>
      </w:pPr>
      <w:r>
        <w:t>Проект поручения о запуске пилота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/>
          <w:color w:val="5B6770"/>
        </w:rPr>
        <w:t>Предлагаемая формулировка для дальнейшей юридической доработки:</w:t>
      </w:r>
    </w:p>
    <w:p>
      <w:pPr>
        <w:numPr>
          <w:ilvl w:val="0"/>
          <w:numId w:val="14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Правительству Российской Федерации подготовить предложения по проведению ограниченного пилотного проекта Системы управления развитием Российской Федерации.</w:t>
      </w:r>
    </w:p>
    <w:p>
      <w:pPr>
        <w:numPr>
          <w:ilvl w:val="0"/>
          <w:numId w:val="14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Определить государственного заказчика, координатора, объект пилота, перечень участников и владельца измеримого результата.</w:t>
      </w:r>
    </w:p>
    <w:p>
      <w:pPr>
        <w:numPr>
          <w:ilvl w:val="0"/>
          <w:numId w:val="14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Обеспечить разграничение организационно-методической архитектуры СУР и денежно-правового статуса обозначения 810.</w:t>
      </w:r>
    </w:p>
    <w:p>
      <w:pPr>
        <w:numPr>
          <w:ilvl w:val="0"/>
          <w:numId w:val="14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Сформировать межведомственную рабочую группу с участием заинтересованных органов; Банку России предложить участие в пределах установленной компетенции.</w:t>
      </w:r>
    </w:p>
    <w:p>
      <w:pPr>
        <w:numPr>
          <w:ilvl w:val="0"/>
          <w:numId w:val="14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В срок до 100 дней подготовить совместное правовое, финансовое, технологическое и организационное заключение и регламент пилота.</w:t>
      </w:r>
    </w:p>
    <w:p>
      <w:pPr>
        <w:numPr>
          <w:ilvl w:val="0"/>
          <w:numId w:val="14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Установить, что все юридически значимые расчёты пилота осуществляются в рублях Российской Федерации через уполномоченную банковскую или казначейскую инфраструктуру.</w:t>
      </w:r>
    </w:p>
    <w:p>
      <w:pPr>
        <w:numPr>
          <w:ilvl w:val="0"/>
          <w:numId w:val="14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Не допускать в рамках пилота выпуска, продажи или обещания обмена инструмента, обозначенного кодом 810, а также осуществления оператором нелицензированных финансовых функций.</w:t>
      </w:r>
    </w:p>
    <w:p>
      <w:pPr>
        <w:numPr>
          <w:ilvl w:val="0"/>
          <w:numId w:val="14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По итогам двенадцати месяцев представить доклад с независимой оценкой и предложениями о прекращении, доработке либо масштабировании.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2E5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C5A253"/>
                <w:sz w:val="21"/>
              </w:rPr>
              <w:t xml:space="preserve">СТАТУС  </w:t>
            </w:r>
            <w:r>
              <w:rPr>
                <w:rFonts w:ascii="Arial" w:hAnsi="Arial" w:eastAsia="Arial" w:cs="Arial"/>
                <w:color w:val="1D2730"/>
                <w:sz w:val="21"/>
              </w:rPr>
              <w:t>Текст является концептуальным проектом и требует правовой техники, межведомственного согласования и определения компетентного субъекта поручения.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ПЛАН ДЕЙСТВИЙ</w:t>
      </w:r>
    </w:p>
    <w:p>
      <w:pPr>
        <w:pStyle w:val="Heading1"/>
      </w:pPr>
      <w:r>
        <w:t>Первые 100 дней: перечень конкретных результатов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4500"/>
        <w:gridCol w:w="2860"/>
      </w:tblGrid>
      <w:tr>
        <w:trPr>
          <w:tblHeader w:val="true"/>
        </w:trPr>
        <w:tc>
          <w:tcPr>
            <w:tcW w:type="dxa" w:w="20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Результат</w:t>
            </w:r>
          </w:p>
        </w:tc>
        <w:tc>
          <w:tcPr>
            <w:tcW w:type="dxa" w:w="45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Содержание</w:t>
            </w:r>
          </w:p>
        </w:tc>
        <w:tc>
          <w:tcPr>
            <w:tcW w:type="dxa" w:w="286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Приёмка</w:t>
            </w:r>
          </w:p>
        </w:tc>
      </w:tr>
      <w:tr>
        <w:tc>
          <w:tcPr>
            <w:tcW w:type="dxa" w:w="2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Мандат пилота</w:t>
            </w:r>
          </w:p>
        </w:tc>
        <w:tc>
          <w:tcPr>
            <w:tcW w:type="dxa" w:w="45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Заказчик, владелец, объект, границы и бюджетное основание</w:t>
            </w:r>
          </w:p>
        </w:tc>
        <w:tc>
          <w:tcPr>
            <w:tcW w:type="dxa" w:w="28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Распорядительный документ</w:t>
            </w:r>
          </w:p>
        </w:tc>
      </w:tr>
      <w:tr>
        <w:tc>
          <w:tcPr>
            <w:tcW w:type="dxa" w:w="2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Правовой меморандум</w:t>
            </w:r>
          </w:p>
        </w:tc>
        <w:tc>
          <w:tcPr>
            <w:tcW w:type="dxa" w:w="4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Квалификация SUR-810, ролей, данных и финансовых сценариев</w:t>
            </w:r>
          </w:p>
        </w:tc>
        <w:tc>
          <w:tcPr>
            <w:tcW w:type="dxa" w:w="2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0 открытых критических вопросов</w:t>
            </w:r>
          </w:p>
        </w:tc>
      </w:tr>
      <w:tr>
        <w:tc>
          <w:tcPr>
            <w:tcW w:type="dxa" w:w="2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Карта процессов</w:t>
            </w:r>
          </w:p>
        </w:tc>
        <w:tc>
          <w:tcPr>
            <w:tcW w:type="dxa" w:w="45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Текущий и целевой цикл от сигнала до результата</w:t>
            </w:r>
          </w:p>
        </w:tc>
        <w:tc>
          <w:tcPr>
            <w:tcW w:type="dxa" w:w="28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Согласование владельцев</w:t>
            </w:r>
          </w:p>
        </w:tc>
      </w:tr>
      <w:tr>
        <w:tc>
          <w:tcPr>
            <w:tcW w:type="dxa" w:w="2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Матрица 741</w:t>
            </w:r>
          </w:p>
        </w:tc>
        <w:tc>
          <w:tcPr>
            <w:tcW w:type="dxa" w:w="4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Выбранные балансы, фазы, масштабы и паспорта</w:t>
            </w:r>
          </w:p>
        </w:tc>
        <w:tc>
          <w:tcPr>
            <w:tcW w:type="dxa" w:w="2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Полнота обязательных полей</w:t>
            </w:r>
          </w:p>
        </w:tc>
      </w:tr>
      <w:tr>
        <w:tc>
          <w:tcPr>
            <w:tcW w:type="dxa" w:w="2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Каталог показателей</w:t>
            </w:r>
          </w:p>
        </w:tc>
        <w:tc>
          <w:tcPr>
            <w:tcW w:type="dxa" w:w="45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Первая версия набора 260 и методик</w:t>
            </w:r>
          </w:p>
        </w:tc>
        <w:tc>
          <w:tcPr>
            <w:tcW w:type="dxa" w:w="28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Экспертная и статистическая проверка</w:t>
            </w:r>
          </w:p>
        </w:tc>
      </w:tr>
      <w:tr>
        <w:tc>
          <w:tcPr>
            <w:tcW w:type="dxa" w:w="2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Архитектура данных</w:t>
            </w:r>
          </w:p>
        </w:tc>
        <w:tc>
          <w:tcPr>
            <w:tcW w:type="dxa" w:w="4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Реестры, API, идентификаторы, доступ и происхождение</w:t>
            </w:r>
          </w:p>
        </w:tc>
        <w:tc>
          <w:tcPr>
            <w:tcW w:type="dxa" w:w="2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Технический совет</w:t>
            </w:r>
          </w:p>
        </w:tc>
      </w:tr>
      <w:tr>
        <w:tc>
          <w:tcPr>
            <w:tcW w:type="dxa" w:w="2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Прототип SUR-810</w:t>
            </w:r>
          </w:p>
        </w:tc>
        <w:tc>
          <w:tcPr>
            <w:tcW w:type="dxa" w:w="45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Реестр обязательств и статусов платежа без хранения средств</w:t>
            </w:r>
          </w:p>
        </w:tc>
        <w:tc>
          <w:tcPr>
            <w:tcW w:type="dxa" w:w="28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Сверка тестовых данных</w:t>
            </w:r>
          </w:p>
        </w:tc>
      </w:tr>
      <w:tr>
        <w:tc>
          <w:tcPr>
            <w:tcW w:type="dxa" w:w="2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Модель безопасности</w:t>
            </w:r>
          </w:p>
        </w:tc>
        <w:tc>
          <w:tcPr>
            <w:tcW w:type="dxa" w:w="4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Угрозы, роли, журналирование, резервный режим</w:t>
            </w:r>
          </w:p>
        </w:tc>
        <w:tc>
          <w:tcPr>
            <w:tcW w:type="dxa" w:w="2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Испытание и протокол</w:t>
            </w:r>
          </w:p>
        </w:tc>
      </w:tr>
      <w:tr>
        <w:tc>
          <w:tcPr>
            <w:tcW w:type="dxa" w:w="2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План измерения</w:t>
            </w:r>
          </w:p>
        </w:tc>
        <w:tc>
          <w:tcPr>
            <w:tcW w:type="dxa" w:w="45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Базовая линия, KPI, контрольный сценарий и валидатор</w:t>
            </w:r>
          </w:p>
        </w:tc>
        <w:tc>
          <w:tcPr>
            <w:tcW w:type="dxa" w:w="28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Независимое заключение</w:t>
            </w:r>
          </w:p>
        </w:tc>
      </w:tr>
      <w:tr>
        <w:tc>
          <w:tcPr>
            <w:tcW w:type="dxa" w:w="2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Решение шлюза</w:t>
            </w:r>
          </w:p>
        </w:tc>
        <w:tc>
          <w:tcPr>
            <w:tcW w:type="dxa" w:w="4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Go / revise / stop</w:t>
            </w:r>
          </w:p>
        </w:tc>
        <w:tc>
          <w:tcPr>
            <w:tcW w:type="dxa" w:w="2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Протокол координационного совета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ЗАКЛЮЧЕНИЕ</w:t>
      </w:r>
    </w:p>
    <w:p>
      <w:pPr>
        <w:pStyle w:val="Heading1"/>
      </w:pPr>
      <w:r>
        <w:t>Итоговая позиция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СУР переводит управление развитием из набора разрозненных документов и информационных контуров в 19 взаимосвязанных балансовых систем управления и единый, но федеративный цикл ответственности: от сигнала и сценария — к законному ресурсу, исполнению и независимо подтверждённому результату.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КРИСТАЛЛ 741 создаёт адресную операционную матрицу, каталог 260 — измерительный язык, а SUR-810 — прослеживаемость связи между обязательством, рублёвым платежом и результатом.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Историческая точность принципиальна: SUR/810 относится к советскому рублю, RUR/810 — к российскому рублю до деноминации, RUB/643 — к действующему российскому рублю. В банковском счёте 810 является техническим признаком рубля. Эта история не создаёт современного коэффициента обмена или денежного требования.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2E5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C5A253"/>
                <w:sz w:val="21"/>
              </w:rPr>
              <w:t xml:space="preserve">РЕШЕНИЕ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Запустить правовую и организационную подготовку ограниченного немонетарного пилота СУР; использовать SUR-810 как реестр прослеживаемости; денежное исполнение вести исключительно в RUB/643.</w:t>
            </w:r>
          </w:p>
        </w:tc>
      </w:tr>
    </w:tbl>
    <w:p>
      <w:pPr>
        <w:keepNext w:val="0"/>
        <w:spacing w:before="0" w:after="80"/>
      </w:pPr>
    </w:p>
    <w:p>
      <w:pPr>
        <w:keepNext w:val="0"/>
        <w:spacing w:before="480" w:after="240"/>
        <w:jc w:val="center"/>
      </w:pPr>
      <w:r>
        <w:rPr>
          <w:rFonts w:ascii="Arial" w:hAnsi="Arial" w:eastAsia="Arial" w:cs="Arial"/>
          <w:b/>
          <w:i w:val="0"/>
          <w:color w:val="0B2545"/>
          <w:sz w:val="32"/>
        </w:rPr>
        <w:t>SUR-810 не возвращает старую валюту — он возвращает расчётам прослеживаемость, долгосрочность и связь с результатом.</w:t>
      </w: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ПРИЛОЖЕНИЕ A</w:t>
      </w:r>
    </w:p>
    <w:p>
      <w:pPr>
        <w:pStyle w:val="Heading1"/>
      </w:pPr>
      <w:r>
        <w:t>Официальные источники и нормативные материалы</w:t>
      </w:r>
    </w:p>
    <w:p>
      <w:pPr>
        <w:pStyle w:val="SURSmall"/>
      </w:pPr>
      <w:r>
        <w:rPr>
          <w:rFonts w:ascii="Arial" w:hAnsi="Arial" w:eastAsia="Arial" w:cs="Arial"/>
          <w:b/>
          <w:color w:val="5B6770"/>
          <w:sz w:val="17"/>
        </w:rPr>
        <w:t xml:space="preserve">1. </w:t>
      </w:r>
      <w:hyperlink r:id="rId11">
        <w:r>
          <w:rPr>
            <w:rFonts w:ascii="Arial" w:hAnsi="Arial" w:eastAsia="Arial" w:cs="Arial"/>
            <w:color w:val="2E74B5"/>
            <w:u w:val="single"/>
          </w:rPr>
          <w:t>Конституция Российской Федерации, статья 75</w:t>
        </w:r>
      </w:hyperlink>
    </w:p>
    <w:p>
      <w:pPr>
        <w:pStyle w:val="SURSmall"/>
      </w:pPr>
      <w:r>
        <w:rPr>
          <w:rFonts w:ascii="Arial" w:hAnsi="Arial" w:eastAsia="Arial" w:cs="Arial"/>
          <w:b/>
          <w:color w:val="5B6770"/>
          <w:sz w:val="17"/>
        </w:rPr>
        <w:t xml:space="preserve">2. </w:t>
      </w:r>
      <w:hyperlink r:id="rId12">
        <w:r>
          <w:rPr>
            <w:rFonts w:ascii="Arial" w:hAnsi="Arial" w:eastAsia="Arial" w:cs="Arial"/>
            <w:color w:val="2E74B5"/>
            <w:u w:val="single"/>
          </w:rPr>
          <w:t>Федеральный закон №172-ФЗ «О стратегическом планировании в Российской Федерации»</w:t>
        </w:r>
      </w:hyperlink>
    </w:p>
    <w:p>
      <w:pPr>
        <w:pStyle w:val="SURSmall"/>
      </w:pPr>
      <w:r>
        <w:rPr>
          <w:rFonts w:ascii="Arial" w:hAnsi="Arial" w:eastAsia="Arial" w:cs="Arial"/>
          <w:b/>
          <w:color w:val="5B6770"/>
          <w:sz w:val="17"/>
        </w:rPr>
        <w:t xml:space="preserve">3. </w:t>
      </w:r>
      <w:hyperlink r:id="rId13">
        <w:r>
          <w:rPr>
            <w:rFonts w:ascii="Arial" w:hAnsi="Arial" w:eastAsia="Arial" w:cs="Arial"/>
            <w:color w:val="2E74B5"/>
            <w:u w:val="single"/>
          </w:rPr>
          <w:t>Указ Президента Российской Федерации №309 о национальных целях</w:t>
        </w:r>
      </w:hyperlink>
    </w:p>
    <w:p>
      <w:pPr>
        <w:pStyle w:val="SURSmall"/>
      </w:pPr>
      <w:r>
        <w:rPr>
          <w:rFonts w:ascii="Arial" w:hAnsi="Arial" w:eastAsia="Arial" w:cs="Arial"/>
          <w:b/>
          <w:color w:val="5B6770"/>
          <w:sz w:val="17"/>
        </w:rPr>
        <w:t xml:space="preserve">4. </w:t>
      </w:r>
      <w:hyperlink r:id="rId14">
        <w:r>
          <w:rPr>
            <w:rFonts w:ascii="Arial" w:hAnsi="Arial" w:eastAsia="Arial" w:cs="Arial"/>
            <w:color w:val="2E74B5"/>
            <w:u w:val="single"/>
          </w:rPr>
          <w:t>Стратегия пространственного развития, распоряжение Правительства №4146-р</w:t>
        </w:r>
      </w:hyperlink>
    </w:p>
    <w:p>
      <w:pPr>
        <w:pStyle w:val="SURSmall"/>
      </w:pPr>
      <w:r>
        <w:rPr>
          <w:rFonts w:ascii="Arial" w:hAnsi="Arial" w:eastAsia="Arial" w:cs="Arial"/>
          <w:b/>
          <w:color w:val="5B6770"/>
          <w:sz w:val="17"/>
        </w:rPr>
        <w:t xml:space="preserve">5. </w:t>
      </w:r>
      <w:hyperlink r:id="rId15">
        <w:r>
          <w:rPr>
            <w:rFonts w:ascii="Arial" w:hAnsi="Arial" w:eastAsia="Arial" w:cs="Arial"/>
            <w:color w:val="2E74B5"/>
            <w:u w:val="single"/>
          </w:rPr>
          <w:t>Указ Президента Российской Федерации №145 о научно-технологическом развитии</w:t>
        </w:r>
      </w:hyperlink>
    </w:p>
    <w:p>
      <w:pPr>
        <w:pStyle w:val="SURSmall"/>
      </w:pPr>
      <w:r>
        <w:rPr>
          <w:rFonts w:ascii="Arial" w:hAnsi="Arial" w:eastAsia="Arial" w:cs="Arial"/>
          <w:b/>
          <w:color w:val="5B6770"/>
          <w:sz w:val="17"/>
        </w:rPr>
        <w:t xml:space="preserve">6. </w:t>
      </w:r>
      <w:hyperlink r:id="rId16">
        <w:r>
          <w:rPr>
            <w:rFonts w:ascii="Arial" w:hAnsi="Arial" w:eastAsia="Arial" w:cs="Arial"/>
            <w:color w:val="2E74B5"/>
            <w:u w:val="single"/>
          </w:rPr>
          <w:t>Указ Президента Российской Федерации №400 о Стратегии национальной безопасности</w:t>
        </w:r>
      </w:hyperlink>
    </w:p>
    <w:p>
      <w:pPr>
        <w:pStyle w:val="SURSmall"/>
      </w:pPr>
      <w:r>
        <w:rPr>
          <w:rFonts w:ascii="Arial" w:hAnsi="Arial" w:eastAsia="Arial" w:cs="Arial"/>
          <w:b/>
          <w:color w:val="5B6770"/>
          <w:sz w:val="17"/>
        </w:rPr>
        <w:t xml:space="preserve">7. </w:t>
      </w:r>
      <w:hyperlink r:id="rId17">
        <w:r>
          <w:rPr>
            <w:rFonts w:ascii="Arial" w:hAnsi="Arial" w:eastAsia="Arial" w:cs="Arial"/>
            <w:color w:val="2E74B5"/>
            <w:u w:val="single"/>
          </w:rPr>
          <w:t>Постановление Правительства Российской Федерации №171 о Координационном центре</w:t>
        </w:r>
      </w:hyperlink>
    </w:p>
    <w:p>
      <w:pPr>
        <w:pStyle w:val="SURSmall"/>
      </w:pPr>
      <w:r>
        <w:rPr>
          <w:rFonts w:ascii="Arial" w:hAnsi="Arial" w:eastAsia="Arial" w:cs="Arial"/>
          <w:b/>
          <w:color w:val="5B6770"/>
          <w:sz w:val="17"/>
        </w:rPr>
        <w:t xml:space="preserve">8. </w:t>
      </w:r>
      <w:hyperlink r:id="rId18">
        <w:r>
          <w:rPr>
            <w:rFonts w:ascii="Arial" w:hAnsi="Arial" w:eastAsia="Arial" w:cs="Arial"/>
            <w:color w:val="2E74B5"/>
            <w:u w:val="single"/>
          </w:rPr>
          <w:t>Постановление Правительства Российской Федерации №1278 о ФИС стратегического планирования</w:t>
        </w:r>
      </w:hyperlink>
    </w:p>
    <w:p>
      <w:pPr>
        <w:pStyle w:val="SURSmall"/>
      </w:pPr>
      <w:r>
        <w:rPr>
          <w:rFonts w:ascii="Arial" w:hAnsi="Arial" w:eastAsia="Arial" w:cs="Arial"/>
          <w:b/>
          <w:color w:val="5B6770"/>
          <w:sz w:val="17"/>
        </w:rPr>
        <w:t xml:space="preserve">9. </w:t>
      </w:r>
      <w:hyperlink r:id="rId19">
        <w:r>
          <w:rPr>
            <w:rFonts w:ascii="Arial" w:hAnsi="Arial" w:eastAsia="Arial" w:cs="Arial"/>
            <w:color w:val="2E74B5"/>
            <w:u w:val="single"/>
          </w:rPr>
          <w:t>Постановление Правительства Российской Федерации №733 о национальной системе управления данными</w:t>
        </w:r>
      </w:hyperlink>
    </w:p>
    <w:p>
      <w:pPr>
        <w:pStyle w:val="SURSmall"/>
      </w:pPr>
      <w:r>
        <w:rPr>
          <w:rFonts w:ascii="Arial" w:hAnsi="Arial" w:eastAsia="Arial" w:cs="Arial"/>
          <w:b/>
          <w:color w:val="5B6770"/>
          <w:sz w:val="17"/>
        </w:rPr>
        <w:t xml:space="preserve">10. </w:t>
      </w:r>
      <w:hyperlink r:id="rId20">
        <w:r>
          <w:rPr>
            <w:rFonts w:ascii="Arial" w:hAnsi="Arial" w:eastAsia="Arial" w:cs="Arial"/>
            <w:color w:val="2E74B5"/>
            <w:u w:val="single"/>
          </w:rPr>
          <w:t>Банк России: разъяснение о признаке рубля 810 и коде валюты 643</w:t>
        </w:r>
      </w:hyperlink>
    </w:p>
    <w:p>
      <w:pPr>
        <w:pStyle w:val="SURSmall"/>
      </w:pPr>
      <w:r>
        <w:rPr>
          <w:rFonts w:ascii="Arial" w:hAnsi="Arial" w:eastAsia="Arial" w:cs="Arial"/>
          <w:b/>
          <w:color w:val="5B6770"/>
          <w:sz w:val="17"/>
        </w:rPr>
        <w:t xml:space="preserve">11. </w:t>
      </w:r>
      <w:hyperlink r:id="rId21">
        <w:r>
          <w:rPr>
            <w:rFonts w:ascii="Arial" w:hAnsi="Arial" w:eastAsia="Arial" w:cs="Arial"/>
            <w:color w:val="2E74B5"/>
            <w:u w:val="single"/>
          </w:rPr>
          <w:t>Положение Банка России №809-П: правила нумерации лицевых счетов</w:t>
        </w:r>
      </w:hyperlink>
    </w:p>
    <w:p>
      <w:pPr>
        <w:pStyle w:val="SURSmall"/>
      </w:pPr>
      <w:r>
        <w:rPr>
          <w:rFonts w:ascii="Arial" w:hAnsi="Arial" w:eastAsia="Arial" w:cs="Arial"/>
          <w:b/>
          <w:color w:val="5B6770"/>
          <w:sz w:val="17"/>
        </w:rPr>
        <w:t xml:space="preserve">12. </w:t>
      </w:r>
      <w:hyperlink r:id="rId22">
        <w:r>
          <w:rPr>
            <w:rFonts w:ascii="Arial" w:hAnsi="Arial" w:eastAsia="Arial" w:cs="Arial"/>
            <w:color w:val="2E74B5"/>
            <w:u w:val="single"/>
          </w:rPr>
          <w:t>Указ Президента Российской Федерации №822 о деноминации</w:t>
        </w:r>
      </w:hyperlink>
    </w:p>
    <w:p>
      <w:pPr>
        <w:pStyle w:val="SURSmall"/>
      </w:pPr>
      <w:r>
        <w:rPr>
          <w:rFonts w:ascii="Arial" w:hAnsi="Arial" w:eastAsia="Arial" w:cs="Arial"/>
          <w:b/>
          <w:color w:val="5B6770"/>
          <w:sz w:val="17"/>
        </w:rPr>
        <w:t xml:space="preserve">13. </w:t>
      </w:r>
      <w:hyperlink r:id="rId23">
        <w:r>
          <w:rPr>
            <w:rFonts w:ascii="Arial" w:hAnsi="Arial" w:eastAsia="Arial" w:cs="Arial"/>
            <w:color w:val="2E74B5"/>
            <w:u w:val="single"/>
          </w:rPr>
          <w:t>ISO: стандарт ISO 4217</w:t>
        </w:r>
      </w:hyperlink>
    </w:p>
    <w:p>
      <w:pPr>
        <w:pStyle w:val="SURSmall"/>
      </w:pPr>
      <w:r>
        <w:rPr>
          <w:rFonts w:ascii="Arial" w:hAnsi="Arial" w:eastAsia="Arial" w:cs="Arial"/>
          <w:b/>
          <w:color w:val="5B6770"/>
          <w:sz w:val="17"/>
        </w:rPr>
        <w:t xml:space="preserve">14. </w:t>
      </w:r>
      <w:hyperlink r:id="rId24">
        <w:r>
          <w:rPr>
            <w:rFonts w:ascii="Arial" w:hAnsi="Arial" w:eastAsia="Arial" w:cs="Arial"/>
            <w:color w:val="2E74B5"/>
            <w:u w:val="single"/>
          </w:rPr>
          <w:t>SIX: официальный орган сопровождения ISO 4217</w:t>
        </w:r>
      </w:hyperlink>
    </w:p>
    <w:p>
      <w:pPr>
        <w:pStyle w:val="SURSmall"/>
      </w:pPr>
      <w:r>
        <w:rPr>
          <w:rFonts w:ascii="Arial" w:hAnsi="Arial" w:eastAsia="Arial" w:cs="Arial"/>
          <w:b/>
          <w:color w:val="5B6770"/>
          <w:sz w:val="17"/>
        </w:rPr>
        <w:t xml:space="preserve">15. </w:t>
      </w:r>
      <w:hyperlink r:id="rId25">
        <w:r>
          <w:rPr>
            <w:rFonts w:ascii="Arial" w:hAnsi="Arial" w:eastAsia="Arial" w:cs="Arial"/>
            <w:color w:val="2E74B5"/>
            <w:u w:val="single"/>
          </w:rPr>
          <w:t>SIX: исторический список ISO 4217 List Three</w:t>
        </w:r>
      </w:hyperlink>
    </w:p>
    <w:p>
      <w:pPr>
        <w:pStyle w:val="SURSmall"/>
      </w:pPr>
      <w:r>
        <w:rPr>
          <w:rFonts w:ascii="Arial" w:hAnsi="Arial" w:eastAsia="Arial" w:cs="Arial"/>
          <w:b/>
          <w:color w:val="5B6770"/>
          <w:sz w:val="17"/>
        </w:rPr>
        <w:t xml:space="preserve">16. </w:t>
      </w:r>
      <w:hyperlink r:id="rId26">
        <w:r>
          <w:rPr>
            <w:rFonts w:ascii="Arial" w:hAnsi="Arial" w:eastAsia="Arial" w:cs="Arial"/>
            <w:color w:val="2E74B5"/>
            <w:u w:val="single"/>
          </w:rPr>
          <w:t>Банк России: цифровые финансовые активы</w:t>
        </w:r>
      </w:hyperlink>
    </w:p>
    <w:p>
      <w:pPr>
        <w:pStyle w:val="SURSmall"/>
      </w:pPr>
      <w:r>
        <w:rPr>
          <w:rFonts w:ascii="Arial" w:hAnsi="Arial" w:eastAsia="Arial" w:cs="Arial"/>
          <w:b/>
          <w:color w:val="5B6770"/>
          <w:sz w:val="17"/>
        </w:rPr>
        <w:t xml:space="preserve">17. </w:t>
      </w:r>
      <w:hyperlink r:id="rId27">
        <w:r>
          <w:rPr>
            <w:rFonts w:ascii="Arial" w:hAnsi="Arial" w:eastAsia="Arial" w:cs="Arial"/>
            <w:color w:val="2E74B5"/>
            <w:u w:val="single"/>
          </w:rPr>
          <w:t>Банк России: цифровой рубль</w:t>
        </w:r>
      </w:hyperlink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ПРИМЕЧАНИЕ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Документ использует официальные источники для правовых и исторических утверждений. Проектные KPI, архитектурные роли и сроки с пометкой [М] являются авторской моделью, подлежащей проверке.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ПРИЛОЖЕНИЕ B</w:t>
      </w:r>
    </w:p>
    <w:p>
      <w:pPr>
        <w:pStyle w:val="Heading1"/>
      </w:pPr>
      <w:r>
        <w:t>Глоссарий и правила терминологии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00"/>
        <w:gridCol w:w="6960"/>
      </w:tblGrid>
      <w:tr>
        <w:trPr>
          <w:tblHeader w:val="true"/>
        </w:trPr>
        <w:tc>
          <w:tcPr>
            <w:tcW w:type="dxa" w:w="24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Термин</w:t>
            </w:r>
          </w:p>
        </w:tc>
        <w:tc>
          <w:tcPr>
            <w:tcW w:type="dxa" w:w="69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Рабочее определение</w:t>
            </w:r>
          </w:p>
        </w:tc>
      </w:tr>
      <w:tr>
        <w:tc>
          <w:tcPr>
            <w:tcW w:type="dxa" w:w="24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Балансовая система управления</w:t>
            </w:r>
          </w:p>
        </w:tc>
        <w:tc>
          <w:tcPr>
            <w:tcW w:type="dxa" w:w="69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Замкнутый контур: объект, состояние, цель, наблюдение, модель, решение, воздействие, ресурс, исполнение и обратная связь</w:t>
            </w:r>
          </w:p>
        </w:tc>
      </w:tr>
      <w:tr>
        <w:tc>
          <w:tcPr>
            <w:tcW w:type="dxa" w:w="24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Доказательство</w:t>
            </w:r>
          </w:p>
        </w:tc>
        <w:tc>
          <w:tcPr>
            <w:tcW w:type="dxa" w:w="69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Проверяемый документ, статус, измерение или заключение с происхождением и версией</w:t>
            </w:r>
          </w:p>
        </w:tc>
      </w:tr>
      <w:tr>
        <w:tc>
          <w:tcPr>
            <w:tcW w:type="dxa" w:w="24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Контур</w:t>
            </w:r>
          </w:p>
        </w:tc>
        <w:tc>
          <w:tcPr>
            <w:tcW w:type="dxa" w:w="69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Совокупность процессов, данных, ролей и контрольных правил с общей функцией</w:t>
            </w:r>
          </w:p>
        </w:tc>
      </w:tr>
      <w:tr>
        <w:tc>
          <w:tcPr>
            <w:tcW w:type="dxa" w:w="24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Модуль 741</w:t>
            </w:r>
          </w:p>
        </w:tc>
        <w:tc>
          <w:tcPr>
            <w:tcW w:type="dxa" w:w="69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Адресуемая комбинация баланса, фазы жизненного цикла и масштаба</w:t>
            </w:r>
          </w:p>
        </w:tc>
      </w:tr>
      <w:tr>
        <w:tc>
          <w:tcPr>
            <w:tcW w:type="dxa" w:w="24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Показатель 260</w:t>
            </w:r>
          </w:p>
        </w:tc>
        <w:tc>
          <w:tcPr>
            <w:tcW w:type="dxa" w:w="69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Версионируемый паспорт определения, формулы, источника, порога и проверки</w:t>
            </w:r>
          </w:p>
        </w:tc>
      </w:tr>
      <w:tr>
        <w:tc>
          <w:tcPr>
            <w:tcW w:type="dxa" w:w="24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SUR-810</w:t>
            </w:r>
          </w:p>
        </w:tc>
        <w:tc>
          <w:tcPr>
            <w:tcW w:type="dxa" w:w="69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Проектное имя реестра связи источника, обязательства, рублёвого платежа и результата</w:t>
            </w:r>
          </w:p>
        </w:tc>
      </w:tr>
      <w:tr>
        <w:tc>
          <w:tcPr>
            <w:tcW w:type="dxa" w:w="24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RUB/643</w:t>
            </w:r>
          </w:p>
        </w:tc>
        <w:tc>
          <w:tcPr>
            <w:tcW w:type="dxa" w:w="69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Действующее обозначение российского рубля для денежного исполнения</w:t>
            </w:r>
          </w:p>
        </w:tc>
      </w:tr>
      <w:tr>
        <w:tc>
          <w:tcPr>
            <w:tcW w:type="dxa" w:w="24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Признак 810</w:t>
            </w:r>
          </w:p>
        </w:tc>
        <w:tc>
          <w:tcPr>
            <w:tcW w:type="dxa" w:w="69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Технический элемент структуры российского банковского счёта</w:t>
            </w:r>
          </w:p>
        </w:tc>
      </w:tr>
      <w:tr>
        <w:tc>
          <w:tcPr>
            <w:tcW w:type="dxa" w:w="24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Пилот</w:t>
            </w:r>
          </w:p>
        </w:tc>
        <w:tc>
          <w:tcPr>
            <w:tcW w:type="dxa" w:w="69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Ограниченная проверка гипотез с заранее заданными границами и стоп-условиями</w:t>
            </w:r>
          </w:p>
        </w:tc>
      </w:tr>
      <w:tr>
        <w:tc>
          <w:tcPr>
            <w:tcW w:type="dxa" w:w="24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Валидатор</w:t>
            </w:r>
          </w:p>
        </w:tc>
        <w:tc>
          <w:tcPr>
            <w:tcW w:type="dxa" w:w="69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Независимый или функционально отделённый субъект проверки результата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2E5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C5A253"/>
                <w:sz w:val="21"/>
              </w:rPr>
              <w:t xml:space="preserve">ПРЕДПОЧТИТЕЛЬНАЯ ФОРМУЛИРОВКА  </w:t>
            </w:r>
            <w:r>
              <w:rPr>
                <w:rFonts w:ascii="Arial" w:hAnsi="Arial" w:eastAsia="Arial" w:cs="Arial"/>
                <w:color w:val="1D2730"/>
                <w:sz w:val="21"/>
              </w:rPr>
              <w:t>«Переход к системе интегрированного управления развитием» — без заявлений о замене органов власти, конституционного строя или действующей денежной системы.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ПРИЛОЖЕНИЕ C</w:t>
      </w:r>
    </w:p>
    <w:p>
      <w:pPr>
        <w:pStyle w:val="Heading1"/>
      </w:pPr>
      <w:r>
        <w:t>Методологические оговорки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Документ описывает целевую концепцию и не доказывает фактический экономический эффект до проведения пилота.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Числа 741 и 260 являются элементами авторской архитектуры; их применение требует утверждённых паспортов и версий.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Модельные пороги [М] не являются государственными нормативами, банковскими правилами или обещанием результата.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Официальная статистика имеет приоритет в пределах своей предметной области; производные индексы маркируются как аналитические.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Алгоритм поддерживает решение, но не заменяет полномочие, юридическую ответственность и профессиональное суждение.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Финансовые, налоговые, бухгалтерские, закупочные и валютные сценарии требуют отдельной квалификации применительно к участникам и объекту пилота.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Любая функция передачи, хранения, обмена или привлечения денег исключается из пилота, если она не выполняется надлежащим регулируемым субъектом.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Масштабирование допускается только после независимой оценки права, эффекта, безопасности, стоимости владения и организационной готовности.</w:t>
      </w:r>
    </w:p>
    <w:p>
      <w:pPr>
        <w:keepNext w:val="0"/>
        <w:spacing w:before="560" w:after="120"/>
        <w:jc w:val="center"/>
      </w:pPr>
      <w:r>
        <w:rPr>
          <w:rFonts w:ascii="Arial" w:hAnsi="Arial" w:eastAsia="Arial" w:cs="Arial"/>
          <w:b w:val="0"/>
          <w:i w:val="0"/>
          <w:color w:val="5B6770"/>
          <w:sz w:val="17"/>
        </w:rPr>
        <w:t>Конец документа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Style w:val="TableGrid"/>
      <w:tblW w:type="dxa" w:w="9360"/>
      <w:jc w:val="left"/>
      <w:tblLayout w:type="fixed"/>
      <w:tblLook w:firstColumn="1" w:firstRow="1" w:lastColumn="0" w:lastRow="0" w:noHBand="0" w:noVBand="1" w:val="04A0"/>
      <w:tblInd w:w="0" w:type="dxa"/>
    </w:tblPr>
    <w:tblGrid>
      <w:gridCol w:w="6500"/>
      <w:gridCol w:w="2860"/>
    </w:tblGrid>
    <w:tr>
      <w:tc>
        <w:tcPr>
          <w:tcW w:type="dxa" w:w="6500"/>
          <w:tcMar>
            <w:top w:w="80" w:type="dxa"/>
            <w:start w:w="120" w:type="dxa"/>
            <w:bottom w:w="80" w:type="dxa"/>
            <w:end w:w="120" w:type="dxa"/>
          </w:tcMar>
          <w:vAlign w:val="center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r>
            <w:rPr>
              <w:rFonts w:ascii="Arial" w:hAnsi="Arial" w:eastAsia="Arial" w:cs="Arial"/>
              <w:color w:val="5B6770"/>
              <w:sz w:val="16"/>
            </w:rPr>
            <w:t>Проект для межведомственного рассмотрения  |  Версия 1.0  |  27.08.2026</w:t>
          </w:r>
        </w:p>
      </w:tc>
      <w:tc>
        <w:tcPr>
          <w:tcW w:type="dxa" w:w="2860"/>
          <w:tcMar>
            <w:top w:w="80" w:type="dxa"/>
            <w:start w:w="120" w:type="dxa"/>
            <w:bottom w:w="80" w:type="dxa"/>
            <w:end w:w="120" w:type="dxa"/>
          </w:tcMar>
          <w:vAlign w:val="center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jc w:val="right"/>
          </w:pPr>
          <w:r>
            <w:rPr>
              <w:rFonts w:ascii="Arial" w:hAnsi="Arial" w:eastAsia="Arial" w:cs="Arial"/>
              <w:color w:val="5B6770"/>
              <w:sz w:val="17"/>
            </w:rPr>
            <w:t xml:space="preserve">Стр. </w:t>
            <w:fldChar w:fldCharType="begin"/>
            <w:instrText xml:space="preserve"> PAGE </w:instrText>
            <w:fldChar w:fldCharType="separate"/>
            <w:r>
              <w:t>1</w:t>
            </w:r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rial" w:hAnsi="Arial" w:eastAsia="Arial" w:cs="Arial"/>
        <w:b/>
        <w:color w:val="5B6770"/>
        <w:sz w:val="17"/>
      </w:rPr>
      <w:t>SUR 810  |  Система управления развитием Российской Федерации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pPr>
        <w:tabs>
          <w:tab w:val="num" w:pos="720"/>
        </w:tabs>
        <w:ind w:left="720" w:hanging="360"/>
        <w:spacing w:after="160" w:line="280" w:lineRule="auto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  <w:spacing w:after="160" w:line="280" w:lineRule="auto"/>
      </w:pPr>
    </w:lvl>
  </w:abstractNum>
  <w:num w:numId="11">
    <w:abstractNumId w:val="10"/>
  </w:num>
  <w:num w:numId="12">
    <w:abstractNumId w:val="10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  <w:jc w:val="left"/>
    </w:pPr>
    <w:rPr>
      <w:rFonts w:ascii="Arial" w:hAnsi="Arial" w:eastAsia="Arial"/>
      <w:color w:val="1D273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0B2545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0B2545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120"/>
    </w:pPr>
    <w:rPr>
      <w:rFonts w:asciiTheme="majorHAnsi" w:eastAsiaTheme="majorEastAsia" w:hAnsiTheme="majorHAnsi" w:cstheme="majorBidi" w:ascii="Arial" w:hAnsi="Arial"/>
      <w:i/>
      <w:iCs/>
      <w:color w:val="5B6770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URSmall">
    <w:name w:val="SUR Small"/>
    <w:pPr>
      <w:spacing w:after="80" w:line="240" w:lineRule="auto"/>
    </w:pPr>
    <w:rPr>
      <w:rFonts w:ascii="Arial" w:hAnsi="Arial"/>
      <w:color w:val="5B6770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kremlin.ru/acts/constitution/item" TargetMode="External"/><Relationship Id="rId12" Type="http://schemas.openxmlformats.org/officeDocument/2006/relationships/hyperlink" Target="https://publication.pravo.gov.ru/Document/View/0001201406300016" TargetMode="External"/><Relationship Id="rId13" Type="http://schemas.openxmlformats.org/officeDocument/2006/relationships/hyperlink" Target="https://kremlin.ru/events/president/news/73986" TargetMode="External"/><Relationship Id="rId14" Type="http://schemas.openxmlformats.org/officeDocument/2006/relationships/hyperlink" Target="https://government.ru/docs/all/157308/" TargetMode="External"/><Relationship Id="rId15" Type="http://schemas.openxmlformats.org/officeDocument/2006/relationships/hyperlink" Target="https://www.kremlin.ru/acts/bank/50358" TargetMode="External"/><Relationship Id="rId16" Type="http://schemas.openxmlformats.org/officeDocument/2006/relationships/hyperlink" Target="https://www.special.kremlin.ru/events/president/news/66098" TargetMode="External"/><Relationship Id="rId17" Type="http://schemas.openxmlformats.org/officeDocument/2006/relationships/hyperlink" Target="https://publication.pravo.gov.ru/Document/View/0001202102220029" TargetMode="External"/><Relationship Id="rId18" Type="http://schemas.openxmlformats.org/officeDocument/2006/relationships/hyperlink" Target="https://publication.pravo.gov.ru/Document/View/0001201512020003" TargetMode="External"/><Relationship Id="rId19" Type="http://schemas.openxmlformats.org/officeDocument/2006/relationships/hyperlink" Target="https://publication.pravo.gov.ru/Document/View/0001202105180005" TargetMode="External"/><Relationship Id="rId20" Type="http://schemas.openxmlformats.org/officeDocument/2006/relationships/hyperlink" Target="https://www.cbr.ru/explan/acts_bko/" TargetMode="External"/><Relationship Id="rId21" Type="http://schemas.openxmlformats.org/officeDocument/2006/relationships/hyperlink" Target="https://www.cbr.ru/Queries/XsltBlock/File/144005/-1/2400-2401" TargetMode="External"/><Relationship Id="rId22" Type="http://schemas.openxmlformats.org/officeDocument/2006/relationships/hyperlink" Target="https://www.kremlin.ru/acts/bank/11299/print" TargetMode="External"/><Relationship Id="rId23" Type="http://schemas.openxmlformats.org/officeDocument/2006/relationships/hyperlink" Target="https://www.iso.org/iso-4217-currency-codes.html" TargetMode="External"/><Relationship Id="rId24" Type="http://schemas.openxmlformats.org/officeDocument/2006/relationships/hyperlink" Target="https://www.six-group.com/en/products-services/financial-information/market-reference-data/data-standards.html" TargetMode="External"/><Relationship Id="rId25" Type="http://schemas.openxmlformats.org/officeDocument/2006/relationships/hyperlink" Target="https://www.six-group.com/dam/download/financial-information/data-center/iso-currrency/lists/list-three.xml" TargetMode="External"/><Relationship Id="rId26" Type="http://schemas.openxmlformats.org/officeDocument/2006/relationships/hyperlink" Target="https://www.cbr.ru/finm_infrastructure/digital_oper/" TargetMode="External"/><Relationship Id="rId27" Type="http://schemas.openxmlformats.org/officeDocument/2006/relationships/hyperlink" Target="https://www.cbr.ru/PSystem/d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 810 - Система управления развитием Российской Федерации</dc:title>
  <dc:subject>Стратегическая концепция и денежно-расчётный контур 810</dc:subject>
  <dc:creator>Соколов Сергей Леонидович</dc:creator>
  <cp:keywords>SUR, СУР, 810, КРИСТАЛЛ 741, ЭКВИЛИБРИУМ, управление развитием</cp:keywords>
  <dc:description>Проект для межведомственного рассмотрения. Версия 1.0.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