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B2545"/>
          <w:sz w:val="72"/>
        </w:rPr>
        <w:t>СПЕЦЗАЩИТА</w:t>
      </w:r>
    </w:p>
    <w:p>
      <w:pPr>
        <w:jc w:val="center"/>
      </w:pPr>
      <w:r>
        <w:rPr>
          <w:b/>
          <w:color w:val="1565C0"/>
          <w:sz w:val="46"/>
        </w:rPr>
        <w:t>СУДОСТРОЕНИЕ • ОСК • ВТБ</w:t>
        <w:br/>
        <w:t>ИНМОРТРАНС • ОКЕАН 80</w:t>
      </w:r>
    </w:p>
    <w:p>
      <w:pPr>
        <w:spacing w:before="200"/>
        <w:jc w:val="center"/>
      </w:pPr>
      <w:r>
        <w:rPr>
          <w:color w:val="455A64"/>
          <w:sz w:val="26"/>
        </w:rPr>
        <w:t>Проект архитектуры промышленно‑финансового и научно‑технологического контура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20"/>
            <w:shd w:fill="EAF2FA"/>
            <w:tcMar>
              <w:top w:w="180" w:type="dxa"/>
              <w:start w:w="110" w:type="dxa"/>
              <w:bottom w:w="18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0B2545"/>
                <w:sz w:val="24"/>
              </w:rPr>
              <w:t>ОСК</w:t>
              <w:br/>
            </w:r>
            <w:r>
              <w:rPr>
                <w:color w:val="455A64"/>
                <w:sz w:val="17"/>
              </w:rPr>
              <w:t>Промышленное ядро</w:t>
            </w:r>
          </w:p>
        </w:tc>
        <w:tc>
          <w:tcPr>
            <w:tcW w:type="dxa" w:w="2520"/>
            <w:shd w:fill="EAF2FA"/>
            <w:tcMar>
              <w:top w:w="180" w:type="dxa"/>
              <w:start w:w="110" w:type="dxa"/>
              <w:bottom w:w="18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0B2545"/>
                <w:sz w:val="24"/>
              </w:rPr>
              <w:t>ВТБ</w:t>
              <w:br/>
            </w:r>
            <w:r>
              <w:rPr>
                <w:color w:val="455A64"/>
                <w:sz w:val="17"/>
              </w:rPr>
              <w:t>Финансово‑управленческий контур</w:t>
            </w:r>
          </w:p>
        </w:tc>
        <w:tc>
          <w:tcPr>
            <w:tcW w:type="dxa" w:w="2520"/>
            <w:shd w:fill="EAF2FA"/>
            <w:tcMar>
              <w:top w:w="180" w:type="dxa"/>
              <w:start w:w="110" w:type="dxa"/>
              <w:bottom w:w="18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0B2545"/>
                <w:sz w:val="24"/>
              </w:rPr>
              <w:t>Инмортранс</w:t>
              <w:br/>
            </w:r>
            <w:r>
              <w:rPr>
                <w:color w:val="455A64"/>
                <w:sz w:val="17"/>
              </w:rPr>
              <w:t>Инженерно‑научный контур</w:t>
            </w:r>
          </w:p>
        </w:tc>
        <w:tc>
          <w:tcPr>
            <w:tcW w:type="dxa" w:w="2520"/>
            <w:shd w:fill="EAF2FA"/>
            <w:tcMar>
              <w:top w:w="180" w:type="dxa"/>
              <w:start w:w="110" w:type="dxa"/>
              <w:bottom w:w="18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0B2545"/>
                <w:sz w:val="24"/>
              </w:rPr>
              <w:t>Океан 80</w:t>
              <w:br/>
            </w:r>
            <w:r>
              <w:rPr>
                <w:color w:val="455A64"/>
                <w:sz w:val="17"/>
              </w:rPr>
              <w:t>Пилотный/операционный контур</w:t>
            </w:r>
          </w:p>
        </w:tc>
      </w:tr>
    </w:tbl>
    <w:p>
      <w:pPr>
        <w:spacing w:before="360"/>
        <w:jc w:val="center"/>
      </w:pPr>
      <w:r>
        <w:rPr>
          <w:color w:val="78909C"/>
          <w:sz w:val="18"/>
        </w:rPr>
        <w:t>Рабочий стратегический документ • 30 августа 2026</w:t>
      </w:r>
    </w:p>
    <w:p>
      <w:r>
        <w:br w:type="page"/>
      </w:r>
    </w:p>
    <w:p>
      <w:pPr>
        <w:pStyle w:val="Heading1"/>
      </w:pPr>
      <w:r>
        <w:t>1. Замысел</w:t>
      </w:r>
    </w:p>
    <w:p>
      <w:pPr>
        <w:pBdr>
          <w:bottom w:val="single" w:sz="10" w:space="1" w:color="1565C0"/>
        </w:pBdr>
      </w:pPr>
      <w:r>
        <w:t>Предлагается сформировать вокруг СПЕЦЗАЩИТЫ единый судостроительный контур, который соединяет промышленное производство, финансовое оздоровление и инвестиции, научно‑инженерную экспертизу, новые материалы, цифровой жизненный цикл судна и пилотную эксплуатацию.</w:t>
      </w:r>
    </w:p>
    <w:p>
      <w:pPr>
        <w:pStyle w:val="Heading2"/>
      </w:pPr>
      <w:r>
        <w:t>Цель</w:t>
      </w:r>
    </w:p>
    <w:p>
      <w:r>
        <w:t>Перейти от разрозненных проектов к управляемому портфелю судов, технологий и производственных мощностей — от идеи и материала до серийного строительства, сервиса, ремонта, модернизации и утилизации.</w:t>
      </w:r>
    </w:p>
    <w:p>
      <w:pPr>
        <w:pStyle w:val="Heading2"/>
      </w:pPr>
      <w:r>
        <w:t>Роль СПЕЦЗАЩИТЫ</w:t>
      </w:r>
    </w:p>
    <w:p>
      <w:r>
        <w:t>Организатор кооперации: формирует консорциумы, паспорта проектов, реестр технологий и поставщиков, контуры валидации, пилоты и механизм масштабирования.</w:t>
      </w:r>
    </w:p>
    <w:p>
      <w:pPr>
        <w:pStyle w:val="Heading2"/>
      </w:pPr>
      <w:r>
        <w:t>Ключевой принцип</w:t>
      </w:r>
    </w:p>
    <w:p>
      <w:r>
        <w:t>Не подменять ОСК, ВТБ или профильные институты, а создать между ними проектный слой, в котором техническое решение, деньги, заказ, производственная мощность и эксплуатационная потребность видны в одном балансе.</w:t>
      </w:r>
    </w:p>
    <w:p>
      <w:pPr>
        <w:pStyle w:val="Heading1"/>
      </w:pPr>
      <w:r>
        <w:t>2. Исходная институциональная рамка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0B2545"/>
          </w:tcPr>
          <w:p>
            <w:r>
              <w:rPr>
                <w:b/>
                <w:color w:val="FFFFFF"/>
                <w:sz w:val="18"/>
              </w:rPr>
              <w:t>Участник</w:t>
            </w:r>
          </w:p>
        </w:tc>
        <w:tc>
          <w:tcPr>
            <w:tcW w:type="dxa" w:w="3408"/>
            <w:shd w:fill="0B2545"/>
          </w:tcPr>
          <w:p>
            <w:r>
              <w:rPr>
                <w:b/>
                <w:color w:val="FFFFFF"/>
                <w:sz w:val="18"/>
              </w:rPr>
              <w:t>Подтвержденная рамка</w:t>
            </w:r>
          </w:p>
        </w:tc>
        <w:tc>
          <w:tcPr>
            <w:tcW w:type="dxa" w:w="3408"/>
            <w:shd w:fill="0B2545"/>
          </w:tcPr>
          <w:p>
            <w:r>
              <w:rPr>
                <w:b/>
                <w:color w:val="FFFFFF"/>
                <w:sz w:val="18"/>
              </w:rPr>
              <w:t>Предлагаемая функция в контуре</w:t>
            </w:r>
          </w:p>
        </w:tc>
      </w:tr>
      <w:tr>
        <w:tc>
          <w:tcPr>
            <w:tcW w:type="dxa" w:w="340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ОСК</w:t>
            </w:r>
          </w:p>
        </w:tc>
        <w:tc>
          <w:tcPr>
            <w:tcW w:type="dxa" w:w="340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Крупнейший государственный судостроительный холдинг; предприятия строят гражданские и специальные суда, ведут судоремонт и развивают композитные технологии.</w:t>
            </w:r>
          </w:p>
        </w:tc>
        <w:tc>
          <w:tcPr>
            <w:tcW w:type="dxa" w:w="340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Промышленное ядро, верфи, КБ, серийность, стандартизация производственных платформ.</w:t>
            </w:r>
          </w:p>
        </w:tc>
      </w:tr>
      <w:tr>
        <w:tc>
          <w:tcPr>
            <w:tcW w:type="dxa" w:w="340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ВТБ</w:t>
            </w:r>
          </w:p>
        </w:tc>
        <w:tc>
          <w:tcPr>
            <w:tcW w:type="dxa" w:w="340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100% акций ОСК переданы Банку ВТБ в доверительное управление на 5 лет на основании Указа Президента РФ №753 от 09.10.2023 и распоряжения Правительства РФ №94‑р от 19.01.2024.</w:t>
            </w:r>
          </w:p>
        </w:tc>
        <w:tc>
          <w:tcPr>
            <w:tcW w:type="dxa" w:w="340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Финансовая модель, инвестиционный контроль, проектное финансирование, реструктуризация и KPI.</w:t>
            </w:r>
          </w:p>
        </w:tc>
      </w:tr>
      <w:tr>
        <w:tc>
          <w:tcPr>
            <w:tcW w:type="dxa" w:w="340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Инмортранс</w:t>
            </w:r>
          </w:p>
        </w:tc>
        <w:tc>
          <w:tcPr>
            <w:tcW w:type="dxa" w:w="340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В открытых источниках подтверждается ГНПП морского транспорта «Инмортранс» (Санкт‑Петербург) и его историческая связь с морским транспортом. Текущую организационную роль необходимо юридически и фактически верифицировать.</w:t>
            </w:r>
          </w:p>
        </w:tc>
        <w:tc>
          <w:tcPr>
            <w:tcW w:type="dxa" w:w="340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Инженерно‑научная экспертиза, нормативно‑техническая документация, испытания, моделирование транспортных систем — после верификации статуса и компетенций.</w:t>
            </w:r>
          </w:p>
        </w:tc>
      </w:tr>
      <w:tr>
        <w:tc>
          <w:tcPr>
            <w:tcW w:type="dxa" w:w="340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Океан 80</w:t>
            </w:r>
          </w:p>
        </w:tc>
        <w:tc>
          <w:tcPr>
            <w:tcW w:type="dxa" w:w="340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Название требует фиксации конкретного юридического лица/проекта. В документе используется как рабочее наименование участника, указанного инициатором.</w:t>
            </w:r>
          </w:p>
        </w:tc>
        <w:tc>
          <w:tcPr>
            <w:tcW w:type="dxa" w:w="3408"/>
            <w:vAlign w:val="top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Пилотная эксплуатация, операционный заказчик/проектный офис, флотские и морские сценарии — после подтверждения профиля.</w:t>
            </w:r>
          </w:p>
        </w:tc>
      </w:tr>
    </w:tbl>
    <w:p>
      <w:pPr>
        <w:pStyle w:val="Heading1"/>
      </w:pPr>
      <w:r>
        <w:t>3. Архитектура «СПЕЦЗАЩИТА — Судостроение»</w:t>
      </w:r>
    </w:p>
    <w:p>
      <w:pPr>
        <w:pStyle w:val="ListNumber"/>
      </w:pPr>
      <w:r>
        <w:rPr>
          <w:b/>
        </w:rPr>
        <w:t xml:space="preserve">1. Портфель заказов: </w:t>
      </w:r>
      <w:r>
        <w:t>Потребности государства, грузовладельцев, регионов, портов, Арктики, речного и морского флота; ранжирование по экономике и критичности.</w:t>
      </w:r>
    </w:p>
    <w:p>
      <w:pPr>
        <w:pStyle w:val="ListNumber"/>
      </w:pPr>
      <w:r>
        <w:rPr>
          <w:b/>
        </w:rPr>
        <w:t xml:space="preserve">2. Продуктовые платформы: </w:t>
      </w:r>
      <w:r>
        <w:t>Унификация корпусов, энергетики, движителей, электроники, судовых систем и цифровых компонентов; серийность вместо единичных решений.</w:t>
      </w:r>
    </w:p>
    <w:p>
      <w:pPr>
        <w:pStyle w:val="ListNumber"/>
      </w:pPr>
      <w:r>
        <w:rPr>
          <w:b/>
        </w:rPr>
        <w:t xml:space="preserve">3. Материаловедение: </w:t>
      </w:r>
      <w:r>
        <w:t>Судовые стали и сплавы, алюминиевые и титановые системы, композиты, техническая керамика, синтетические кристаллы, сверхчистые материалы, защитные покрытия.</w:t>
      </w:r>
    </w:p>
    <w:p>
      <w:pPr>
        <w:pStyle w:val="ListNumber"/>
      </w:pPr>
      <w:r>
        <w:rPr>
          <w:b/>
        </w:rPr>
        <w:t xml:space="preserve">4. Верфи и производственные цепочки: </w:t>
      </w:r>
      <w:r>
        <w:t>Мощности ОСК и партнеров, загрузка цехов, узкие места, роботизация, модульно‑агрегатная сборка, отечественное станочное и сварочное оборудование.</w:t>
      </w:r>
    </w:p>
    <w:p>
      <w:pPr>
        <w:pStyle w:val="ListNumber"/>
      </w:pPr>
      <w:r>
        <w:rPr>
          <w:b/>
        </w:rPr>
        <w:t xml:space="preserve">5. Финансовый контур: </w:t>
      </w:r>
      <w:r>
        <w:t>CAPEX/OPEX, стоимость жизненного цикла, лизинг, проектное финансирование, гарантии, факторинг, оффтейк и портфельное управление рисками.</w:t>
      </w:r>
    </w:p>
    <w:p>
      <w:pPr>
        <w:pStyle w:val="ListNumber"/>
      </w:pPr>
      <w:r>
        <w:rPr>
          <w:b/>
        </w:rPr>
        <w:t xml:space="preserve">6. Цифровой двойник: </w:t>
      </w:r>
      <w:r>
        <w:t>Цифровой паспорт судна, прослеживаемость материалов и компонентов, конфигурационное управление, техническое обслуживание по состоянию.</w:t>
      </w:r>
    </w:p>
    <w:p>
      <w:pPr>
        <w:pStyle w:val="ListNumber"/>
      </w:pPr>
      <w:r>
        <w:rPr>
          <w:b/>
        </w:rPr>
        <w:t xml:space="preserve">7. Испытания и валидация: </w:t>
      </w:r>
      <w:r>
        <w:t>Классификационные требования, ресурсные испытания, климатические и коррозионные режимы, метрология, сертификация, доказательная база.</w:t>
      </w:r>
    </w:p>
    <w:p>
      <w:pPr>
        <w:pStyle w:val="ListNumber"/>
      </w:pPr>
      <w:r>
        <w:rPr>
          <w:b/>
        </w:rPr>
        <w:t xml:space="preserve">8. Эксплуатация и сервис: </w:t>
      </w:r>
      <w:r>
        <w:t>Сервисные центры, запасные части, ремонт, модернизация, обучение экипажей, обратная связь в конструкторский и производственный контур.</w:t>
      </w:r>
    </w:p>
    <w:p>
      <w:pPr>
        <w:pStyle w:val="Heading1"/>
      </w:pPr>
      <w:r>
        <w:t>4. Материаловедение как сквозной технологический модуль</w:t>
      </w:r>
    </w:p>
    <w:p>
      <w:r>
        <w:t>Материаловедение следует выделить в самостоятельный центр компетенций внутри судостроительного контура. Это связывает ранее проработанные направления СПЕЦЗАЩИТЫ — сверхкритическую металлургию/СКФЭ, керамику и синтетические кристаллы — с конкретными задачами флота.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shd w:fill="1565C0"/>
          </w:tcPr>
          <w:p>
            <w:r>
              <w:rPr>
                <w:b/>
                <w:color w:val="FFFFFF"/>
                <w:sz w:val="17"/>
              </w:rPr>
              <w:t>Класс материалов</w:t>
            </w:r>
          </w:p>
        </w:tc>
        <w:tc>
          <w:tcPr>
            <w:tcW w:type="dxa" w:w="2556"/>
            <w:shd w:fill="1565C0"/>
          </w:tcPr>
          <w:p>
            <w:r>
              <w:rPr>
                <w:b/>
                <w:color w:val="FFFFFF"/>
                <w:sz w:val="17"/>
              </w:rPr>
              <w:t>Применение</w:t>
            </w:r>
          </w:p>
        </w:tc>
        <w:tc>
          <w:tcPr>
            <w:tcW w:type="dxa" w:w="2556"/>
            <w:shd w:fill="1565C0"/>
          </w:tcPr>
          <w:p>
            <w:r>
              <w:rPr>
                <w:b/>
                <w:color w:val="FFFFFF"/>
                <w:sz w:val="17"/>
              </w:rPr>
              <w:t>Эффект</w:t>
            </w:r>
          </w:p>
        </w:tc>
        <w:tc>
          <w:tcPr>
            <w:tcW w:type="dxa" w:w="2556"/>
            <w:shd w:fill="1565C0"/>
          </w:tcPr>
          <w:p>
            <w:r>
              <w:rPr>
                <w:b/>
                <w:color w:val="FFFFFF"/>
                <w:sz w:val="17"/>
              </w:rPr>
              <w:t>Пилот</w:t>
            </w:r>
          </w:p>
        </w:tc>
      </w:tr>
      <w:tr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Коррозионностойкие стали и сплавы</w:t>
            </w:r>
          </w:p>
        </w:tc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Корпуса, трубопроводы, арматура, теплообменники</w:t>
            </w:r>
          </w:p>
        </w:tc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Ресурс, ремонтопригодность, снижение коррозионных потерь</w:t>
            </w:r>
          </w:p>
        </w:tc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Сравнительные купоны + цифровой паспорт коррозии</w:t>
            </w:r>
          </w:p>
        </w:tc>
      </w:tr>
      <w:tr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Композиты</w:t>
            </w:r>
          </w:p>
        </w:tc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Надстройки, корпуса малых судов, мачты, обтекатели</w:t>
            </w:r>
          </w:p>
        </w:tc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Снижение массы, коррозионная стойкость, радиопрозрачность</w:t>
            </w:r>
          </w:p>
        </w:tc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Связка с компетенциями Средне‑Невского ССЗ</w:t>
            </w:r>
          </w:p>
        </w:tc>
      </w:tr>
      <w:tr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Техническая керамика</w:t>
            </w:r>
          </w:p>
        </w:tc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Подшипники, уплотнения, изоляторы, теплозащита, сенсорные элементы</w:t>
            </w:r>
          </w:p>
        </w:tc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Износостойкость, химстойкость, высокие температуры</w:t>
            </w:r>
          </w:p>
        </w:tc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Стенд судовых узлов трения и герметизации</w:t>
            </w:r>
          </w:p>
        </w:tc>
      </w:tr>
      <w:tr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Синтетические кристаллы</w:t>
            </w:r>
          </w:p>
        </w:tc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Оптика, лазеры, датчики, гироскопия, электроника, силовые приборы</w:t>
            </w:r>
          </w:p>
        </w:tc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Стабильность, чистота, высокотемпературная и радиационная стойкость</w:t>
            </w:r>
          </w:p>
        </w:tc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Leucosapphire/YAG/GaN‑контур для морской электроники</w:t>
            </w:r>
          </w:p>
        </w:tc>
      </w:tr>
      <w:tr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Сверхчистые материалы / СКФЭ</w:t>
            </w:r>
          </w:p>
        </w:tc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Электроника, покрытия, катализ, специальные сплавы</w:t>
            </w:r>
          </w:p>
        </w:tc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Локализация критических материалов и управляемая чистота</w:t>
            </w:r>
          </w:p>
        </w:tc>
        <w:tc>
          <w:tcPr>
            <w:tcW w:type="dxa" w:w="2556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rPr>
                <w:sz w:val="15"/>
              </w:rPr>
              <w:t>Пилот получения/очистки целевой фракции для судовой компонентной базы</w:t>
            </w:r>
          </w:p>
        </w:tc>
      </w:tr>
    </w:tbl>
    <w:p>
      <w:pPr>
        <w:pStyle w:val="Heading1"/>
      </w:pPr>
      <w:r>
        <w:t>5. Девять приоритетных программ</w:t>
      </w:r>
    </w:p>
    <w:p>
      <w:r>
        <w:rPr>
          <w:b/>
          <w:color w:val="0B2545"/>
        </w:rPr>
        <w:t>1. Платформа «Река–море»</w:t>
      </w:r>
      <w:r>
        <w:t xml:space="preserve"> — Серийные сухогрузы, танкеры, буксиры и служебный флот на унифицированной базе.</w:t>
      </w:r>
    </w:p>
    <w:p>
      <w:r>
        <w:rPr>
          <w:b/>
          <w:color w:val="0B2545"/>
        </w:rPr>
        <w:t>2. Арктический контур</w:t>
      </w:r>
      <w:r>
        <w:t xml:space="preserve"> — Ледовые классы, снабжение, спасение, гидрография, автономные комплексы и ресурсные материалы.</w:t>
      </w:r>
    </w:p>
    <w:p>
      <w:r>
        <w:rPr>
          <w:b/>
          <w:color w:val="0B2545"/>
        </w:rPr>
        <w:t>3. Пассажирский и скоростной флот</w:t>
      </w:r>
      <w:r>
        <w:t xml:space="preserve"> — Катамараны, электросуда, гибридные энергетические установки, региональная мобильность.</w:t>
      </w:r>
    </w:p>
    <w:p>
      <w:r>
        <w:rPr>
          <w:b/>
          <w:color w:val="0B2545"/>
        </w:rPr>
        <w:t>4. Портовый и технический флот</w:t>
      </w:r>
      <w:r>
        <w:t xml:space="preserve"> — Дноуглубление, аварийно‑спасательные, пожарные, экологические и буксирные суда.</w:t>
      </w:r>
    </w:p>
    <w:p>
      <w:r>
        <w:rPr>
          <w:b/>
          <w:color w:val="0B2545"/>
        </w:rPr>
        <w:t>5. Подводная робототехника</w:t>
      </w:r>
      <w:r>
        <w:t xml:space="preserve"> — AUV/ROV, инспекция трубопроводов и корпусов, поиск, мониторинг биоценозов и инфраструктуры.</w:t>
      </w:r>
    </w:p>
    <w:p>
      <w:r>
        <w:rPr>
          <w:b/>
          <w:color w:val="0B2545"/>
        </w:rPr>
        <w:t>6. Судовое машиностроение</w:t>
      </w:r>
      <w:r>
        <w:t xml:space="preserve"> — Двигатели, редукторы, движители, насосы, компрессоры, арматура и энергетика.</w:t>
      </w:r>
    </w:p>
    <w:p>
      <w:r>
        <w:rPr>
          <w:b/>
          <w:color w:val="0B2545"/>
        </w:rPr>
        <w:t>7. Морская электроника</w:t>
      </w:r>
      <w:r>
        <w:t xml:space="preserve"> — Навигация, связь, датчики, автоматизация, киберзащита, силовая электроника.</w:t>
      </w:r>
    </w:p>
    <w:p>
      <w:r>
        <w:rPr>
          <w:b/>
          <w:color w:val="0B2545"/>
        </w:rPr>
        <w:t>8. Сервис 40+ лет</w:t>
      </w:r>
      <w:r>
        <w:t xml:space="preserve"> — Ремонтные циклы, предиктивное обслуживание, обратное проектирование и модернизация флота.</w:t>
      </w:r>
    </w:p>
    <w:p>
      <w:r>
        <w:rPr>
          <w:b/>
          <w:color w:val="0B2545"/>
        </w:rPr>
        <w:t>9. Зеленая верфь и циркулярность</w:t>
      </w:r>
      <w:r>
        <w:t xml:space="preserve"> — Учет материалов, отходов, выбросов, рекуперация металлов и утилизация судов.</w:t>
      </w:r>
    </w:p>
    <w:p>
      <w:pPr>
        <w:pStyle w:val="Heading1"/>
      </w:pPr>
      <w:r>
        <w:t>6. Модель управления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shd w:fill="0B2545"/>
          </w:tcPr>
          <w:p>
            <w:r>
              <w:rPr>
                <w:b/>
                <w:color w:val="FFFFFF"/>
                <w:sz w:val="15"/>
              </w:rPr>
              <w:t>Уровень</w:t>
            </w:r>
          </w:p>
        </w:tc>
        <w:tc>
          <w:tcPr>
            <w:tcW w:type="dxa" w:w="2045"/>
            <w:shd w:fill="0B2545"/>
          </w:tcPr>
          <w:p>
            <w:r>
              <w:rPr>
                <w:b/>
                <w:color w:val="FFFFFF"/>
                <w:sz w:val="15"/>
              </w:rPr>
              <w:t>СПЕЦЗАЩИТА</w:t>
            </w:r>
          </w:p>
        </w:tc>
        <w:tc>
          <w:tcPr>
            <w:tcW w:type="dxa" w:w="2045"/>
            <w:shd w:fill="0B2545"/>
          </w:tcPr>
          <w:p>
            <w:r>
              <w:rPr>
                <w:b/>
                <w:color w:val="FFFFFF"/>
                <w:sz w:val="15"/>
              </w:rPr>
              <w:t>ОСК</w:t>
            </w:r>
          </w:p>
        </w:tc>
        <w:tc>
          <w:tcPr>
            <w:tcW w:type="dxa" w:w="2045"/>
            <w:shd w:fill="0B2545"/>
          </w:tcPr>
          <w:p>
            <w:r>
              <w:rPr>
                <w:b/>
                <w:color w:val="FFFFFF"/>
                <w:sz w:val="15"/>
              </w:rPr>
              <w:t>ВТБ</w:t>
            </w:r>
          </w:p>
        </w:tc>
        <w:tc>
          <w:tcPr>
            <w:tcW w:type="dxa" w:w="2045"/>
            <w:shd w:fill="0B2545"/>
          </w:tcPr>
          <w:p>
            <w:r>
              <w:rPr>
                <w:b/>
                <w:color w:val="FFFFFF"/>
                <w:sz w:val="15"/>
              </w:rPr>
              <w:t>Инмортранс / Океан 80</w:t>
            </w:r>
          </w:p>
        </w:tc>
      </w:tr>
      <w:tr>
        <w:tc>
          <w:tcPr>
            <w:tcW w:type="dxa" w:w="2045"/>
          </w:tcPr>
          <w:p>
            <w:r>
              <w:rPr>
                <w:sz w:val="14"/>
              </w:rPr>
              <w:t>Стратегия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Портфель и кооперация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Промышленная политика группы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Финансовая дисциплина и инвестиции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Экспертиза / эксплуатационный запрос</w:t>
            </w:r>
          </w:p>
        </w:tc>
      </w:tr>
      <w:tr>
        <w:tc>
          <w:tcPr>
            <w:tcW w:type="dxa" w:w="2045"/>
          </w:tcPr>
          <w:p>
            <w:r>
              <w:rPr>
                <w:sz w:val="14"/>
              </w:rPr>
              <w:t>Проект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Паспорт, график, риски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КБ + верфь + комплектация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Финмодель и контроль этапов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ТЗ, испытания, обратная связь</w:t>
            </w:r>
          </w:p>
        </w:tc>
      </w:tr>
      <w:tr>
        <w:tc>
          <w:tcPr>
            <w:tcW w:type="dxa" w:w="2045"/>
          </w:tcPr>
          <w:p>
            <w:r>
              <w:rPr>
                <w:sz w:val="14"/>
              </w:rPr>
              <w:t>Данные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Единый реестр и баланс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Производственные данные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Финансовые показатели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Научные и эксплуатационные данные</w:t>
            </w:r>
          </w:p>
        </w:tc>
      </w:tr>
      <w:tr>
        <w:tc>
          <w:tcPr>
            <w:tcW w:type="dxa" w:w="2045"/>
          </w:tcPr>
          <w:p>
            <w:r>
              <w:rPr>
                <w:sz w:val="14"/>
              </w:rPr>
              <w:t>Результат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Масштабирование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Серийное изделие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Окупаемость/устойчивость</w:t>
            </w:r>
          </w:p>
        </w:tc>
        <w:tc>
          <w:tcPr>
            <w:tcW w:type="dxa" w:w="2045"/>
          </w:tcPr>
          <w:p>
            <w:r>
              <w:rPr>
                <w:sz w:val="14"/>
              </w:rPr>
              <w:t>Подтвержденная эффективность</w:t>
            </w:r>
          </w:p>
        </w:tc>
      </w:tr>
    </w:tbl>
    <w:p>
      <w:pPr>
        <w:pStyle w:val="Heading1"/>
      </w:pPr>
      <w:r>
        <w:t>7. Система балансов и KPI</w:t>
      </w:r>
    </w:p>
    <w:p>
      <w:pPr>
        <w:pStyle w:val="ListBullet"/>
      </w:pPr>
      <w:r>
        <w:rPr>
          <w:b/>
        </w:rPr>
        <w:t xml:space="preserve">Портфель заказов: </w:t>
      </w:r>
      <w:r>
        <w:t>руб., количество судов, покрытие производственных мощностей</w:t>
      </w:r>
    </w:p>
    <w:p>
      <w:pPr>
        <w:pStyle w:val="ListBullet"/>
      </w:pPr>
      <w:r>
        <w:rPr>
          <w:b/>
        </w:rPr>
        <w:t xml:space="preserve">Срок строительства: </w:t>
      </w:r>
      <w:r>
        <w:t>месяцы от контракта до сдачи, отклонение от графика</w:t>
      </w:r>
    </w:p>
    <w:p>
      <w:pPr>
        <w:pStyle w:val="ListBullet"/>
      </w:pPr>
      <w:r>
        <w:rPr>
          <w:b/>
        </w:rPr>
        <w:t xml:space="preserve">Себестоимость: </w:t>
      </w:r>
      <w:r>
        <w:t>руб./судно, доля повторяющихся решений, трудоемкость</w:t>
      </w:r>
    </w:p>
    <w:p>
      <w:pPr>
        <w:pStyle w:val="ListBullet"/>
      </w:pPr>
      <w:r>
        <w:rPr>
          <w:b/>
        </w:rPr>
        <w:t xml:space="preserve">Локализация: </w:t>
      </w:r>
      <w:r>
        <w:t>доля отечественных критических компонентов и материалов</w:t>
      </w:r>
    </w:p>
    <w:p>
      <w:pPr>
        <w:pStyle w:val="ListBullet"/>
      </w:pPr>
      <w:r>
        <w:rPr>
          <w:b/>
        </w:rPr>
        <w:t xml:space="preserve">Производительность: </w:t>
      </w:r>
      <w:r>
        <w:t>нормо‑часы/тонна, выпуск на ключевой цех/стапель</w:t>
      </w:r>
    </w:p>
    <w:p>
      <w:pPr>
        <w:pStyle w:val="ListBullet"/>
      </w:pPr>
      <w:r>
        <w:rPr>
          <w:b/>
        </w:rPr>
        <w:t xml:space="preserve">Качество: </w:t>
      </w:r>
      <w:r>
        <w:t>дефекты, переделки, гарантийные случаи</w:t>
      </w:r>
    </w:p>
    <w:p>
      <w:pPr>
        <w:pStyle w:val="ListBullet"/>
      </w:pPr>
      <w:r>
        <w:rPr>
          <w:b/>
        </w:rPr>
        <w:t xml:space="preserve">Жизненный цикл: </w:t>
      </w:r>
      <w:r>
        <w:t>стоимость владения, доступность судна, время ремонта</w:t>
      </w:r>
    </w:p>
    <w:p>
      <w:pPr>
        <w:pStyle w:val="ListBullet"/>
      </w:pPr>
      <w:r>
        <w:rPr>
          <w:b/>
        </w:rPr>
        <w:t xml:space="preserve">Материалы: </w:t>
      </w:r>
      <w:r>
        <w:t>ресурс, коррозия, износ, масса, доля материалов с цифровым паспортом</w:t>
      </w:r>
    </w:p>
    <w:p>
      <w:pPr>
        <w:pStyle w:val="ListBullet"/>
      </w:pPr>
      <w:r>
        <w:rPr>
          <w:b/>
        </w:rPr>
        <w:t xml:space="preserve">Энергетика: </w:t>
      </w:r>
      <w:r>
        <w:t>удельный расход топлива/энергии, эффективность силовой установки</w:t>
      </w:r>
    </w:p>
    <w:p>
      <w:pPr>
        <w:pStyle w:val="ListBullet"/>
      </w:pPr>
      <w:r>
        <w:rPr>
          <w:b/>
        </w:rPr>
        <w:t xml:space="preserve">Финансы: </w:t>
      </w:r>
      <w:r>
        <w:t>NPV/IRR, DSCR, оборотный капитал, просрочка, стоимость финансирования</w:t>
      </w:r>
    </w:p>
    <w:p>
      <w:pPr>
        <w:pStyle w:val="ListBullet"/>
      </w:pPr>
      <w:r>
        <w:rPr>
          <w:b/>
        </w:rPr>
        <w:t xml:space="preserve">Кадры: </w:t>
      </w:r>
      <w:r>
        <w:t>дефицит компетенций, производительность, подготовка специалистов</w:t>
      </w:r>
    </w:p>
    <w:p>
      <w:pPr>
        <w:pStyle w:val="ListBullet"/>
      </w:pPr>
      <w:r>
        <w:rPr>
          <w:b/>
        </w:rPr>
        <w:t xml:space="preserve">Экология: </w:t>
      </w:r>
      <w:r>
        <w:t>отходы, выбросы, утечки, переработка и повторное использование материалов</w:t>
      </w:r>
    </w:p>
    <w:p>
      <w:pPr>
        <w:pStyle w:val="Heading1"/>
      </w:pPr>
      <w:r>
        <w:t>8. Дорожная карта 0–36 месяцев</w:t>
      </w:r>
    </w:p>
    <w:p>
      <w:r>
        <w:rPr>
          <w:b/>
          <w:color w:val="1565C0"/>
        </w:rPr>
        <w:t>0–90 дней</w:t>
      </w:r>
      <w:r>
        <w:t xml:space="preserve"> — Верификация участников и полномочий; реестр текущих проектов; выбор 3 пилотов; инвентаризация материаловедения и критической компонентной базы; соглашение о проектном офисе.</w:t>
      </w:r>
    </w:p>
    <w:p>
      <w:r>
        <w:rPr>
          <w:b/>
          <w:color w:val="1565C0"/>
        </w:rPr>
        <w:t>3–6 месяцев</w:t>
      </w:r>
      <w:r>
        <w:t xml:space="preserve"> — Технический и финансовый аудит пилотов; единые паспорта проектов; цифровая модель мощностей; лабораторно‑стендовые испытания новых материалов и покрытий.</w:t>
      </w:r>
    </w:p>
    <w:p>
      <w:r>
        <w:rPr>
          <w:b/>
          <w:color w:val="1565C0"/>
        </w:rPr>
        <w:t>6–12 месяцев</w:t>
      </w:r>
      <w:r>
        <w:t xml:space="preserve"> — Контрактация первой очереди; запуск цифрового паспорта судна; промышленный пилот по материалам; формирование сервисного и лизингового контура.</w:t>
      </w:r>
    </w:p>
    <w:p>
      <w:r>
        <w:rPr>
          <w:b/>
          <w:color w:val="1565C0"/>
        </w:rPr>
        <w:t>12–24 месяца</w:t>
      </w:r>
      <w:r>
        <w:t xml:space="preserve"> — Серийная унификация; запуск центра компетенций судового материаловедения; масштабирование на 2–3 верфи и цепочки поставщиков.</w:t>
      </w:r>
    </w:p>
    <w:p>
      <w:r>
        <w:rPr>
          <w:b/>
          <w:color w:val="1565C0"/>
        </w:rPr>
        <w:t>24–36 месяцев</w:t>
      </w:r>
      <w:r>
        <w:t xml:space="preserve"> — Портфельная модель на уровне отрасли; экспорт/межрегиональные проекты; интеграция данных жизненного цикла; второй цикл технологической модернизации.</w:t>
      </w:r>
    </w:p>
    <w:p>
      <w:pPr>
        <w:pStyle w:val="Heading1"/>
      </w:pPr>
      <w:r>
        <w:t>9. Три пилота для запуска</w:t>
      </w:r>
    </w:p>
    <w:p>
      <w:pPr>
        <w:pStyle w:val="Heading2"/>
      </w:pPr>
      <w:r>
        <w:t>Пилот А. Серийное гражданское судно</w:t>
      </w:r>
    </w:p>
    <w:p>
      <w:pPr>
        <w:pStyle w:val="ListBullet"/>
      </w:pPr>
      <w:r>
        <w:t>выбрать востребованный класс «река–море» или технического флота;</w:t>
      </w:r>
    </w:p>
    <w:p>
      <w:pPr>
        <w:pStyle w:val="ListBullet"/>
      </w:pPr>
      <w:r>
        <w:t>унифицировать 60–70% систем и компонентов;</w:t>
      </w:r>
    </w:p>
    <w:p>
      <w:pPr>
        <w:pStyle w:val="ListBullet"/>
      </w:pPr>
      <w:r>
        <w:t>считать экономику не только строительства, но и 20–30-летнего жизненного цикла;</w:t>
      </w:r>
    </w:p>
    <w:p>
      <w:pPr>
        <w:pStyle w:val="Heading2"/>
      </w:pPr>
      <w:r>
        <w:t>Пилот B. Материалы и покрытия</w:t>
      </w:r>
    </w:p>
    <w:p>
      <w:pPr>
        <w:pStyle w:val="ListBullet"/>
      </w:pPr>
      <w:r>
        <w:t>выбрать 3–5 узлов с высокой стоимостью отказа/ремонта;</w:t>
      </w:r>
    </w:p>
    <w:p>
      <w:pPr>
        <w:pStyle w:val="ListBullet"/>
      </w:pPr>
      <w:r>
        <w:t>сравнить традиционные и новые материалы в одинаковых режимах;</w:t>
      </w:r>
    </w:p>
    <w:p>
      <w:pPr>
        <w:pStyle w:val="ListBullet"/>
      </w:pPr>
      <w:r>
        <w:t>зафиксировать ресурс, стоимость, ремонтопригодность и локализацию;</w:t>
      </w:r>
    </w:p>
    <w:p>
      <w:pPr>
        <w:pStyle w:val="Heading2"/>
      </w:pPr>
      <w:r>
        <w:t>Пилот C. Цифровой сервис флота</w:t>
      </w:r>
    </w:p>
    <w:p>
      <w:pPr>
        <w:pStyle w:val="ListBullet"/>
      </w:pPr>
      <w:r>
        <w:t>цифровой паспорт корпуса, механизмов и критических деталей;</w:t>
      </w:r>
    </w:p>
    <w:p>
      <w:pPr>
        <w:pStyle w:val="ListBullet"/>
      </w:pPr>
      <w:r>
        <w:t>мониторинг состояния + прогноз ремонта;</w:t>
      </w:r>
    </w:p>
    <w:p>
      <w:pPr>
        <w:pStyle w:val="ListBullet"/>
      </w:pPr>
      <w:r>
        <w:t>замыкание данных эксплуатации обратно в КБ и на верфь.</w:t>
      </w:r>
    </w:p>
    <w:p>
      <w:pPr>
        <w:pStyle w:val="Heading1"/>
      </w:pPr>
      <w:r>
        <w:t>10. Решение, которое предлагается принять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2FA"/>
            <w:tcMar>
              <w:top w:w="220" w:type="dxa"/>
              <w:start w:w="220" w:type="dxa"/>
              <w:bottom w:w="220" w:type="dxa"/>
              <w:end w:w="220" w:type="dxa"/>
            </w:tcMar>
          </w:tcPr>
          <w:p>
            <w:r>
              <w:rPr>
                <w:b/>
                <w:color w:val="0B2545"/>
                <w:sz w:val="28"/>
              </w:rPr>
              <w:t>Создать межорганизационный проектный офис «СПЕЦЗАЩИТА — Судостроение»</w:t>
            </w:r>
          </w:p>
          <w:p>
            <w:pPr>
              <w:pStyle w:val="ListBullet"/>
            </w:pPr>
            <w:r>
              <w:t>утвердить матрицу ролей ОСК — ВТБ — СПЕЦЗАЩИТА — научно‑инженерный — эксплуатационный контур;</w:t>
            </w:r>
          </w:p>
          <w:p>
            <w:pPr>
              <w:pStyle w:val="ListBullet"/>
            </w:pPr>
            <w:r>
              <w:t>в течение 90 дней подготовить портфель из 3 пилотов с ТЭО, KPI, картой рисков и планом локализации;</w:t>
            </w:r>
          </w:p>
          <w:p>
            <w:pPr>
              <w:pStyle w:val="ListBullet"/>
            </w:pPr>
            <w:r>
              <w:t>отдельным решением создать Центр судового материаловедения и валидации;</w:t>
            </w:r>
          </w:p>
          <w:p>
            <w:pPr>
              <w:pStyle w:val="ListBullet"/>
            </w:pPr>
            <w:r>
              <w:t>после юридической верификации определить форматы участия Инмортранса и «Океан 80».</w:t>
            </w:r>
          </w:p>
        </w:tc>
      </w:tr>
    </w:tbl>
    <w:p>
      <w:pPr>
        <w:pStyle w:val="Heading1"/>
      </w:pPr>
      <w:r>
        <w:t>Источники и оговорки</w:t>
      </w:r>
    </w:p>
    <w:p>
      <w:r>
        <w:t>Внешние факты в документе приведены по открытым источникам. Рабочие роли СПЕЦЗАЩИТЫ, Инмортранса и «Океан 80» являются проектным предложением, а не утверждением о существующих договоренностях. Перед официальным использованием необходимо провести юридическую и организационную верификацию участников.</w:t>
      </w:r>
    </w:p>
    <w:p>
      <w:r>
        <w:rPr>
          <w:b/>
        </w:rPr>
        <w:t xml:space="preserve">Указ Президента РФ №753 от 09.10.2023 / передача 100% акций ОСК в доверительное управление ВТБ на 5 лет — </w:t>
      </w:r>
      <w:r>
        <w:t>https://rg.ru/2023/10/09/putin-utverdil-peredachu-100-osk-v-doveritelnoe-upravlenie-vtb.html</w:t>
      </w:r>
    </w:p>
    <w:p>
      <w:r>
        <w:rPr>
          <w:b/>
        </w:rPr>
        <w:t xml:space="preserve">Распоряжение Правительства РФ №94-р от 19.01.2024 — условия доверительного управления — </w:t>
      </w:r>
      <w:r>
        <w:t>https://portnews.ru/upload/basefiles/3186_0001202401230020.pdf</w:t>
      </w:r>
    </w:p>
    <w:p>
      <w:r>
        <w:rPr>
          <w:b/>
        </w:rPr>
        <w:t xml:space="preserve">Правительство РФ — создание Национального исследовательского центра судостроения, распоряжение №777-р от 08.04.2026 — </w:t>
      </w:r>
      <w:r>
        <w:t>https://government.ru/department/54/</w:t>
      </w:r>
    </w:p>
    <w:p>
      <w:r>
        <w:rPr>
          <w:b/>
        </w:rPr>
        <w:t xml:space="preserve">Средне-Невский ССЗ — композитное судостроение и проекты 2026 — </w:t>
      </w:r>
      <w:r>
        <w:t>https://snsz.ru/</w:t>
      </w:r>
    </w:p>
    <w:p>
      <w:r>
        <w:rPr>
          <w:b/>
        </w:rPr>
        <w:t xml:space="preserve">ГНПП МТ «Инмортранс» — открытые судебные/реестровые сведения, требующие дополнительной верификации — </w:t>
      </w:r>
      <w:r>
        <w:t>https://sudact.ru/arbitral/doc/zVEjeiv80aJO/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6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Bdr>
        <w:bottom w:val="single" w:sz="6" w:space="1" w:color="D7E3F0"/>
      </w:pBdr>
    </w:pPr>
    <w:r>
      <w:rPr>
        <w:color w:val="607D8B"/>
        <w:sz w:val="16"/>
      </w:rPr>
      <w:t>СПЕЦЗАЩИТА • СУДОСТРОИТЕЛЬНЫЙ КОНТУР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54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1565C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0B254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B2545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