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160"/>
        <w:jc w:val="center"/>
      </w:pPr>
      <w:r>
        <w:rPr>
          <w:rFonts w:ascii="Aptos" w:hAnsi="Aptos"/>
          <w:b/>
          <w:i w:val="0"/>
          <w:color w:val="B18A3B"/>
          <w:sz w:val="20"/>
        </w:rPr>
        <w:t>НОРМАТИВНО-КОНЦЕПТУАЛЬНЫЙ ПРОЕКТ</w:t>
      </w:r>
    </w:p>
    <w:p>
      <w:pPr>
        <w:pStyle w:val="Title"/>
        <w:jc w:val="center"/>
      </w:pPr>
      <w:r>
        <w:t>Стандарт развития</w:t>
        <w:br/>
        <w:t>Человека СРЧ 1.0</w:t>
      </w:r>
    </w:p>
    <w:p>
      <w:pPr>
        <w:pStyle w:val="Subtitle"/>
        <w:jc w:val="center"/>
      </w:pPr>
      <w:r>
        <w:t>19 стандартов • 260 показателей • единая система оценки условий, возможностей и результатов развития</w:t>
      </w:r>
    </w:p>
    <w:p>
      <w:pPr>
        <w:spacing w:before="600"/>
        <w:jc w:val="center"/>
      </w:pPr>
      <w:r>
        <w:rPr>
          <w:rFonts w:ascii="Aptos" w:hAnsi="Aptos"/>
          <w:b w:val="0"/>
          <w:i/>
          <w:color w:val="1E6075"/>
          <w:sz w:val="26"/>
        </w:rPr>
        <w:t>Человек — субъект развития.</w:t>
        <w:br/>
        <w:t>Стандартизируется качество среды и поддержки, а не личность.</w:t>
      </w:r>
    </w:p>
    <w:p>
      <w:pPr>
        <w:spacing w:before="2400"/>
        <w:jc w:val="center"/>
      </w:pPr>
      <w:r>
        <w:rPr>
          <w:rFonts w:ascii="Aptos" w:hAnsi="Aptos"/>
          <w:b w:val="0"/>
          <w:i w:val="0"/>
          <w:color w:val="6B7C87"/>
          <w:sz w:val="20"/>
        </w:rPr>
        <w:t>Редакция 1.0  |  18 августа 2026 года</w:t>
      </w:r>
    </w:p>
    <w:p>
      <w:r>
        <w:br w:type="page"/>
      </w:r>
    </w:p>
    <w:p>
      <w:pPr>
        <w:pStyle w:val="Heading1"/>
      </w:pPr>
      <w:r>
        <w:t>Паспорт документа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324A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Параметр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324A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222222"/>
                <w:sz w:val="18"/>
              </w:rPr>
              <w:t>Наименование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Стандарт развития Человека СРЧ 1.0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222222"/>
                <w:sz w:val="18"/>
              </w:rPr>
              <w:t>Статус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Проект для межведомственного, научного, делового и общественного обсуждения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222222"/>
                <w:sz w:val="18"/>
              </w:rPr>
              <w:t>Предмет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Условия, возможности и подтверждённые результаты развития Человека на протяжении жизни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222222"/>
                <w:sz w:val="18"/>
              </w:rPr>
              <w:t>Архитектура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19 стандартов; 260 показателей; индивидуальный, территориальный, организационный и программный уровни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222222"/>
                <w:sz w:val="18"/>
              </w:rPr>
              <w:t>Ключевой принцип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Не допускается ранжирование человеческого достоинства. Оценке подлежат доступность возможностей, качество среды и динамика благополучия.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222222"/>
                <w:sz w:val="18"/>
              </w:rPr>
              <w:t>Применение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Стратегическое планирование, социальные программы, оценка воздействия, ECO-PPA, СФЕРА и ЭКВИЛИБРИУМ</w:t>
            </w:r>
          </w:p>
        </w:tc>
      </w:tr>
    </w:tbl>
    <w:p>
      <w:pPr>
        <w:pStyle w:val="Heading1"/>
      </w:pPr>
      <w:r>
        <w:t>1. Назначение и область применения</w:t>
      </w:r>
    </w:p>
    <w:p>
      <w:r>
        <w:t>СРЧ 1.0 задаёт общий язык для проектирования и оценки государственной политики, корпоративных программ, общественных инициатив и территориального развития. Его задача — показать, получает ли конкретный Человек реальные возможности жить достойно, быть здоровым, учиться, трудиться, создавать, участвовать в принятии решений и передавать результаты следующим поколениям.</w:t>
      </w:r>
    </w:p>
    <w:p>
      <w:pPr>
        <w:pStyle w:val="Heading2"/>
      </w:pPr>
      <w:r>
        <w:t>Основные положения</w:t>
      </w:r>
    </w:p>
    <w:p>
      <w:pPr>
        <w:pStyle w:val="ListBullet"/>
      </w:pPr>
      <w:r>
        <w:t>Человек является субъектом развития и соавтором решений, затрагивающих его жизнь.</w:t>
      </w:r>
    </w:p>
    <w:p>
      <w:pPr>
        <w:pStyle w:val="ListBullet"/>
      </w:pPr>
      <w:r>
        <w:t>Достоинство и базовые права не зависят от баллов, рейтингов, дохода, состояния здоровья или социальной роли.</w:t>
      </w:r>
    </w:p>
    <w:p>
      <w:pPr>
        <w:pStyle w:val="ListBullet"/>
      </w:pPr>
      <w:r>
        <w:t>Интегральная оценка не может компенсировать критический провал в безопасности, правах, здоровье или доступе к базовым условиям жизни.</w:t>
      </w:r>
    </w:p>
    <w:p>
      <w:pPr>
        <w:pStyle w:val="ListBullet"/>
      </w:pPr>
      <w:r>
        <w:t>Персональные данные применяются только законно, прозрачно, соразмерно цели и с возможностью человеческого пересмотра решения.</w:t>
      </w:r>
    </w:p>
    <w:p>
      <w:pPr>
        <w:pStyle w:val="ListBullet"/>
      </w:pPr>
      <w:r>
        <w:t>Показатели используются для улучшения среды и адресной поддержки, но не для дискриминации, наказания или ограничения прав.</w:t>
      </w:r>
    </w:p>
    <w:p>
      <w:pPr>
        <w:pStyle w:val="Heading1"/>
      </w:pPr>
      <w:r>
        <w:t>2. Модель оценки</w:t>
      </w:r>
    </w:p>
    <w:p>
      <w:r>
        <w:t>Каждый показатель нормируется по шкале 0–100. Для статистических показателей применяются утверждённые пороговые значения; для опросных — валидированные шкалы; для административных — проверяемые события и сроки. Значение стандарта рассчитывается как взвешенное среднее его показателей при обязательном контроле критических минимумов.</w:t>
      </w:r>
    </w:p>
    <w:p>
      <w:pPr>
        <w:jc w:val="center"/>
      </w:pPr>
      <w:r>
        <w:rPr>
          <w:rFonts w:ascii="Aptos" w:hAnsi="Aptos"/>
          <w:b/>
          <w:i w:val="0"/>
          <w:color w:val="15324A"/>
          <w:sz w:val="22"/>
        </w:rPr>
        <w:t>ИРЧ 2.0 = Σ (вес стандарта × значение стандарта),  при условии соблюдения критических минимумов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2400"/>
        <w:gridCol w:w="5860"/>
      </w:tblGrid>
      <w:tr>
        <w:trPr>
          <w:tblHeader w:val="true"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1E6075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Баллы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1E6075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Уровень</w:t>
            </w:r>
          </w:p>
        </w:tc>
        <w:tc>
          <w:tcPr>
            <w:tcW w:type="dxa" w:w="5860"/>
            <w:tcMar>
              <w:top w:w="80" w:type="dxa"/>
              <w:start w:w="120" w:type="dxa"/>
              <w:bottom w:w="80" w:type="dxa"/>
              <w:end w:w="120" w:type="dxa"/>
            </w:tcMar>
            <w:shd w:fill="1E6075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Интерпретация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0–39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Критическая зона</w:t>
            </w:r>
          </w:p>
        </w:tc>
        <w:tc>
          <w:tcPr>
            <w:tcW w:type="dxa" w:w="58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Требуется неотложное устранение барьеров и рисков.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40–59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Базовая обеспеченность</w:t>
            </w:r>
          </w:p>
        </w:tc>
        <w:tc>
          <w:tcPr>
            <w:tcW w:type="dxa" w:w="58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Минимальные условия существуют, но остаются существенные ограничения.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60–74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Устойчивое развитие</w:t>
            </w:r>
          </w:p>
        </w:tc>
        <w:tc>
          <w:tcPr>
            <w:tcW w:type="dxa" w:w="58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Основные возможности доступны и дают подтверждённый результат.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75–89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Высокий уровень</w:t>
            </w:r>
          </w:p>
        </w:tc>
        <w:tc>
          <w:tcPr>
            <w:tcW w:type="dxa" w:w="58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Среда поддерживает самостоятельность и созидательную реализацию.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90–100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Эталонная практика</w:t>
            </w:r>
          </w:p>
        </w:tc>
        <w:tc>
          <w:tcPr>
            <w:tcW w:type="dxa" w:w="58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8"/>
              </w:rPr>
              <w:t>Результат устойчив, инклюзивен, воспроизводим и подтверждён независимой оценкой.</w:t>
            </w:r>
          </w:p>
        </w:tc>
      </w:tr>
    </w:tbl>
    <w:p>
      <w:pPr>
        <w:pStyle w:val="Heading1"/>
      </w:pPr>
      <w:r>
        <w:t>3. Архитектура 19 стандартов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2800"/>
        <w:gridCol w:w="5360"/>
      </w:tblGrid>
      <w:tr>
        <w:trPr>
          <w:tblHeader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shd w:fill="15324A"/>
          </w:tcPr>
          <w:p>
            <w:r>
              <w:rPr>
                <w:rFonts w:ascii="Aptos" w:hAnsi="Aptos"/>
                <w:b/>
                <w:i w:val="0"/>
                <w:color w:val="FFFFFF"/>
                <w:sz w:val="17"/>
              </w:rPr>
              <w:t>Код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shd w:fill="15324A"/>
          </w:tcPr>
          <w:p>
            <w:r>
              <w:rPr>
                <w:rFonts w:ascii="Aptos" w:hAnsi="Aptos"/>
                <w:b/>
                <w:i w:val="0"/>
                <w:color w:val="FFFFFF"/>
                <w:sz w:val="17"/>
              </w:rPr>
              <w:t>Стандарт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  <w:shd w:fill="15324A"/>
          </w:tcPr>
          <w:p>
            <w:r>
              <w:rPr>
                <w:rFonts w:ascii="Aptos" w:hAnsi="Aptos"/>
                <w:b/>
                <w:i w:val="0"/>
                <w:color w:val="FFFFFF"/>
                <w:sz w:val="17"/>
              </w:rPr>
              <w:t>Назначение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СРЧ-01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Достоинство и права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защиту достоинства, прав, свобод и субъектности Человека.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СРЧ-02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Физическое здоровье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сохранение здоровья, профилактику, лечение и восстановление.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СРЧ-03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Психологическое благополучие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психическую устойчивость, поддержку и качество внутренней жизни.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СРЧ-04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Безопасность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защищённость от физических, социальных, техногенных и цифровых угроз.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СРЧ-05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Здоровая среда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доступ к экологически благоприятным условиям жизни.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СРЧ-06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Семья и детство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благополучие семьи, родительства и полноценное развитие ребёнка.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СРЧ-07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Образование в течение жизни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непрерывное освоение знаний, мышления и компетенций.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СРЧ-08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Культура и мировоззрение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культурную идентичность, этическую зрелость и открытость многообразию.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СРЧ-09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Труд и профессиональная реализация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достойный труд, мастерство и профессиональную самореализацию.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СРЧ-10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Экономическая самостоятельность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устойчивый доход, финансовую грамотность и управление ресурсами.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СРЧ-11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Жильё и жизненное пространство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доступное, безопасное и развивающее пространство проживания.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СРЧ-12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Цифровая субъектность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права, безопасность, доступ и самостоятельность Человека в цифровой среде.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СРЧ-13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Творчество и инновации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способность создавать, исследовать и внедрять общественно полезные решения.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СРЧ-14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Социальные связи и солидарность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принадлежность, доверие, взаимопомощь и участие в сообществах.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СРЧ-15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Гражданское участие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осознанное участие в общественной жизни и принятии решений.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СРЧ-16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Экологическая ответственность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ответственное природопользование и восстановление экосистем.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СРЧ-17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Управление временем и жизненной траекторией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баланс ролей, времени, целей и переходов между этапами жизни.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СРЧ-18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Смысл и служение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осмысленность жизни, ценностную определённость и вклад в общее благо.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СРЧ-19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Наследие и преемственность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ptos" w:hAnsi="Aptos"/>
                <w:b w:val="0"/>
                <w:i w:val="0"/>
                <w:color w:val="222222"/>
                <w:sz w:val="17"/>
              </w:rPr>
              <w:t>Обеспечивает передачу знаний, культуры, опыта и результатов следующим поколениям.</w:t>
            </w:r>
          </w:p>
        </w:tc>
      </w:tr>
    </w:tbl>
    <w:p>
      <w:r>
        <w:br w:type="page"/>
      </w:r>
    </w:p>
    <w:p>
      <w:pPr>
        <w:pStyle w:val="Heading1"/>
      </w:pPr>
      <w:r>
        <w:t>4. Реестр 260 показателей</w:t>
      </w:r>
    </w:p>
    <w:p>
      <w:r>
        <w:t>Реестр содержит ровно 260 показателей. Для стандартов СРЧ-01–СРЧ-13 установлено по 14 показателей, для СРЧ-14–СРЧ-19 — по 13 показателей: 13 × 14 + 6 × 13 = 260.</w:t>
      </w:r>
    </w:p>
    <w:p>
      <w:pPr>
        <w:pStyle w:val="Heading2"/>
      </w:pPr>
      <w:r>
        <w:t>СРЧ-01. Достоинство и права</w:t>
      </w:r>
    </w:p>
    <w:p>
      <w:r>
        <w:t>Цель стандарта — обеспечить защиту достоинства, прав, свобод и субъектности Человека.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Знание своих прав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«знание своих прав»,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правовой помощи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правовой помощи»,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Защита от дискриминации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«защита от дискриминации»,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Свобода выражения мнения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«свобода выражения мнения»,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Неприкосновенность частной жизни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«неприкосновенность частной жизни»,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Документированная правосубъектность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«документированная правосубъектность»,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правосудию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правосудию»,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Процессуальная справедливость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«процессуальная справедливость»,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Свобода объединений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«свобода объединений»,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Свобода совести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«свобода совести»,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Защита персональных данных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«защита персональных данных»,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Участие в решениях о себе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«участие в решениях о себе»,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Доступность среды и услуг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«доступность среды и услуг»,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01.14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Восстановление нарушенных прав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«восстановление нарушенных прав»,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СРЧ-02. Физическое здоровье</w:t>
      </w:r>
    </w:p>
    <w:p>
      <w:r>
        <w:t>Цель стандарта — обеспечить сохранение здоровья, профилактику, лечение и восстановление.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Ожидаемая продолжительность здоровой жизни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«ожидаемая продолжительность здоровой жизни»,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Доступность первичной помощи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«доступность первичной помощи»,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Охват профилактическими осмотрами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«охват профилактическими осмотрами»,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Своевременность диагностики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«своевременность диагностики»,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Контроль хронических заболеваний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«контроль хронических заболеваний»,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Физическая активность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«физическая активность»,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Качество питания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«качество питания»,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Качество сна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«качество сна»,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Репродуктивное здоровье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«репродуктивное здоровье»,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Стоматологическое здоровье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«стоматологическое здоровье»,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лекарствам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лекарствам»,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Реабилитация после травм и болезней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«реабилитация после травм и болезней»,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Самооценка физического здоровья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«самооценка физического здоровья»,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02.14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Предотвратимая смертность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«предотвратимая смертность»,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СРЧ-03. Психологическое благополучие</w:t>
      </w:r>
    </w:p>
    <w:p>
      <w:r>
        <w:t>Цель стандарта — обеспечить психическую устойчивость, поддержку и качество внутренней жизни.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Эмоциональная устойчивость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«эмоциональная устойчивость»,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30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Удовлетворённость жизнью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«удовлетворённость жизнью»,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31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психологической помощи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психологической помощи»,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32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Своевременность кризисной поддержки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«своевременность кризисной поддержки»,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33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Уровень хронического стресса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«уровень хронического стресса»,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34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Навыки саморегуляции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«навыки саморегуляции»,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35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Профилактика зависимостей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«профилактика зависимостей»,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36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Защита от насилия и травматизации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«защита от насилия и травматизации»,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37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Социально-эмоциональные навыки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«социально-эмоциональные навыки»,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38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Чувство личной эффективности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«чувство личной эффективности»,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39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Баланс нагрузки и восстановления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«баланс нагрузки и восстановления»,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40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Психологическая безопасность среды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«психологическая безопасность среды»,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41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Отсутствие дискриминационной стигмы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«отсутствие дискриминационной стигмы»,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42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03.14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Восстановление после кризиса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«восстановление после кризиса»,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СРЧ-04. Безопасность</w:t>
      </w:r>
    </w:p>
    <w:p>
      <w:r>
        <w:t>Цель стандарта — обеспечить защищённость от физических, социальных, техногенных и цифровых угроз.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43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Личная физическая безопасность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«личная физическая безопасность»,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44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Безопасность дома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«безопасность дома»,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45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Безопасность общественных пространств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«безопасность общественных пространств»,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46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Безопасность труда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«безопасность труда»,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47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Дорожная безопасность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«дорожная безопасность»,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48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Пожарная безопасность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«пожарная безопасность»,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49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Готовность к чрезвычайным ситуациям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«готовность к чрезвычайным ситуациям»,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50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Информационная безопасность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«информационная безопасность»,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51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Защита от мошенничества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«защита от мошенничества»,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52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Защита от домашнего насилия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«защита от домашнего насилия»,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53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Безопасность детей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«безопасность детей»,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54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Доступность экстренной помощи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«доступность экстренной помощи»,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55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Доверие к службам защиты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«доверие к службам защиты»,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56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04.14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Восстановление после происшествий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«восстановление после происшествий»,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СРЧ-05. Здоровая среда</w:t>
      </w:r>
    </w:p>
    <w:p>
      <w:r>
        <w:t>Цель стандарта — обеспечить доступ к экологически благоприятным условиям жизни.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57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Качество питьевой воды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«качество питьевой воды»,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58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Качество атмосферного воздуха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«качество атмосферного воздуха»,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59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Безопасность пищевых продуктов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«безопасность пищевых продуктов»,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60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Санитарное состояние территории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«санитарное состояние территории»,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61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Уровень шума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«уровень шума»,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62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зелёным зонам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зелёным зонам»,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63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Безопасность почвы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«безопасность почвы»,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64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Управление отходами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«управление отходами»,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65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Климатический комфорт жилья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«климатический комфорт жилья»,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66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Экологическая безопасность производства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«экологическая безопасность производства»,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67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экологической информации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экологической информации»,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68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Защита от климатических рисков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«защита от климатических рисков»,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69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Биоразнообразие среды проживания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«биоразнообразие среды проживания»,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70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05.14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Участие жителей в улучшении среды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«участие жителей в улучшении среды»,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СРЧ-06. Семья и детство</w:t>
      </w:r>
    </w:p>
    <w:p>
      <w:r>
        <w:t>Цель стандарта — обеспечить благополучие семьи, родительства и полноценное развитие ребёнка.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71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Материальная устойчивость семьи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«материальная устойчивость семьи»,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72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Доступность дошкольного развития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«доступность дошкольного развития»,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73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Здоровье матери и ребёнка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«здоровье матери и ребёнка»,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74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Ответственное родительство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«ответственное родительство»,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75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Безопасность ребёнка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«безопасность ребёнка»,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76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Качество семейных отношений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«качество семейных отношений»,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77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Совместное время семьи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«совместное время семьи»,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78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Поддержка семей в кризисе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«поддержка семей в кризисе»,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79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Доступность ухода за детьми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«доступность ухода за детьми»,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80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Инклюзия детей с особыми потребностями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«инклюзия детей с особыми потребностями»,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81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Участие ребёнка в решениях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«участие ребёнка в решениях»,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82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Защита от семейного насилия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«защита от семейного насилия»,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83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Подготовка к самостоятельной жизни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«подготовка к самостоятельной жизни»,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84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06.14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Межпоколенческие связи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«межпоколенческие связи»,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СРЧ-07. Образование в течение жизни</w:t>
      </w:r>
    </w:p>
    <w:p>
      <w:r>
        <w:t>Цель стандарта — обеспечить непрерывное освоение знаний, мышления и компетенций.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85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Функциональная грамотность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«функциональная грамотность»,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86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Математическая грамотность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«математическая грамотность»,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87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Естественно-научная грамотность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«естественно-научная грамотность»,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88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Цифровая грамотность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«цифровая грамотность»,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89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Критическое мышление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«критическое мышление»,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90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Навыки коммуникации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«навыки коммуникации»,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91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Доступность образования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«доступность образования»,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92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Индивидуальная образовательная траектория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«индивидуальная образовательная траектория»,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93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Признание неформального обучения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«признание неформального обучения»,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94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Профессиональная переподготовка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«профессиональная переподготовка»,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95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Гражданская грамотность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«гражданская грамотность»,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96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Финансовая грамотность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«финансовая грамотность»,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97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Экологическая грамотность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«экологическая грамотность»,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98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07.14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Способность учиться самостоятельно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«способность учиться самостоятельно»,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СРЧ-08. Культура и мировоззрение</w:t>
      </w:r>
    </w:p>
    <w:p>
      <w:r>
        <w:t>Цель стандарта — обеспечить культурную идентичность, этическую зрелость и открытость многообразию.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99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Знание родной культуры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«знание родной культуры»,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культурным благам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культурным благам»,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Участие в культурной жизни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«участие в культурной жизни»,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Межкультурный диалог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«межкультурный диалог»,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Этическая грамотность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«этическая грамотность»,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Свобода мировоззрения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«свобода мировоззрения»,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Медиаграмотность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«медиаграмотность»,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Историческая грамотность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«историческая грамотность»,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Сохранение родного языка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«сохранение родного языка»,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Творческое самовыражение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«творческое самовыражение»,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Уважение культурного многообразия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«уважение культурного многообразия»,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Культура общения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«культура общения»,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Критическое осмысление информации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«критическое осмысление информации»,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08.14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Связь культуры и повседневной жизни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«связь культуры и повседневной жизни»,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СРЧ-09. Труд и профессиональная реализация</w:t>
      </w:r>
    </w:p>
    <w:p>
      <w:r>
        <w:t>Цель стандарта — обеспечить достойный труд, мастерство и профессиональную самореализацию.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достойному труду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достойному труду»,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Безопасность рабочего места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«безопасность рабочего места»,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Справедливая оплата труда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«справедливая оплата труда»,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Стабильность занятости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«стабильность занятости»,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Соответствие труда квалификации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«соответствие труда квалификации»,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Профессиональное развитие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«профессиональное развитие»,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Автономия в работе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«автономия в работе»,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Баланс труда и жизни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«баланс труда и жизни»,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Защита трудовых прав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«защита трудовых прав»,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Участие работников в управлении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«участие работников в управлении»,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Признание профессионального вклада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«признание профессионального вклада»,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Предпринимательская инициатива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«предпринимательская инициатива»,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Производительность труда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«производительность труда»,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09.14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Общественная полезность труда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«общественная полезность труда»,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СРЧ-10. Экономическая самостоятельность</w:t>
      </w:r>
    </w:p>
    <w:p>
      <w:r>
        <w:t>Цель стандарта — обеспечить устойчивый доход, финансовую грамотность и управление ресурсами.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Достаточность располагаемого дохода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«достаточность располагаемого дохода»,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Стабильность доходов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«стабильность доходов»,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Наличие финансового резерва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«наличие финансового резерва»,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Управляемость долговой нагрузки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«управляемость долговой нагрузки»,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базовым финансовым услугам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базовым финансовым услугам»,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Защита от финансового мошенничества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«защита от финансового мошенничества»,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Навыки личного бюджетирования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«навыки личного бюджетирования»,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Долгосрочные накопления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«долгосрочные накопления»,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инвестициям развития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инвестициям развития»,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Страховая защищённость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«страховая защищённость»,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Экономическая устойчивость домохозяйства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«экономическая устойчивость домохозяйства»,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Диверсификация источников дохода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«диверсификация источников дохода»,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Владение производительными активами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«владение производительными активами»,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10.14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Способность преодолеть финансовый шок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«способность преодолеть финансовый шок»,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СРЧ-11. Жильё и жизненное пространство</w:t>
      </w:r>
    </w:p>
    <w:p>
      <w:r>
        <w:t>Цель стандарта — обеспечить доступное, безопасное и развивающее пространство проживания.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Доступность жилья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«доступность жилья»,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Правовая защищённость проживания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«правовая защищённость проживания»,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Физическая безопасность жилья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«физическая безопасность жилья»,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Обеспеченность коммунальными услугами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«обеспеченность коммунальными услугами»,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Энергоэффективность жилья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«энергоэффективность жилья»,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Доступность транспорта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«доступность транспорта»,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Безбарьерность пространства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«безбарьерность пространства»,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Достаточность личного пространства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«достаточность личного пространства»,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социальной инфраструктуре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социальной инфраструктуре»,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Качество дворовой среды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«качество дворовой среды»,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Связность территории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«связность территории»,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Устойчивость расходов на жильё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«устойчивость расходов на жильё»,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Возможность улучшения жилищных условий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«возможность улучшения жилищных условий»,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11.14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Участие жителей в управлении домом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«участие жителей в управлении домом»,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СРЧ-12. Цифровая субъектность</w:t>
      </w:r>
    </w:p>
    <w:p>
      <w:r>
        <w:t>Цель стандарта — обеспечить права, безопасность, доступ и самостоятельность Человека в цифровой среде.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интернету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интернету»,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Доступность цифровых устройств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«доступность цифровых устройств»,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Базовая цифровая грамотность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«базовая цифровая грамотность»,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Управление цифровой идентичностью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«управление цифровой идентичностью»,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Контроль персональных данных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«контроль персональных данных»,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Кибергигиена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«кибергигиена»,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Защита от цифрового насилия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«защита от цифрового насилия»,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Понимание алгоритмических решений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«понимание алгоритмических решений»,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Навыки работы с искусственным интеллектом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«навыки работы с искусственным интеллектом»,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Доступность цифровых госуслуг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«доступность цифровых госуслуг»,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Цифровая инклюзия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«цифровая инклюзия»,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Право на человеческое рассмотрение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«право на человеческое рассмотрение»,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Управление экранным временем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«управление экранным временем»,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12.14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Создание цифрового контента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«создание цифрового контента»,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СРЧ-13. Творчество и инновации</w:t>
      </w:r>
    </w:p>
    <w:p>
      <w:r>
        <w:t>Цель стандарта — обеспечить способность создавать, исследовать и внедрять общественно полезные решения.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Творческая активность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«творческая активность»,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Исследовательские навыки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«исследовательские навыки»,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лабораториям и мастерским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лабораториям и мастерским»,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финансированию инициатив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финансированию инициатив»,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Защита интеллектуальных прав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«защита интеллектуальных прав»,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Командное создание решений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«командное создание решений»,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Экспериментирование и прототипирование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«экспериментирование и прототипирование»,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Внедрение результатов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«внедрение результатов»,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Социальная полезность инноваций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«социальная полезность инноваций»,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Экологичность инноваций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«экологичность инноваций»,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Предпринимательская реализация идей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«предпринимательская реализация идей»,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Открытый обмен знаниями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«открытый обмен знаниями»,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Признание авторского вклада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«признание авторского вклада»,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13.14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Масштабирование успешных решений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«масштабирование успешных решений»,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СРЧ-14. Социальные связи и солидарность</w:t>
      </w:r>
    </w:p>
    <w:p>
      <w:r>
        <w:t>Цель стандарта — обеспечить принадлежность, доверие, взаимопомощь и участие в сообществах.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Наличие близких связей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«наличие близких связей»,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Доверие в ближайшем окружении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«доверие в ближайшем окружении»,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Взаимопомощь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«взаимопомощь»,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Включённость в сообщества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«включённость в сообщества»,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Защита от социальной изоляции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«защита от социальной изоляции»,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Качество коммуникации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«качество коммуникации»,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Добровольческая активность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«добровольческая активность»,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Межпоколенческое взаимодействие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«межпоколенческое взаимодействие»,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Соседское сотрудничество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«соседское сотрудничество»,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Инклюзия уязвимых групп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«инклюзия уязвимых групп»,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Разрешение конфликтов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«разрешение конфликтов»,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Социальное доверие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«социальное доверие»,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14.13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общественным пространствам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общественным пространствам»,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СРЧ-15. Гражданское участие</w:t>
      </w:r>
    </w:p>
    <w:p>
      <w:r>
        <w:t>Цель стандарта — обеспечить осознанное участие в общественной жизни и принятии решений.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Знание гражданских прав и обязанностей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«знание гражданских прав и обязанностей»,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Участие в выборах и голосованиях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«участие в выборах и голосованиях»,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Участие в общественных обсуждениях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«участие в общественных обсуждениях»,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Доступ к публичной информации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«доступ к публичной информации»,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200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Обращения и инициативы граждан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«обращения и инициативы граждан»,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201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Общественный контроль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«общественный контроль»,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202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Участие в местном самоуправлении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«участие в местном самоуправлении»,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203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Членство в общественных объединениях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«членство в общественных объединениях»,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204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Опыт совместного решения проблем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«опыт совместного решения проблем»,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205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Доверие к процедурам участия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«доверие к процедурам участия»,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206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Получение обратной связи от органов власти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«получение обратной связи от органов власти»,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207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Компетентность общественного диалога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«компетентность общественного диалога»,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208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15.13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Влияние участия на решения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«влияние участия на решения»,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СРЧ-16. Экологическая ответственность</w:t>
      </w:r>
    </w:p>
    <w:p>
      <w:r>
        <w:t>Цель стандарта — обеспечить ответственное природопользование и восстановление экосистем.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209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Раздельный сбор отходов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«раздельный сбор отходов»,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210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Сокращение образования отходов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«сокращение образования отходов»,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211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Энергоэффективное поведение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«энергоэффективное поведение»,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212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Водосбережение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«водосбережение»,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213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Ответственное потребление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«ответственное потребление»,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214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Использование экологичного транспорта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«использование экологичного транспорта»,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215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Участие в восстановлении природы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«участие в восстановлении природы»,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216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Сохранение биоразнообразия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«сохранение биоразнообразия»,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217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Экологичность питания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«экологичность питания»,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218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Учёт личного экологического следа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«учёт личного экологического следа»,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219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Поддержка экологических инициатив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«поддержка экологических инициатив»,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220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Соблюдение природоохранных норм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«соблюдение природоохранных норм»,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221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16.13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Передача экологических практик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«передача экологических практик»,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СРЧ-17. Управление временем и жизненной траекторией</w:t>
      </w:r>
    </w:p>
    <w:p>
      <w:r>
        <w:t>Цель стандарта — обеспечить баланс ролей, времени, целей и переходов между этапами жизни.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222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Осознанность жизненных целей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«осознанность жизненных целей»,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223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Планирование времени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«планирование времени»,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224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Баланс труда и отдыха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«баланс труда и отдыха»,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225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Баланс семейных и общественных ролей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«баланс семейных и общественных ролей»,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226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Время на здоровье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«время на здоровье»,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227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Время на обучение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«время на обучение»,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228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Время на творчество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«время на творчество»,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229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Качество отдыха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«качество отдыха»,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230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Управление перегрузкой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«управление перегрузкой»,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231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Готовность к жизненным переходам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«готовность к жизненным переходам»,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232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Актуализация индивидуальной траектории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«актуализация индивидуальной траектории»,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233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Достижение личных целей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«достижение личных целей»,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234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17.13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Субъективный контроль над временем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«субъективный контроль над временем»,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СРЧ-18. Смысл и служение</w:t>
      </w:r>
    </w:p>
    <w:p>
      <w:r>
        <w:t>Цель стандарта — обеспечить осмысленность жизни, ценностную определённость и вклад в общее благо.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235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Осмысленность жизни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«осмысленность жизни»,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236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Ценностная определённость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«ценностная определённость»,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237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Соответствие поступков ценностям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«соответствие поступков ценностям»,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238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Чувство предназначения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«чувство предназначения»,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239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Вклад в благополучие других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«вклад в благополучие других»,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240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Регулярность общественно полезной деятельности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«регулярность общественно полезной деятельности»,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241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Ответственность за последствия решений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«ответственность за последствия решений»,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242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Способность к нравственному выбору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«способность к нравственному выбору»,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243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Благодарность и признание вклада других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«благодарность и признание вклада других»,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244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Согласование личного и общего блага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«согласование личного и общего блага»,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245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Устойчивость смысла в кризисе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«устойчивость смысла в кризисе»,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246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Опыт наставничества и служения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«опыт наставничества и служения»,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247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18.13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Оценка общественного воздействия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«оценка общественного воздействия»,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2"/>
      </w:pPr>
      <w:r>
        <w:t>СРЧ-19. Наследие и преемственность</w:t>
      </w:r>
    </w:p>
    <w:p>
      <w:r>
        <w:t>Цель стандарта — обеспечить передачу знаний, культуры, опыта и результатов следующим поколениям.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00"/>
        <w:gridCol w:w="2750"/>
        <w:gridCol w:w="496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Код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Показатель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E6075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Правило измерения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248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19.01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Фиксация жизненного опыта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«фиксация жизненного опыта»,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249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19.02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Передача профессиональных знаний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«передача профессиональных знаний»,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250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19.03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Наставничество следующего поколения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«наставничество следующего поколения»,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251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19.04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Сохранение семейной истории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«сохранение семейной истории»,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252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19.05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Передача культурных традиций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«передача культурных традиций»,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253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19.06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Преемственность общественных инициатив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«преемственность общественных инициатив»,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254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19.07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Долговечность созданных результатов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«долговечность созданных результатов»,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255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19.08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Открытая доступность знаний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«открытая доступность знаний»,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256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19.09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Подготовка преемников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«подготовка преемников»,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257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19.10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Ответственное управление наследием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«ответственное управление наследием»,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258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19.11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Межпоколенческие проекты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«межпоколенческие проекты»,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259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19.12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Оценка долгосрочных последствий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1F5F7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«оценка долгосрочных последствий»,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260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19.13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/>
                <w:i w:val="0"/>
                <w:color w:val="222222"/>
                <w:sz w:val="15"/>
              </w:rPr>
              <w:t>Вклад в будущее территории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ptos" w:hAnsi="Aptos"/>
                <w:b w:val="0"/>
                <w:i w:val="0"/>
                <w:color w:val="222222"/>
                <w:sz w:val="15"/>
              </w:rPr>
              <w:t>Доля целевой группы, для которой подтверждён показатель «вклад в будущее территории», либо нормированное значение профильной статистики; шкала 0–100, с раздельным учётом доступности, качества и результата.</w:t>
            </w:r>
          </w:p>
        </w:tc>
      </w:tr>
    </w:tbl>
    <w:p>
      <w:pPr>
        <w:pStyle w:val="Heading1"/>
      </w:pPr>
      <w:r>
        <w:t>5. Порядок внедрения</w:t>
      </w:r>
    </w:p>
    <w:p>
      <w:pPr>
        <w:pStyle w:val="Heading3"/>
      </w:pPr>
      <w:r>
        <w:t>Шаг 1. Профилирование</w:t>
      </w:r>
    </w:p>
    <w:p>
      <w:r>
        <w:t>Определить уровень применения, целевые группы, источники данных, владельцев показателей и критические минимумы.</w:t>
      </w:r>
    </w:p>
    <w:p>
      <w:pPr>
        <w:pStyle w:val="Heading3"/>
      </w:pPr>
      <w:r>
        <w:t>Шаг 2. Базовая линия</w:t>
      </w:r>
    </w:p>
    <w:p>
      <w:r>
        <w:t>Собрать исходные данные, проверить полноту и сформировать карту дефицитов без публикации персональных рейтингов.</w:t>
      </w:r>
    </w:p>
    <w:p>
      <w:pPr>
        <w:pStyle w:val="Heading3"/>
      </w:pPr>
      <w:r>
        <w:t>Шаг 3. Целевые значения</w:t>
      </w:r>
    </w:p>
    <w:p>
      <w:r>
        <w:t>Утвердить значения на 1, 3 и 6 лет с учётом территории, возраста, жизненной ситуации и принципа недискриминации.</w:t>
      </w:r>
    </w:p>
    <w:p>
      <w:pPr>
        <w:pStyle w:val="Heading3"/>
      </w:pPr>
      <w:r>
        <w:t>Шаг 4. Программа действий</w:t>
      </w:r>
    </w:p>
    <w:p>
      <w:r>
        <w:t>Связать дефициты с проектами, бюджетами, ответственными организациями, ECO-PPA и общественными инициативами.</w:t>
      </w:r>
    </w:p>
    <w:p>
      <w:pPr>
        <w:pStyle w:val="Heading3"/>
      </w:pPr>
      <w:r>
        <w:t>Шаг 5. Верификация</w:t>
      </w:r>
    </w:p>
    <w:p>
      <w:r>
        <w:t>Подтвердить методики, источники, выборки и результаты независимой оценкой.</w:t>
      </w:r>
    </w:p>
    <w:p>
      <w:pPr>
        <w:pStyle w:val="Heading3"/>
      </w:pPr>
      <w:r>
        <w:t>Шаг 6. Публичная отчётность</w:t>
      </w:r>
    </w:p>
    <w:p>
      <w:r>
        <w:t>Публиковать агрегированные результаты, динамику, проблемные зоны и меры улучшения в понятной форме.</w:t>
      </w:r>
    </w:p>
    <w:p>
      <w:pPr>
        <w:pStyle w:val="Heading3"/>
      </w:pPr>
      <w:r>
        <w:t>Шаг 7. Пересмотр</w:t>
      </w:r>
    </w:p>
    <w:p>
      <w:r>
        <w:t>Не реже одного раза в три года обновлять показатели, веса и пороги на основе доказательств и общественного обсуждения.</w:t>
      </w:r>
    </w:p>
    <w:p>
      <w:pPr>
        <w:pStyle w:val="Heading1"/>
      </w:pPr>
      <w:r>
        <w:t>6. Управление данными и этические ограничения</w:t>
      </w:r>
    </w:p>
    <w:p>
      <w:pPr>
        <w:pStyle w:val="ListBullet"/>
      </w:pPr>
      <w:r>
        <w:t>Минимизация собираемых персональных данных и ограничение целей их использования.</w:t>
      </w:r>
    </w:p>
    <w:p>
      <w:pPr>
        <w:pStyle w:val="ListBullet"/>
      </w:pPr>
      <w:r>
        <w:t>Раздельное хранение идентифицирующих сведений и аналитических наборов.</w:t>
      </w:r>
    </w:p>
    <w:p>
      <w:pPr>
        <w:pStyle w:val="ListBullet"/>
      </w:pPr>
      <w:r>
        <w:t>Право Человека знать источник данных, исправить ошибку и обжаловать автоматизированное решение.</w:t>
      </w:r>
    </w:p>
    <w:p>
      <w:pPr>
        <w:pStyle w:val="ListBullet"/>
      </w:pPr>
      <w:r>
        <w:t>Запрет на продажу персонального профиля развития и применение скрытых поведенческих манипуляций.</w:t>
      </w:r>
    </w:p>
    <w:p>
      <w:pPr>
        <w:pStyle w:val="ListBullet"/>
      </w:pPr>
      <w:r>
        <w:t>Публикация только агрегированных данных при достаточном размере группы и контроле риска повторной идентификации.</w:t>
      </w:r>
    </w:p>
    <w:p>
      <w:pPr>
        <w:pStyle w:val="ListBullet"/>
      </w:pPr>
      <w:r>
        <w:t>Обязательная оценка последствий для прав Человека перед внедрением цифровой системы мониторинга.</w:t>
      </w:r>
    </w:p>
    <w:p>
      <w:pPr>
        <w:pStyle w:val="Heading1"/>
      </w:pPr>
      <w:r>
        <w:t>7. Связь с системой СФЕРА — ЭКВИЛИБРИУМ — ECO-PPA</w:t>
      </w:r>
    </w:p>
    <w:p>
      <w:r>
        <w:t>СРЧ 1.0 образует человекоцентричный нормативный контур системы: СФЕРА собирает инициативы и формирует пространство возможностей; ЭКВИЛИБРИУМ согласует интересы Человека, общества, государства, экономики и природы; ECO-PPA переводит цели в договорные программы, ресурсы и проверяемые обязательства; ПСОР оценивает смысловую и общественную ценность; ЕУТ обеспечивает связность реестров, доказательность и учёт воздействия.</w:t>
      </w:r>
    </w:p>
    <w:p>
      <w:pPr>
        <w:pStyle w:val="Heading1"/>
      </w:pPr>
      <w:r>
        <w:t>Заключительное положение</w:t>
      </w:r>
    </w:p>
    <w:p>
      <w:pPr>
        <w:spacing w:before="160" w:after="320"/>
        <w:jc w:val="center"/>
      </w:pPr>
      <w:r>
        <w:rPr>
          <w:rFonts w:ascii="Aptos" w:hAnsi="Aptos"/>
          <w:b/>
          <w:i w:val="0"/>
          <w:color w:val="15324A"/>
          <w:sz w:val="26"/>
        </w:rPr>
        <w:t>Развитие признаётся успешным, когда Человек становится здоровее, свободнее, компетентнее, самостоятельнее и ответственнее, получает больше возможностей созидать и приносить пользу, не нарушая достоинство других людей и равновесие природы.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78858C"/>
        <w:sz w:val="16"/>
      </w:rPr>
      <w:t>СРЧ 1.0  •  проект для общественного и экспертного обсуждения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i w:val="0"/>
        <w:color w:val="6B7C87"/>
        <w:sz w:val="16"/>
      </w:rPr>
      <w:t>ЭКВИЛИБРИУМ  |  СТАНДАРТЫ РАЗВИТИЯ ЧЕЛОВЕКА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22222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24A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E60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355C6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532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 Display" w:hAnsi="Aptos Display"/>
      <w:b w:val="0"/>
      <w:i/>
      <w:iCs/>
      <w:color w:val="4C6475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 развития Человека СРЧ 1.0</dc:title>
  <dc:subject>19 стандартов и 260 показателей развития Человека</dc:subject>
  <dc:creator>Соколов Сергей Леонидович</dc:creator>
  <cp:keywords>СРЧ, развитие Человека, ЭКВИЛИБРИУМ, СФЕРА, ECO-PPA, 260 показателей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