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ptos Display" w:hAnsi="Aptos Display"/>
          <w:b/>
          <w:sz w:val="52"/>
        </w:rPr>
        <w:t>СЛОВАРЬ-КЛАССИФИКАТОР ЭКВИЛИБРИУМ</w:t>
      </w:r>
    </w:p>
    <w:p>
      <w:pPr>
        <w:jc w:val="center"/>
      </w:pPr>
      <w:r>
        <w:rPr>
          <w:b/>
          <w:sz w:val="36"/>
        </w:rPr>
        <w:t>для Архива сохранения Наследия</w:t>
      </w:r>
    </w:p>
    <w:p>
      <w:pPr>
        <w:jc w:val="center"/>
      </w:pPr>
      <w:r>
        <w:rPr>
          <w:sz w:val="28"/>
        </w:rPr>
        <w:t>ОРИОН 22:22 • Портал умного Парсинга</w:t>
      </w:r>
    </w:p>
    <w:p>
      <w:pPr>
        <w:jc w:val="center"/>
      </w:pPr>
      <w:r>
        <w:rPr>
          <w:b w:val="0"/>
          <w:i/>
        </w:rPr>
        <w:t>Версия 1.0 • Концептуальная архитектура единого реестрового языка</w:t>
      </w:r>
    </w:p>
    <w:p/>
    <w:p>
      <w:pPr>
        <w:jc w:val="both"/>
      </w:pPr>
      <w:r>
        <w:t>Назначение документа: создать единый словарь, классификатор и систему кодирования для описания объектов материального, нематериального, документального, научного, технологического, природного, цифрового и цивилизационного наследия.</w:t>
      </w:r>
    </w:p>
    <w:p>
      <w:pPr>
        <w:jc w:val="both"/>
      </w:pPr>
      <w:r>
        <w:t>Базовый принцип: один объект может одновременно принадлежать нескольким реестрам, но должен иметь один устойчивый идентификатор, единый цифровой паспорт и прозрачную систему связей.</w:t>
      </w:r>
    </w:p>
    <w:p>
      <w:pPr>
        <w:jc w:val="both"/>
      </w:pPr>
      <w:r>
        <w:t>«Орион 22:22» в настоящей архитектуре используется как внутренний символический идентификатор входного контура и метка согласованности данных; он не заменяет юридические, научные или государственные идентификаторы.</w:t>
      </w:r>
    </w:p>
    <w:p>
      <w:pPr>
        <w:pStyle w:val="Heading1"/>
      </w:pPr>
      <w:r>
        <w:t>1. Архитектура реестрового словаря</w:t>
      </w:r>
    </w:p>
    <w:p>
      <w:r>
        <w:rPr>
          <w:b w:val="0"/>
          <w:i w:val="0"/>
        </w:rPr>
        <w:t>Словарь-классификатор строится как онтологическая система, в которой термин, объект, событие, субъект, право, источник, территория и цифровое представление образуют взаимосвязанный граф. Каждая запись должна быть пригодна одновременно для человека, поисковой системы, ИИ-модели, архивиста, исследователя, юриста и оператора реестра.</w:t>
      </w:r>
    </w:p>
    <w:p>
      <w:pPr>
        <w:jc w:val="center"/>
      </w:pPr>
      <w:r>
        <w:rPr>
          <w:b/>
        </w:rPr>
        <w:t>Объект = ID + Класс + Реестры + Атрибуты + Источники + Связи + Права + Статус + Версия</w:t>
      </w:r>
    </w:p>
    <w:p>
      <w:pPr>
        <w:pStyle w:val="Heading1"/>
      </w:pPr>
      <w:r>
        <w:t>2. Базовый классификатор реестров R01–R22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  <w:vAlign w:val="center"/>
            <w:shd w:fill="D9EAF7"/>
          </w:tcPr>
          <w:p>
            <w:r/>
            <w:r>
              <w:rPr>
                <w:rFonts w:ascii="Aptos" w:hAnsi="Aptos"/>
                <w:b/>
                <w:sz w:val="18"/>
              </w:rPr>
              <w:t>Код</w:t>
            </w:r>
          </w:p>
        </w:tc>
        <w:tc>
          <w:tcPr>
            <w:tcW w:type="dxa" w:w="3324"/>
            <w:vAlign w:val="center"/>
            <w:shd w:fill="D9EAF7"/>
          </w:tcPr>
          <w:p>
            <w:r/>
            <w:r>
              <w:rPr>
                <w:rFonts w:ascii="Aptos" w:hAnsi="Aptos"/>
                <w:b/>
                <w:sz w:val="18"/>
              </w:rPr>
              <w:t>Реестр</w:t>
            </w:r>
          </w:p>
        </w:tc>
        <w:tc>
          <w:tcPr>
            <w:tcW w:type="dxa" w:w="3324"/>
            <w:vAlign w:val="center"/>
            <w:shd w:fill="D9EAF7"/>
          </w:tcPr>
          <w:p>
            <w:r/>
            <w:r>
              <w:rPr>
                <w:rFonts w:ascii="Aptos" w:hAnsi="Aptos"/>
                <w:b/>
                <w:sz w:val="18"/>
              </w:rPr>
              <w:t>Содержание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R01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Персоны и носители наследия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Авторы, владельцы, исследователи, мастера, династии, свидетели, хранители.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R02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Организации и институты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Музеи, архивы, библиотеки, фонды, университеты, лаборатории, сообщества, государства.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R03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Материальные объекты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Картины, скульптуры, артефакты, предметы быта, техника, изделия, коллекции.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R04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Документальное наследие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Рукописи, книги, карты, письма, чертежи, протоколы, кино-, фото- и аудиодокументы.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R05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Нематериальное наследие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Языки, традиции, обряды, музыка, устные предания, ремёсла, школы мастерства.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R06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Архитектура и территории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Памятники, ансамбли, исторические зоны, сакральные места, культурные ландшафты.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R07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Природное наследие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Биоценозы, геологические объекты, редкие виды, природные территории, эталонные экосистемы.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R08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Научное наследие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Теории, открытия, методы, школы, приборы, архивы экспериментов, коллекции образцов.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R09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Технологическое наследие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Изобретения, технологии, производственные линии, инженерные решения, промышленные архивы.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R10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Цифровое наследие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Сайты, базы данных, цифровое искусство, программный код, модели, цифровые двойники.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R11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События и эпохи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Исторические события, экспедиции, выставки, проекты, культурные периоды, цивилизационные этапы.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R12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Коллекции и комплексы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Фонды, собрания, архивные комплексы, библиотеки, клады, депозитарные единицы.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R13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Права и правовые статусы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Собственность, авторские права, лицензии, ограничения, охранные обязательства, наследование.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R14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Происхождение и провенанс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Цепочки владения, перемещения, реституция, атрибуция, подлинность, история бытования.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R15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Состояние и сохранность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Физическое состояние, риски, реставрация, утраты, повреждения, требования хранения.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R16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Ценность и значимость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Историческая, культурная, научная, духовная, общественная, рыночная и стратегическая ценность.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R17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Цифровые копии и медиа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Сканы, фото, 3D, аудио, видео, спектральные снимки, метаданные, контрольные суммы.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R18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Источники и доказательства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Каталоги, акты, публикации, экспертизы, архивные ссылки, свидетельства, датасеты.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R19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Доступ и режим использования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Открытый, ограниченный, конфиденциальный, служебный, специальный, исследовательский доступ.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R20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Риски и угрозы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Утрата, пожар, война, вандализм, климат, киберриск, нелегальный оборот, деградация носителя.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R21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Меры сохранения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Консервация, реставрация, резервное копирование, страхование, эвакуация, мониторинг.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R22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Связи и контексты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Связи объект–персона–место–событие–школа–источник–коллекция–право.</w:t>
            </w:r>
          </w:p>
        </w:tc>
      </w:tr>
    </w:tbl>
    <w:p>
      <w:pPr>
        <w:pStyle w:val="Heading1"/>
      </w:pPr>
      <w:r>
        <w:t>3. Единый идентификатор объекта наследия</w:t>
      </w:r>
    </w:p>
    <w:p>
      <w:r>
        <w:rPr>
          <w:b w:val="0"/>
          <w:i w:val="0"/>
        </w:rPr>
        <w:t>Единый идентификатор должен быть стабильным, независимым от изменения владельца, названия, статуса или места хранения. Для внутренней системы предлагается формат, который отделяет постоянный машинный идентификатор от человекочитаемого классификационного кода.</w:t>
      </w:r>
    </w:p>
    <w:p>
      <w:r>
        <w:rPr>
          <w:b/>
          <w:i w:val="0"/>
        </w:rPr>
        <w:t>Пример человекочитаемого кода: EQ-HER-R04-R12-R14-000001-REV03</w:t>
      </w:r>
    </w:p>
    <w:p>
      <w:r>
        <w:rPr>
          <w:b w:val="0"/>
          <w:i w:val="0"/>
        </w:rPr>
        <w:t>Где EQ — ЭКВИЛИБРИУМ; HER — домен Heritage; R04/R12/R14 — основные реестровые принадлежности; 000001 — уникальный номер; REV03 — версия записи.</w:t>
      </w:r>
    </w:p>
    <w:p>
      <w:pPr>
        <w:pStyle w:val="Heading1"/>
      </w:pPr>
      <w:r>
        <w:t>4. Паспорт реестровой записи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  <w:vAlign w:val="center"/>
            <w:shd w:fill="E6F3E6"/>
          </w:tcPr>
          <w:p>
            <w:r/>
            <w:r>
              <w:rPr>
                <w:rFonts w:ascii="Aptos" w:hAnsi="Aptos"/>
                <w:b/>
                <w:sz w:val="18"/>
              </w:rPr>
              <w:t>Поле</w:t>
            </w:r>
          </w:p>
        </w:tc>
        <w:tc>
          <w:tcPr>
            <w:tcW w:type="dxa" w:w="3324"/>
            <w:vAlign w:val="center"/>
            <w:shd w:fill="E6F3E6"/>
          </w:tcPr>
          <w:p>
            <w:r/>
            <w:r>
              <w:rPr>
                <w:rFonts w:ascii="Aptos" w:hAnsi="Aptos"/>
                <w:b/>
                <w:sz w:val="18"/>
              </w:rPr>
              <w:t>Назначение</w:t>
            </w:r>
          </w:p>
        </w:tc>
        <w:tc>
          <w:tcPr>
            <w:tcW w:type="dxa" w:w="3324"/>
            <w:vAlign w:val="center"/>
            <w:shd w:fill="E6F3E6"/>
          </w:tcPr>
          <w:p>
            <w:r/>
            <w:r>
              <w:rPr>
                <w:rFonts w:ascii="Aptos" w:hAnsi="Aptos"/>
                <w:b/>
                <w:sz w:val="18"/>
              </w:rPr>
              <w:t>Статус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ID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Уникальный идентификатор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Обязательное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NAME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Каноническое наименование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Обязательное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ALIASES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Варианты названий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Опциональное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TYPE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Тип объекта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Обязательное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REGISTRY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Коды реестров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Обязательное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DATE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Дата/период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По возможности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PLACE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Место происхождения/нахождения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По возможности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CREATOR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Автор/создатель/носитель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По возможности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OWNER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Владелец/держатель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Если применимо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PROVENANCE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Провенанс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Критически важно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AUTH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Статус подлинности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Если применимо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RIGHTS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Правовой статус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Обязательное при публикации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ACCESS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Режим доступа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Обязательное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CONDITION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Состояние сохранности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Для физических объектов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VALUE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Категории значимости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Рекомендуемое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SOURCE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Источники подтверждения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Обязательное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MEDIA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Цифровые представления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Рекомендуемое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LINKS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Связанные сущности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Рекомендуемое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RISK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Риски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Рекомендуемое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PRESERVE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Меры сохранения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Рекомендуемое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HASH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Контрольная сумма цифрового объекта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Для цифровых копий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VERSION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Версия записи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Обязательное</w:t>
            </w:r>
          </w:p>
        </w:tc>
      </w:tr>
    </w:tbl>
    <w:p>
      <w:pPr>
        <w:pStyle w:val="Heading1"/>
      </w:pPr>
      <w:r>
        <w:t>5. Контролируемые словари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  <w:vAlign w:val="center"/>
            <w:shd w:fill="F4E6F7"/>
          </w:tcPr>
          <w:p>
            <w:r/>
            <w:r>
              <w:rPr>
                <w:rFonts w:ascii="Aptos" w:hAnsi="Aptos"/>
                <w:b/>
                <w:sz w:val="18"/>
              </w:rPr>
              <w:t>Код</w:t>
            </w:r>
          </w:p>
        </w:tc>
        <w:tc>
          <w:tcPr>
            <w:tcW w:type="dxa" w:w="3324"/>
            <w:vAlign w:val="center"/>
            <w:shd w:fill="F4E6F7"/>
          </w:tcPr>
          <w:p>
            <w:r/>
            <w:r>
              <w:rPr>
                <w:rFonts w:ascii="Aptos" w:hAnsi="Aptos"/>
                <w:b/>
                <w:sz w:val="18"/>
              </w:rPr>
              <w:t>Словарь</w:t>
            </w:r>
          </w:p>
        </w:tc>
        <w:tc>
          <w:tcPr>
            <w:tcW w:type="dxa" w:w="3324"/>
            <w:vAlign w:val="center"/>
            <w:shd w:fill="F4E6F7"/>
          </w:tcPr>
          <w:p>
            <w:r/>
            <w:r>
              <w:rPr>
                <w:rFonts w:ascii="Aptos" w:hAnsi="Aptos"/>
                <w:b/>
                <w:sz w:val="18"/>
              </w:rPr>
              <w:t>Допустимые значения / примеры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V01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Тип объекта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6"/>
              </w:rPr>
              <w:t>живопись; рукопись; монета; сооружение; архив; традиция; язык; технология; ПО; образец; коллекция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V02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Статус подлинности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6"/>
              </w:rPr>
              <w:t>подтверждено; вероятно; спорно; неизвестно; копия; реконструкция; реплика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V03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Состояние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6"/>
              </w:rPr>
              <w:t>стабильное; удовлетворительное; уязвимое; аварийное; фрагментарное; утрачено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V04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Уровень значимости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6"/>
              </w:rPr>
              <w:t>локальный; региональный; национальный; межгосударственный; мировой; уникальный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V05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Режим доступа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6"/>
              </w:rPr>
              <w:t>открытый; регистрационный; исследовательский; ограниченный; конфиденциальный; специальный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V06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Степень цифровизации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6"/>
              </w:rPr>
              <w:t>нет; базовая карточка; фото; полный скан; 3D; цифровой двойник; мультимодальная модель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V07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Риск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6"/>
              </w:rPr>
              <w:t>низкий; умеренный; повышенный; высокий; критический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V08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Проверка источника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6"/>
              </w:rPr>
              <w:t>непроверен; первичная проверка; подтвержден; экспертно подтвержден; независимая верификация</w:t>
            </w:r>
          </w:p>
        </w:tc>
      </w:tr>
    </w:tbl>
    <w:p>
      <w:pPr>
        <w:pStyle w:val="Heading1"/>
      </w:pPr>
      <w:r>
        <w:t>6. Портал умного Парсинга: реестровый конвейер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  <w:vAlign w:val="center"/>
            <w:shd w:fill="FFF2CC"/>
          </w:tcPr>
          <w:p>
            <w:r/>
            <w:r>
              <w:rPr>
                <w:rFonts w:ascii="Aptos" w:hAnsi="Aptos"/>
                <w:b/>
                <w:sz w:val="18"/>
              </w:rPr>
              <w:t>Этап</w:t>
            </w:r>
          </w:p>
        </w:tc>
        <w:tc>
          <w:tcPr>
            <w:tcW w:type="dxa" w:w="3324"/>
            <w:vAlign w:val="center"/>
            <w:shd w:fill="FFF2CC"/>
          </w:tcPr>
          <w:p>
            <w:r/>
            <w:r>
              <w:rPr>
                <w:rFonts w:ascii="Aptos" w:hAnsi="Aptos"/>
                <w:b/>
                <w:sz w:val="18"/>
              </w:rPr>
              <w:t>Функция</w:t>
            </w:r>
          </w:p>
        </w:tc>
        <w:tc>
          <w:tcPr>
            <w:tcW w:type="dxa" w:w="3324"/>
            <w:vAlign w:val="center"/>
            <w:shd w:fill="FFF2CC"/>
          </w:tcPr>
          <w:p>
            <w:r/>
            <w:r>
              <w:rPr>
                <w:rFonts w:ascii="Aptos" w:hAnsi="Aptos"/>
                <w:b/>
                <w:sz w:val="18"/>
              </w:rPr>
              <w:t>Результат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P01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Приём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URL, файл, изображение, PDF, база, API, текст, аудио, видео.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P02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Извлечение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Выделение текста, метаданных, имён, дат, мест, номеров, таблиц, ссылок.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P03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Нормализация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Единые даты, имена, языки, единицы измерения, географические названия.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P04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Сущности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Распознавание персон, организаций, объектов, событий, мест, источников.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P05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Классификация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Присвоение одного или нескольких кодов R01–R22.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P06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Сопоставление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Поиск дублей, вариантов названий, конфликтующих атрибуций и связанных записей.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P07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Доказательность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Привязка каждого значимого поля к источнику и уровню уверенности.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P08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Верификация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Автоматическая и экспертная проверка критических записей.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P09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Публикация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Запись в Архив сохранения Наследия с версией и журналом изменений.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P10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Обновление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Повторный парсинг источников, сравнение версий, сигнализация изменений.</w:t>
            </w:r>
          </w:p>
        </w:tc>
      </w:tr>
    </w:tbl>
    <w:p>
      <w:pPr>
        <w:pStyle w:val="Heading1"/>
      </w:pPr>
      <w:r>
        <w:t>7. Матрица перекрёстной классификации</w:t>
      </w:r>
    </w:p>
    <w:p>
      <w:r>
        <w:rPr>
          <w:b w:val="0"/>
          <w:i w:val="0"/>
        </w:rPr>
        <w:t>Каждый объект допускает множественное реестровое членство. Центральный объект не дублируется; вместо этого создаются связи между его единым ID и соответствующими реестрами.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vAlign w:val="center"/>
            <w:shd w:fill="D9EAD3"/>
          </w:tcPr>
          <w:p>
            <w:r/>
            <w:r>
              <w:rPr>
                <w:rFonts w:ascii="Aptos" w:hAnsi="Aptos"/>
                <w:b/>
                <w:sz w:val="18"/>
              </w:rPr>
              <w:t>Пример объекта</w:t>
            </w:r>
          </w:p>
        </w:tc>
        <w:tc>
          <w:tcPr>
            <w:tcW w:type="dxa" w:w="4986"/>
            <w:vAlign w:val="center"/>
            <w:shd w:fill="D9EAD3"/>
          </w:tcPr>
          <w:p>
            <w:r/>
            <w:r>
              <w:rPr>
                <w:rFonts w:ascii="Aptos" w:hAnsi="Aptos"/>
                <w:b/>
                <w:sz w:val="18"/>
              </w:rPr>
              <w:t>Связанные реестры</w:t>
            </w:r>
          </w:p>
        </w:tc>
      </w:tr>
      <w:tr>
        <w:tc>
          <w:tcPr>
            <w:tcW w:type="dxa" w:w="4986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Старинная рукопись</w:t>
            </w:r>
          </w:p>
        </w:tc>
        <w:tc>
          <w:tcPr>
            <w:tcW w:type="dxa" w:w="4986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R04, R12, R13, R14, R15, R16, R17, R18, R19, R20, R21, R22</w:t>
            </w:r>
          </w:p>
        </w:tc>
      </w:tr>
      <w:tr>
        <w:tc>
          <w:tcPr>
            <w:tcW w:type="dxa" w:w="4986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Историческое здание</w:t>
            </w:r>
          </w:p>
        </w:tc>
        <w:tc>
          <w:tcPr>
            <w:tcW w:type="dxa" w:w="4986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R06, R11, R13, R14, R15, R16, R17, R18, R19, R20, R21, R22</w:t>
            </w:r>
          </w:p>
        </w:tc>
      </w:tr>
      <w:tr>
        <w:tc>
          <w:tcPr>
            <w:tcW w:type="dxa" w:w="4986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Народная песенная традиция</w:t>
            </w:r>
          </w:p>
        </w:tc>
        <w:tc>
          <w:tcPr>
            <w:tcW w:type="dxa" w:w="4986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R01, R05, R11, R16, R17, R18, R19, R22</w:t>
            </w:r>
          </w:p>
        </w:tc>
      </w:tr>
      <w:tr>
        <w:tc>
          <w:tcPr>
            <w:tcW w:type="dxa" w:w="4986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Научный прибор</w:t>
            </w:r>
          </w:p>
        </w:tc>
        <w:tc>
          <w:tcPr>
            <w:tcW w:type="dxa" w:w="4986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R03, R08, R09, R12, R14, R15, R16, R17, R18, R22</w:t>
            </w:r>
          </w:p>
        </w:tc>
      </w:tr>
      <w:tr>
        <w:tc>
          <w:tcPr>
            <w:tcW w:type="dxa" w:w="4986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Цифровая модель памятника</w:t>
            </w:r>
          </w:p>
        </w:tc>
        <w:tc>
          <w:tcPr>
            <w:tcW w:type="dxa" w:w="4986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R06, R10, R17, R18, R19, R22</w:t>
            </w:r>
          </w:p>
        </w:tc>
      </w:tr>
      <w:tr>
        <w:tc>
          <w:tcPr>
            <w:tcW w:type="dxa" w:w="4986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Клад / археологический комплекс</w:t>
            </w:r>
          </w:p>
        </w:tc>
        <w:tc>
          <w:tcPr>
            <w:tcW w:type="dxa" w:w="4986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R03, R06, R11, R12, R13, R14, R15, R16, R17, R18, R19, R20, R21, R22</w:t>
            </w:r>
          </w:p>
        </w:tc>
      </w:tr>
    </w:tbl>
    <w:p>
      <w:pPr>
        <w:pStyle w:val="Heading1"/>
      </w:pPr>
      <w:r>
        <w:t>8. Доказательность и индекс уверенности</w:t>
      </w:r>
    </w:p>
    <w:p>
      <w:r>
        <w:rPr>
          <w:b w:val="0"/>
          <w:i w:val="0"/>
        </w:rPr>
        <w:t>Для автоматического парсинга необходимо отделять факт от гипотезы. Каждое извлечённое утверждение получает источник, тип источника, дату обращения, степень независимости и машинную оценку уверенности; критические атрибуты проходят экспертную верификацию.</w:t>
      </w:r>
    </w:p>
    <w:p>
      <w:r>
        <w:rPr>
          <w:b/>
          <w:i w:val="0"/>
        </w:rPr>
        <w:t>Индекс уверенности: C = w₁S + w₂I + w₃A + w₄X, где S — качество источника, I — независимость подтверждений, A — согласованность атрибуции, X — экспертная верификация.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8"/>
              </w:rPr>
              <w:t>Класс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8"/>
              </w:rPr>
              <w:t>Диапазон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8"/>
              </w:rPr>
              <w:t>Интерпретация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C0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0–0,39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неподтверждённая гипотеза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C1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0,40–0,59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предварительное подтверждение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C2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0,60–0,79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достаточная доказательность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C3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0,80–0,94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высокая доказательность</w:t>
            </w:r>
          </w:p>
        </w:tc>
      </w:tr>
      <w:tr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C4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0,95–1,00</w:t>
            </w:r>
          </w:p>
        </w:tc>
        <w:tc>
          <w:tcPr>
            <w:tcW w:type="dxa" w:w="3324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верифицированная запись</w:t>
            </w:r>
          </w:p>
        </w:tc>
      </w:tr>
    </w:tbl>
    <w:p>
      <w:pPr>
        <w:pStyle w:val="Heading1"/>
      </w:pPr>
      <w:r>
        <w:t>9. Иерархия реестров</w:t>
      </w:r>
    </w:p>
    <w:p>
      <w:pPr>
        <w:pStyle w:val="Heading3"/>
      </w:pPr>
      <w:r>
        <w:t>Уровень A — Планетарный</w:t>
      </w:r>
    </w:p>
    <w:p>
      <w:r>
        <w:t>объекты и явления мирового значения, межгосударственные и универсальные реестры.</w:t>
      </w:r>
    </w:p>
    <w:p>
      <w:pPr>
        <w:pStyle w:val="Heading3"/>
      </w:pPr>
      <w:r>
        <w:t>Уровень B — Национальный</w:t>
      </w:r>
    </w:p>
    <w:p>
      <w:r>
        <w:t>государственные реестры культурного, природного, научного и документального наследия.</w:t>
      </w:r>
    </w:p>
    <w:p>
      <w:pPr>
        <w:pStyle w:val="Heading3"/>
      </w:pPr>
      <w:r>
        <w:t>Уровень C — Региональный</w:t>
      </w:r>
    </w:p>
    <w:p>
      <w:r>
        <w:t>реестры субъектов, регионов, территорий, историко-культурных зон.</w:t>
      </w:r>
    </w:p>
    <w:p>
      <w:pPr>
        <w:pStyle w:val="Heading3"/>
      </w:pPr>
      <w:r>
        <w:t>Уровень D — Муниципальный / локальный</w:t>
      </w:r>
    </w:p>
    <w:p>
      <w:r>
        <w:t>местные архивы, музеи, общины, организации, частные коллекции.</w:t>
      </w:r>
    </w:p>
    <w:p>
      <w:pPr>
        <w:pStyle w:val="Heading3"/>
      </w:pPr>
      <w:r>
        <w:t>Уровень E — Персональный / семейный</w:t>
      </w:r>
    </w:p>
    <w:p>
      <w:r>
        <w:t>семейные архивы, частные собрания, личные цифровые фонды.</w:t>
      </w:r>
    </w:p>
    <w:p>
      <w:pPr>
        <w:pStyle w:val="Heading3"/>
      </w:pPr>
      <w:r>
        <w:t>Уровень F — Машинный метареестр</w:t>
      </w:r>
    </w:p>
    <w:p>
      <w:r>
        <w:t>сводный индекс ЭКВИЛИБРИУМ, объединяющий записи без присвоения себе прав первичного реестра.</w:t>
      </w:r>
    </w:p>
    <w:p>
      <w:pPr>
        <w:pStyle w:val="Heading1"/>
      </w:pPr>
      <w:r>
        <w:t>10. ОРИОН 22:22 как символический контур</w:t>
      </w:r>
    </w:p>
    <w:p>
      <w:r>
        <w:rPr>
          <w:b w:val="0"/>
          <w:i w:val="0"/>
        </w:rPr>
        <w:t>В архитектуре проекта «Орион 22:22» предлагается использовать как внутренний символический код согласования 22 базовых реестров и двух направлений движения данных: вход в Архив и выход в систему знаний. Обозначение 22:22 может применяться в навигации, интерфейсе, маркировке версий и инфографике, но не должно подменять официальные номера, архивные шифры, DOI, ISBN, музейные инвентарные номера, кадастровые или иные юридически значимые идентификаторы.</w:t>
      </w:r>
    </w:p>
    <w:p>
      <w:r>
        <w:rPr>
          <w:b/>
          <w:i w:val="0"/>
        </w:rPr>
        <w:t>Смысловая формула: 22 реестра × 2 направления = «сохранить ↔ связать».</w:t>
      </w:r>
    </w:p>
    <w:p>
      <w:pPr>
        <w:pStyle w:val="Heading1"/>
      </w:pPr>
      <w:r>
        <w:t>11. Шаблон карточки реестра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vAlign w:val="center"/>
          </w:tcPr>
          <w:p>
            <w:r/>
            <w:r>
              <w:rPr>
                <w:rFonts w:ascii="Aptos" w:hAnsi="Aptos"/>
                <w:b/>
                <w:sz w:val="18"/>
              </w:rPr>
              <w:t>Поле карточки</w:t>
            </w:r>
          </w:p>
        </w:tc>
        <w:tc>
          <w:tcPr>
            <w:tcW w:type="dxa" w:w="4986"/>
            <w:vAlign w:val="center"/>
          </w:tcPr>
          <w:p>
            <w:r/>
            <w:r>
              <w:rPr>
                <w:rFonts w:ascii="Aptos" w:hAnsi="Aptos"/>
                <w:b/>
                <w:sz w:val="18"/>
              </w:rPr>
              <w:t>Значение</w:t>
            </w:r>
          </w:p>
        </w:tc>
      </w:tr>
      <w:tr>
        <w:tc>
          <w:tcPr>
            <w:tcW w:type="dxa" w:w="4986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Код реестра</w:t>
            </w:r>
          </w:p>
        </w:tc>
        <w:tc>
          <w:tcPr>
            <w:tcW w:type="dxa" w:w="4986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R__</w:t>
            </w:r>
          </w:p>
        </w:tc>
      </w:tr>
      <w:tr>
        <w:tc>
          <w:tcPr>
            <w:tcW w:type="dxa" w:w="4986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Название</w:t>
            </w:r>
          </w:p>
        </w:tc>
        <w:tc>
          <w:tcPr>
            <w:tcW w:type="dxa" w:w="4986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</w:r>
          </w:p>
        </w:tc>
      </w:tr>
      <w:tr>
        <w:tc>
          <w:tcPr>
            <w:tcW w:type="dxa" w:w="4986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Назначение</w:t>
            </w:r>
          </w:p>
        </w:tc>
        <w:tc>
          <w:tcPr>
            <w:tcW w:type="dxa" w:w="4986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</w:r>
          </w:p>
        </w:tc>
      </w:tr>
      <w:tr>
        <w:tc>
          <w:tcPr>
            <w:tcW w:type="dxa" w:w="4986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Объекты учёта</w:t>
            </w:r>
          </w:p>
        </w:tc>
        <w:tc>
          <w:tcPr>
            <w:tcW w:type="dxa" w:w="4986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</w:r>
          </w:p>
        </w:tc>
      </w:tr>
      <w:tr>
        <w:tc>
          <w:tcPr>
            <w:tcW w:type="dxa" w:w="4986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Минимальные обязательные поля</w:t>
            </w:r>
          </w:p>
        </w:tc>
        <w:tc>
          <w:tcPr>
            <w:tcW w:type="dxa" w:w="4986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</w:r>
          </w:p>
        </w:tc>
      </w:tr>
      <w:tr>
        <w:tc>
          <w:tcPr>
            <w:tcW w:type="dxa" w:w="4986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Контролируемые словари</w:t>
            </w:r>
          </w:p>
        </w:tc>
        <w:tc>
          <w:tcPr>
            <w:tcW w:type="dxa" w:w="4986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</w:r>
          </w:p>
        </w:tc>
      </w:tr>
      <w:tr>
        <w:tc>
          <w:tcPr>
            <w:tcW w:type="dxa" w:w="4986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Внешние идентификаторы</w:t>
            </w:r>
          </w:p>
        </w:tc>
        <w:tc>
          <w:tcPr>
            <w:tcW w:type="dxa" w:w="4986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</w:r>
          </w:p>
        </w:tc>
      </w:tr>
      <w:tr>
        <w:tc>
          <w:tcPr>
            <w:tcW w:type="dxa" w:w="4986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Источники первичных данных</w:t>
            </w:r>
          </w:p>
        </w:tc>
        <w:tc>
          <w:tcPr>
            <w:tcW w:type="dxa" w:w="4986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</w:r>
          </w:p>
        </w:tc>
      </w:tr>
      <w:tr>
        <w:tc>
          <w:tcPr>
            <w:tcW w:type="dxa" w:w="4986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Правовой режим</w:t>
            </w:r>
          </w:p>
        </w:tc>
        <w:tc>
          <w:tcPr>
            <w:tcW w:type="dxa" w:w="4986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</w:r>
          </w:p>
        </w:tc>
      </w:tr>
      <w:tr>
        <w:tc>
          <w:tcPr>
            <w:tcW w:type="dxa" w:w="4986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Правила верификации</w:t>
            </w:r>
          </w:p>
        </w:tc>
        <w:tc>
          <w:tcPr>
            <w:tcW w:type="dxa" w:w="4986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</w:r>
          </w:p>
        </w:tc>
      </w:tr>
      <w:tr>
        <w:tc>
          <w:tcPr>
            <w:tcW w:type="dxa" w:w="4986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Связи с другими реестрами</w:t>
            </w:r>
          </w:p>
        </w:tc>
        <w:tc>
          <w:tcPr>
            <w:tcW w:type="dxa" w:w="4986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</w:r>
          </w:p>
        </w:tc>
      </w:tr>
      <w:tr>
        <w:tc>
          <w:tcPr>
            <w:tcW w:type="dxa" w:w="4986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Правила дедупликации</w:t>
            </w:r>
          </w:p>
        </w:tc>
        <w:tc>
          <w:tcPr>
            <w:tcW w:type="dxa" w:w="4986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</w:r>
          </w:p>
        </w:tc>
      </w:tr>
      <w:tr>
        <w:tc>
          <w:tcPr>
            <w:tcW w:type="dxa" w:w="4986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Период обновления</w:t>
            </w:r>
          </w:p>
        </w:tc>
        <w:tc>
          <w:tcPr>
            <w:tcW w:type="dxa" w:w="4986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</w:r>
          </w:p>
        </w:tc>
      </w:tr>
      <w:tr>
        <w:tc>
          <w:tcPr>
            <w:tcW w:type="dxa" w:w="4986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Ответственный контур</w:t>
            </w:r>
          </w:p>
        </w:tc>
        <w:tc>
          <w:tcPr>
            <w:tcW w:type="dxa" w:w="4986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</w:r>
          </w:p>
        </w:tc>
      </w:tr>
      <w:tr>
        <w:tc>
          <w:tcPr>
            <w:tcW w:type="dxa" w:w="4986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Уровень доступа</w:t>
            </w:r>
          </w:p>
        </w:tc>
        <w:tc>
          <w:tcPr>
            <w:tcW w:type="dxa" w:w="4986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</w:r>
          </w:p>
        </w:tc>
      </w:tr>
      <w:tr>
        <w:tc>
          <w:tcPr>
            <w:tcW w:type="dxa" w:w="4986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Версия схемы</w:t>
            </w:r>
          </w:p>
        </w:tc>
        <w:tc>
          <w:tcPr>
            <w:tcW w:type="dxa" w:w="4986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</w:r>
          </w:p>
        </w:tc>
      </w:tr>
    </w:tbl>
    <w:p>
      <w:pPr>
        <w:pStyle w:val="Heading1"/>
      </w:pPr>
      <w:r>
        <w:t>12. Внедрение классификатора</w:t>
      </w:r>
    </w:p>
    <w:p>
      <w:r>
        <w:t>1. Утвердить R01–R22 как верхний уровень классификации и зафиксировать правила кодирования.</w:t>
      </w:r>
    </w:p>
    <w:p>
      <w:r>
        <w:t>2. Создать справочники V01–V08 и назначить владельцев словарей.</w:t>
      </w:r>
    </w:p>
    <w:p>
      <w:r>
        <w:t>3. Определить минимальный паспорт объекта и обязательность полей по каждому классу.</w:t>
      </w:r>
    </w:p>
    <w:p>
      <w:r>
        <w:t>4. Собрать таблицу соответствий с внешними государственными, музейными, архивными, библиотечными, научными и международными идентификаторами.</w:t>
      </w:r>
    </w:p>
    <w:p>
      <w:r>
        <w:t>5. Создать правила парсинга и нормализации по каждому типу источника.</w:t>
      </w:r>
    </w:p>
    <w:p>
      <w:r>
        <w:t>6. Ввести журнал доказательности и индекс уверенности для каждого утверждения.</w:t>
      </w:r>
    </w:p>
    <w:p>
      <w:r>
        <w:t>7. Запустить дедупликацию и граф связей между сущностями.</w:t>
      </w:r>
    </w:p>
    <w:p>
      <w:r>
        <w:t>8. Создать экспертные очереди для спорных записей и конфликтующей атрибуции.</w:t>
      </w:r>
    </w:p>
    <w:p>
      <w:r>
        <w:t>9. Развернуть версионирование, журнал изменений и неизменяемые контрольные суммы цифровых объектов.</w:t>
      </w:r>
    </w:p>
    <w:p>
      <w:r>
        <w:t>10. Вывести единый интерфейс Архива сохранения Наследия с поиском по реестрам, времени, территории, связям и уровню значимости.</w:t>
      </w:r>
    </w:p>
    <w:p>
      <w:pPr>
        <w:pStyle w:val="Heading1"/>
      </w:pPr>
      <w:r>
        <w:t>Приложение A. Базовые термины словаря ЭКВИЛИБРИУМ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vAlign w:val="center"/>
            <w:shd w:fill="D9D2E9"/>
          </w:tcPr>
          <w:p>
            <w:r/>
            <w:r>
              <w:rPr>
                <w:rFonts w:ascii="Aptos" w:hAnsi="Aptos"/>
                <w:b/>
                <w:sz w:val="18"/>
              </w:rPr>
              <w:t>Термин</w:t>
            </w:r>
          </w:p>
        </w:tc>
        <w:tc>
          <w:tcPr>
            <w:tcW w:type="dxa" w:w="4986"/>
            <w:vAlign w:val="center"/>
            <w:shd w:fill="D9D2E9"/>
          </w:tcPr>
          <w:p>
            <w:r/>
            <w:r>
              <w:rPr>
                <w:rFonts w:ascii="Aptos" w:hAnsi="Aptos"/>
                <w:b/>
                <w:sz w:val="18"/>
              </w:rPr>
              <w:t>Определение</w:t>
            </w:r>
          </w:p>
        </w:tc>
      </w:tr>
      <w:tr>
        <w:tc>
          <w:tcPr>
            <w:tcW w:type="dxa" w:w="4986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Объект наследия</w:t>
            </w:r>
          </w:p>
        </w:tc>
        <w:tc>
          <w:tcPr>
            <w:tcW w:type="dxa" w:w="4986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любая идентифицируемая сущность, имеющая культурную, историческую, научную, природную, технологическую, духовную или общественную ценность.</w:t>
            </w:r>
          </w:p>
        </w:tc>
      </w:tr>
      <w:tr>
        <w:tc>
          <w:tcPr>
            <w:tcW w:type="dxa" w:w="4986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Реестр</w:t>
            </w:r>
          </w:p>
        </w:tc>
        <w:tc>
          <w:tcPr>
            <w:tcW w:type="dxa" w:w="4986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структурированная совокупность записей одного класса учёта с установленными правилами идентификации, описания и обновления.</w:t>
            </w:r>
          </w:p>
        </w:tc>
      </w:tr>
      <w:tr>
        <w:tc>
          <w:tcPr>
            <w:tcW w:type="dxa" w:w="4986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Метареестр</w:t>
            </w:r>
          </w:p>
        </w:tc>
        <w:tc>
          <w:tcPr>
            <w:tcW w:type="dxa" w:w="4986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индекс, связывающий записи разных реестров без уничтожения их исходной идентичности и происхождения.</w:t>
            </w:r>
          </w:p>
        </w:tc>
      </w:tr>
      <w:tr>
        <w:tc>
          <w:tcPr>
            <w:tcW w:type="dxa" w:w="4986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Провенанс</w:t>
            </w:r>
          </w:p>
        </w:tc>
        <w:tc>
          <w:tcPr>
            <w:tcW w:type="dxa" w:w="4986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документированная история происхождения, владения, перемещения и атрибуции объекта.</w:t>
            </w:r>
          </w:p>
        </w:tc>
      </w:tr>
      <w:tr>
        <w:tc>
          <w:tcPr>
            <w:tcW w:type="dxa" w:w="4986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Цифровой паспорт</w:t>
            </w:r>
          </w:p>
        </w:tc>
        <w:tc>
          <w:tcPr>
            <w:tcW w:type="dxa" w:w="4986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машиночитаемый набор нормализованных атрибутов объекта с источниками и версиями.</w:t>
            </w:r>
          </w:p>
        </w:tc>
      </w:tr>
      <w:tr>
        <w:tc>
          <w:tcPr>
            <w:tcW w:type="dxa" w:w="4986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Цифровой двойник</w:t>
            </w:r>
          </w:p>
        </w:tc>
        <w:tc>
          <w:tcPr>
            <w:tcW w:type="dxa" w:w="4986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структурированное цифровое представление объекта, способное включать геометрию, свойства, состояние, историю и связи.</w:t>
            </w:r>
          </w:p>
        </w:tc>
      </w:tr>
      <w:tr>
        <w:tc>
          <w:tcPr>
            <w:tcW w:type="dxa" w:w="4986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Онтология</w:t>
            </w:r>
          </w:p>
        </w:tc>
        <w:tc>
          <w:tcPr>
            <w:tcW w:type="dxa" w:w="4986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формальная система понятий, отношений и правил, обеспечивающая единое понимание данных.</w:t>
            </w:r>
          </w:p>
        </w:tc>
      </w:tr>
      <w:tr>
        <w:tc>
          <w:tcPr>
            <w:tcW w:type="dxa" w:w="4986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Дедупликация</w:t>
            </w:r>
          </w:p>
        </w:tc>
        <w:tc>
          <w:tcPr>
            <w:tcW w:type="dxa" w:w="4986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процесс обнаружения и объединения сведений, относящихся к одному объекту, без потери источников и версий.</w:t>
            </w:r>
          </w:p>
        </w:tc>
      </w:tr>
      <w:tr>
        <w:tc>
          <w:tcPr>
            <w:tcW w:type="dxa" w:w="4986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Умный парсинг</w:t>
            </w:r>
          </w:p>
        </w:tc>
        <w:tc>
          <w:tcPr>
            <w:tcW w:type="dxa" w:w="4986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автоматизированное извлечение, нормализация, классификация, сопоставление и верификация данных из разнородных источников.</w:t>
            </w:r>
          </w:p>
        </w:tc>
      </w:tr>
      <w:tr>
        <w:tc>
          <w:tcPr>
            <w:tcW w:type="dxa" w:w="4986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Доказательность</w:t>
            </w:r>
          </w:p>
        </w:tc>
        <w:tc>
          <w:tcPr>
            <w:tcW w:type="dxa" w:w="4986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степень, в которой утверждение подкреплено проверяемыми источниками и независимыми подтверждениями.</w:t>
            </w:r>
          </w:p>
        </w:tc>
      </w:tr>
      <w:tr>
        <w:tc>
          <w:tcPr>
            <w:tcW w:type="dxa" w:w="4986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Семантическая связь</w:t>
            </w:r>
          </w:p>
        </w:tc>
        <w:tc>
          <w:tcPr>
            <w:tcW w:type="dxa" w:w="4986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типизированное отношение между объектами: создан, принадлежал, находился, участвовал, является частью, упоминается в, связан с.</w:t>
            </w:r>
          </w:p>
        </w:tc>
      </w:tr>
      <w:tr>
        <w:tc>
          <w:tcPr>
            <w:tcW w:type="dxa" w:w="4986"/>
            <w:vAlign w:val="center"/>
          </w:tcPr>
          <w:p>
            <w:r/>
            <w:r>
              <w:rPr>
                <w:rFonts w:ascii="Aptos" w:hAnsi="Aptos"/>
                <w:b/>
                <w:sz w:val="17"/>
              </w:rPr>
              <w:t>Версия записи</w:t>
            </w:r>
          </w:p>
        </w:tc>
        <w:tc>
          <w:tcPr>
            <w:tcW w:type="dxa" w:w="4986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фиксированное состояние данных на определённый момент, сохраняющее историю изменений.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964" w:right="1134" w:bottom="96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ЭКВИЛИБРИУМ • Архив сохранения Наследия • ОРИОН 22:22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color w:val="17365D" w:themeColor="text2" w:themeShade="BF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