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Eyebrow"/>
        <w:spacing w:after="260"/>
        <w:jc w:val="center"/>
      </w:pPr>
      <w:r>
        <w:t>СТРАТЕГИЧЕСКИЙ БЕЛЫЙ ДОКУМЕНТ  /  РЕДАКЦИЯ 1.0</w:t>
      </w:r>
    </w:p>
    <w:p>
      <w:pPr>
        <w:pStyle w:val="Title"/>
        <w:spacing w:after="160"/>
        <w:jc w:val="center"/>
      </w:pPr>
      <w:r>
        <w:t>СИСТЕМА ФОНДОВ</w:t>
        <w:br/>
        <w:t>ЛИЧНЫЕ И ИМЕННЫЕ</w:t>
        <w:br/>
        <w:t>ФОНДЫ И БАНКИ</w:t>
      </w:r>
    </w:p>
    <w:p>
      <w:pPr>
        <w:pStyle w:val="Subtitle"/>
        <w:spacing w:after="120"/>
        <w:jc w:val="center"/>
      </w:pPr>
      <w:r>
        <w:t>От воли владельца — к мандату, проекту, доказательству и наследию</w:t>
      </w:r>
    </w:p>
    <w:p>
      <w:pPr>
        <w:pStyle w:val="Eyebrow"/>
        <w:jc w:val="center"/>
      </w:pPr>
      <w:r>
        <w:t>ЭКВИЛИБРИУМ  ·  СИСТЕМА ФОНДОВ  ·  ECO-PPA  ·  СПЕЦЗАЩИТА  ·  СФЕРА  ·  АРХИВ НАСЛЕДИЯ</w:t>
      </w:r>
    </w:p>
    <w:p>
      <w:pPr>
        <w:spacing w:before="60" w:after="100"/>
        <w:jc w:val="center"/>
      </w:pPr>
      <w:r>
        <w:drawing>
          <wp:inline xmlns:a="http://schemas.openxmlformats.org/drawingml/2006/main" xmlns:pic="http://schemas.openxmlformats.org/drawingml/2006/picture">
            <wp:extent cx="4590288" cy="2583410"/>
            <wp:docPr id="1" name="Picture 1" descr="Система обособленных личных, семейных, именных, благотворительных и проектных фондов, связанная с лицензированной банковской инфраструктурой и архивом доказательств." title="Система фондов и лицензированная инфраструкту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stema_fondov_her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90288" cy="2583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"/>
        <w:jc w:val="center"/>
      </w:pPr>
      <w:r>
        <w:t>Автор: Соколов Сергей Леонидович  ·  29 августа 2026 г.</w:t>
        <w:br/>
      </w:r>
      <w:r>
        <w:t>Статус: авторская проектная гипотеза для правовой, банковской и экспертной проверки</w:t>
      </w:r>
    </w:p>
    <w:p>
      <w:r>
        <w:br w:type="page"/>
      </w:r>
    </w:p>
    <w:p>
      <w:pPr>
        <w:pStyle w:val="Eyebrow"/>
        <w:keepLines/>
        <w:widowControl/>
        <w:keepNext/>
      </w:pPr>
      <w:r>
        <w:t>02  /  РЕШЕНИЕ ДЛЯ РУКОВОДИТЕЛЯ</w:t>
      </w:r>
    </w:p>
    <w:p>
      <w:pPr>
        <w:pStyle w:val="Heading1"/>
        <w:keepLines/>
        <w:widowControl/>
        <w:keepNext/>
      </w:pPr>
      <w:r>
        <w:t>Разрешить 90-дневный проектировочный пилот</w:t>
      </w:r>
    </w:p>
    <w:p>
      <w:pPr>
        <w:pStyle w:val="Lead"/>
        <w:spacing w:after="240"/>
      </w:pPr>
      <w:r>
        <w:t>Проверить правовую оболочку, роли, банковские шлюзы, регистры и доказательный цикл — без публичного привлечения средств и без запуска банковской деятельности.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Главный тезис</w:t>
        <w:br/>
      </w:r>
      <w:r>
        <w:rPr>
          <w:rFonts w:ascii="Calibri" w:hAnsi="Calibri" w:eastAsia="Calibri"/>
          <w:color w:val="172033"/>
          <w:sz w:val="21"/>
        </w:rPr>
        <w:t>Не деньги создают фонд. Фонд создают правила, которые связывают цель, право, капитал, решение и доказательство.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50"/>
        <w:gridCol w:w="7410"/>
      </w:tblGrid>
      <w:tr>
        <w:trPr>
          <w:tblHeader w:val="true"/>
        </w:trPr>
        <w:tc>
          <w:tcPr>
            <w:tcW w:type="dxa" w:w="19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Параметр</w:t>
            </w:r>
          </w:p>
        </w:tc>
        <w:tc>
          <w:tcPr>
            <w:tcW w:type="dxa" w:w="74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Предложение</w:t>
            </w:r>
          </w:p>
        </w:tc>
      </w:tr>
      <w:tr>
        <w:tc>
          <w:tcPr>
            <w:tcW w:type="dxa" w:w="1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Предмет</w:t>
            </w:r>
          </w:p>
        </w:tc>
        <w:tc>
          <w:tcPr>
            <w:tcW w:type="dxa" w:w="7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Система управления обособленными капиталами и именными программами поверх действующих счетов, договоров и лицензированных провайдеров.</w:t>
            </w:r>
          </w:p>
        </w:tc>
      </w:tr>
      <w:tr>
        <w:tc>
          <w:tcPr>
            <w:tcW w:type="dxa" w:w="19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Срок</w:t>
            </w:r>
          </w:p>
        </w:tc>
        <w:tc>
          <w:tcPr>
            <w:tcW w:type="dxa" w:w="74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90 календарных дней; проектирование, прототип и сухие прогоны.</w:t>
            </w:r>
          </w:p>
        </w:tc>
      </w:tr>
      <w:tr>
        <w:tc>
          <w:tcPr>
            <w:tcW w:type="dxa" w:w="1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Режим</w:t>
            </w:r>
          </w:p>
        </w:tc>
        <w:tc>
          <w:tcPr>
            <w:tcW w:type="dxa" w:w="7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Read-only и shadow mode: платформа не принимает деньги, не открывает счета и не инициирует автоматические переводы.</w:t>
            </w:r>
          </w:p>
        </w:tc>
      </w:tr>
      <w:tr>
        <w:tc>
          <w:tcPr>
            <w:tcW w:type="dxa" w:w="19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Кейсы</w:t>
            </w:r>
          </w:p>
        </w:tc>
        <w:tc>
          <w:tcPr>
            <w:tcW w:type="dxa" w:w="74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Один эталонный личный фонд, одна именная программа и два модельных проекта ECO-PPA.</w:t>
            </w:r>
          </w:p>
        </w:tc>
      </w:tr>
      <w:tr>
        <w:tc>
          <w:tcPr>
            <w:tcW w:type="dxa" w:w="19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Выход</w:t>
            </w:r>
          </w:p>
        </w:tc>
        <w:tc>
          <w:tcPr>
            <w:tcW w:type="dxa" w:w="74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Правовая карта, паспорт фонда, шесть регистров, банковский RFI, доказательный пакет и решение GO / CONDITIONAL GO / NO-GO.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Рекомендуемое решение</w:t>
        <w:br/>
      </w:r>
      <w:r>
        <w:rPr>
          <w:rFonts w:ascii="Calibri" w:hAnsi="Calibri" w:eastAsia="Calibri"/>
          <w:color w:val="172033"/>
          <w:sz w:val="21"/>
        </w:rPr>
        <w:t>Утвердить периметр проектирования; реальные денежные потоки разрешать только отдельным решением после юридического, налогового, AML/KYC и банковского заключений.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03  /  ПРОБЛЕМА И ТЕЗИС</w:t>
      </w:r>
    </w:p>
    <w:p>
      <w:pPr>
        <w:pStyle w:val="Heading1"/>
        <w:keepLines/>
        <w:widowControl/>
        <w:keepNext/>
      </w:pPr>
      <w:r>
        <w:t>Счета показывают деньги, но не объясняют их мандат</w:t>
      </w:r>
    </w:p>
    <w:p>
      <w:pPr>
        <w:pStyle w:val="Lead"/>
        <w:spacing w:after="240"/>
      </w:pPr>
      <w:r>
        <w:t>У семьи, благотворителя, института или проекта могут быть активы и договоры, однако без общей модели трудно доказать цель, полномочие, ограничения, результат и преемственность.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1.</w:t>
      </w:r>
      <w:r>
        <w:t xml:space="preserve"> Цель владельца не всегда закреплена как исполнимый мандат с запретами и сроком.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2.</w:t>
      </w:r>
      <w:r>
        <w:t xml:space="preserve"> Счета, ценные бумаги, права, обязательства и проекты ведутся в разных системах.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3.</w:t>
      </w:r>
      <w:r>
        <w:t xml:space="preserve"> «Именной фонд» может быть названием без понятной юридической оболочки.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4.</w:t>
      </w:r>
      <w:r>
        <w:t xml:space="preserve"> Пользовательский «личный банк» легко ошибочно принять за кредитную организацию.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5.</w:t>
      </w:r>
      <w:r>
        <w:t xml:space="preserve"> Исполнитель, распорядитель капитала и проверяющий результата могут совпасть.</w:t>
      </w:r>
    </w:p>
    <w:p>
      <w:pPr>
        <w:spacing w:after="160" w:line="280" w:lineRule="auto"/>
        <w:jc w:val="left"/>
        <w:numPr>
          <w:ilvl w:val="0"/>
          <w:numId w:val="61"/>
        </w:numPr>
      </w:pPr>
      <w:r>
        <w:rPr>
          <w:rFonts w:ascii="Calibri" w:hAnsi="Calibri" w:eastAsia="Calibri"/>
          <w:b/>
          <w:color w:val="172033"/>
          <w:sz w:val="22"/>
        </w:rPr>
        <w:t>Разрыв 6.</w:t>
      </w:r>
      <w:r>
        <w:t xml:space="preserve"> После смены поколений теряются основания решений, права, версии и знания.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Ответ системы</w:t>
        <w:br/>
      </w:r>
      <w:r>
        <w:rPr>
          <w:rFonts w:ascii="Calibri" w:hAnsi="Calibri" w:eastAsia="Calibri"/>
          <w:color w:val="172033"/>
          <w:sz w:val="21"/>
        </w:rPr>
        <w:t>Федеративный слой мандатов и раздельного капитала: каждый фонд сохраняет собственную оболочку и счета, а общая архитектура связывает права, решения, проекты, доказательства и Архив наследия.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04  /  КАРТА ТЕРМИНОВ</w:t>
      </w:r>
    </w:p>
    <w:p>
      <w:pPr>
        <w:pStyle w:val="Heading1"/>
        <w:keepLines/>
        <w:widowControl/>
        <w:keepNext/>
      </w:pPr>
      <w:r>
        <w:t>Пять понятий нельзя смешивать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80"/>
        <w:gridCol w:w="4160"/>
        <w:gridCol w:w="3320"/>
      </w:tblGrid>
      <w:tr>
        <w:trPr>
          <w:tblHeader w:val="true"/>
        </w:trPr>
        <w:tc>
          <w:tcPr>
            <w:tcW w:type="dxa" w:w="18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Понятие</w:t>
            </w:r>
          </w:p>
        </w:tc>
        <w:tc>
          <w:tcPr>
            <w:tcW w:type="dxa" w:w="4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Содержание</w:t>
            </w:r>
          </w:p>
        </w:tc>
        <w:tc>
          <w:tcPr>
            <w:tcW w:type="dxa" w:w="33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Жёсткая граница</w:t>
            </w:r>
          </w:p>
        </w:tc>
      </w:tr>
      <w:tr>
        <w:tc>
          <w:tcPr>
            <w:tcW w:type="dxa" w:w="1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Личный финансовый контур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Цели, счета, активы, обязательства, страховые и инвестиционные продукты человека или семьи.</w:t>
            </w:r>
          </w:p>
        </w:tc>
        <w:tc>
          <w:tcPr>
            <w:tcW w:type="dxa" w:w="3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юридическое лицо и не банк.</w:t>
            </w:r>
          </w:p>
        </w:tc>
      </w:tr>
      <w:tr>
        <w:tc>
          <w:tcPr>
            <w:tcW w:type="dxa" w:w="1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Личный фонд</w:t>
            </w:r>
          </w:p>
        </w:tc>
        <w:tc>
          <w:tcPr>
            <w:tcW w:type="dxa" w:w="4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Отдельная правовая оболочка для переданного имущества, целей и прав выгодоприобретателей.</w:t>
            </w:r>
          </w:p>
        </w:tc>
        <w:tc>
          <w:tcPr>
            <w:tcW w:type="dxa" w:w="3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Конструкция подтверждается для конкретной юрисдикции.</w:t>
            </w:r>
          </w:p>
        </w:tc>
      </w:tr>
      <w:tr>
        <w:tc>
          <w:tcPr>
            <w:tcW w:type="dxa" w:w="1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Именной фонд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Фонд или программа, связанная с именем человека, семьи, территории, института или идеи.</w:t>
            </w:r>
          </w:p>
        </w:tc>
        <w:tc>
          <w:tcPr>
            <w:tcW w:type="dxa" w:w="3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Имя не заменяет правовую оболочку.</w:t>
            </w:r>
          </w:p>
        </w:tc>
      </w:tr>
      <w:tr>
        <w:tc>
          <w:tcPr>
            <w:tcW w:type="dxa" w:w="1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Банк / кастодиан / управляющий</w:t>
            </w:r>
          </w:p>
        </w:tc>
        <w:tc>
          <w:tcPr>
            <w:tcW w:type="dxa" w:w="4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Лицензированные организации для счетов, расчётов, хранения и управления активами.</w:t>
            </w:r>
          </w:p>
        </w:tc>
        <w:tc>
          <w:tcPr>
            <w:tcW w:type="dxa" w:w="3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Действуют только в пределах разрешённой деятельности.</w:t>
            </w:r>
          </w:p>
        </w:tc>
      </w:tr>
      <w:tr>
        <w:tc>
          <w:tcPr>
            <w:tcW w:type="dxa" w:w="1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«Личный банк»</w:t>
            </w:r>
          </w:p>
        </w:tc>
        <w:tc>
          <w:tcPr>
            <w:tcW w:type="dxa" w:w="4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Кабинет капитала: обзор, бюджеты, лимиты, прогнозы и инструкции провайдерам.</w:t>
            </w:r>
          </w:p>
        </w:tc>
        <w:tc>
          <w:tcPr>
            <w:tcW w:type="dxa" w:w="3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принимает вклады, не кредитует и не хранит клиентские активы от своего имени.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Публичное название</w:t>
        <w:br/>
      </w:r>
      <w:r>
        <w:rPr>
          <w:rFonts w:ascii="Calibri" w:hAnsi="Calibri" w:eastAsia="Calibri"/>
          <w:color w:val="172033"/>
          <w:sz w:val="21"/>
        </w:rPr>
        <w:t>«Личный банк» — только проектная метафора. Публичное наименование и реклама требуют отдельной правовой проверки; предпочтительны «Личное казначейство» или «Кабинет капитала».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05  /  ПРИНЦИПЫ И ИНВАРИАНТЫ</w:t>
      </w:r>
    </w:p>
    <w:p>
      <w:pPr>
        <w:pStyle w:val="Heading1"/>
        <w:keepLines/>
        <w:widowControl/>
        <w:keepNext/>
      </w:pPr>
      <w:r>
        <w:t>Система начинается с запретов, а не с функций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1. Обособленность. </w:t>
      </w:r>
      <w:r>
        <w:t>активы, обязательства и решения разных фондов не смешиваются.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2. Законная оболочка. </w:t>
      </w:r>
      <w:r>
        <w:t>права возникают из закона, учредительных документов и договоров, а не из интерфейса.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3. Лицензированный контур. </w:t>
      </w:r>
      <w:r>
        <w:t>счета, платежи, хранение и инвестиционные услуги выполняют уполномоченные организации.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4. Человек принимает решение. </w:t>
      </w:r>
      <w:r>
        <w:t>ЭКВИЛИБРИУМ рассчитывает сценарии, но не получает права перевода средств.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5. Разделение ролей. </w:t>
      </w:r>
      <w:r>
        <w:t>инициатор, утверждающий, плательщик, исполнитель и валидатор не образуют один неконтролируемый центр.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6. Доказательство до транша. </w:t>
      </w:r>
      <w:r>
        <w:t>условия результата и документы приёмки утверждаются заранее.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7. Прослеживаемость. </w:t>
      </w:r>
      <w:r>
        <w:t>каждое существенное решение имеет автора, полномочие, дату, версию и основание.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8. Преемственность. </w:t>
      </w:r>
      <w:r>
        <w:t>Архив наследия сохраняет контекст, права, доказательства и уроки для следующего цикла.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Инвариант</w:t>
        <w:br/>
      </w:r>
      <w:r>
        <w:rPr>
          <w:rFonts w:ascii="Calibri" w:hAnsi="Calibri" w:eastAsia="Calibri"/>
          <w:color w:val="172033"/>
          <w:sz w:val="21"/>
        </w:rPr>
        <w:t>Внутренний регистр — управленческое отражение. Юридический документ определяет право; выписка банка или кастодиана подтверждает актив; независимый документ подтверждает результат.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06  /  МЕСТО В ОБЩЕЙ ЭКОСИСТЕМЕ</w:t>
      </w:r>
    </w:p>
    <w:p>
      <w:pPr>
        <w:pStyle w:val="Heading1"/>
        <w:keepLines/>
        <w:widowControl/>
        <w:keepNext/>
      </w:pPr>
      <w:r>
        <w:t>Система фондов связывает прогноз с законным решением о капитале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20"/>
        <w:gridCol w:w="4430"/>
        <w:gridCol w:w="3210"/>
      </w:tblGrid>
      <w:tr>
        <w:trPr>
          <w:tblHeader w:val="true"/>
        </w:trPr>
        <w:tc>
          <w:tcPr>
            <w:tcW w:type="dxa" w:w="17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Контур</w:t>
            </w:r>
          </w:p>
        </w:tc>
        <w:tc>
          <w:tcPr>
            <w:tcW w:type="dxa" w:w="44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Функция</w:t>
            </w:r>
          </w:p>
        </w:tc>
        <w:tc>
          <w:tcPr>
            <w:tcW w:type="dxa" w:w="32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Граница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ЭКВИЛИБРИУМ</w:t>
            </w:r>
          </w:p>
        </w:tc>
        <w:tc>
          <w:tcPr>
            <w:tcW w:type="dxa" w:w="44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Сигналы, сценарии, риск-индикаторы, лимиты и прогноз.</w:t>
            </w:r>
          </w:p>
        </w:tc>
        <w:tc>
          <w:tcPr>
            <w:tcW w:type="dxa" w:w="3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распоряжается активами.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Система фондов</w:t>
            </w:r>
          </w:p>
        </w:tc>
        <w:tc>
          <w:tcPr>
            <w:tcW w:type="dxa" w:w="44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Мандаты, права, ограничения, источники капитала и решения.</w:t>
            </w:r>
          </w:p>
        </w:tc>
        <w:tc>
          <w:tcPr>
            <w:tcW w:type="dxa" w:w="32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принимает клиентские деньги на свой баланс.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ECO-PPA</w:t>
            </w:r>
          </w:p>
        </w:tc>
        <w:tc>
          <w:tcPr>
            <w:tcW w:type="dxa" w:w="44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Задача, технология, кооперация, капитал, контракт, данные и результат.</w:t>
            </w:r>
          </w:p>
        </w:tc>
        <w:tc>
          <w:tcPr>
            <w:tcW w:type="dxa" w:w="3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Проектно-ресурсная рамка; не исполнитель.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СПЕЦЗАЩИТА</w:t>
            </w:r>
          </w:p>
        </w:tc>
        <w:tc>
          <w:tcPr>
            <w:tcW w:type="dxa" w:w="44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Кооперационная сборка, исполнение, устойчивость и логистика.</w:t>
            </w:r>
          </w:p>
        </w:tc>
        <w:tc>
          <w:tcPr>
            <w:tcW w:type="dxa" w:w="32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подтверждает собственный результат единолично.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СФЕРА</w:t>
            </w:r>
          </w:p>
        </w:tc>
        <w:tc>
          <w:tcPr>
            <w:tcW w:type="dxa" w:w="44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Инициативы, участники, знания, обратная связь и масштабирование.</w:t>
            </w:r>
          </w:p>
        </w:tc>
        <w:tc>
          <w:tcPr>
            <w:tcW w:type="dxa" w:w="32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хранит активы и не является регулятором.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Архив наследия</w:t>
            </w:r>
          </w:p>
        </w:tc>
        <w:tc>
          <w:tcPr>
            <w:tcW w:type="dxa" w:w="44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Происхождение, версии, решения, доказательства и преемственность.</w:t>
            </w:r>
          </w:p>
        </w:tc>
        <w:tc>
          <w:tcPr>
            <w:tcW w:type="dxa" w:w="32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 хранит пароли, банковские ключи и избыточные персональные данные.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СИГНАЛ → МАНДАТ → КАПИТАЛ → ECO-PPA → ИСПОЛНЕНИЕ → ПРОВЕРКА → АРХИВ → НОВЫЙ ЦИКЛ</w:t>
      </w:r>
    </w:p>
    <w:p>
      <w:r>
        <w:br w:type="page"/>
      </w:r>
    </w:p>
    <w:p>
      <w:pPr>
        <w:pStyle w:val="Eyebrow"/>
        <w:keepLines/>
        <w:widowControl/>
        <w:keepNext/>
      </w:pPr>
      <w:r>
        <w:t>07  /  ШЕСТЬ СЛОЁВ АРХИТЕКТУРЫ</w:t>
      </w:r>
    </w:p>
    <w:p>
      <w:pPr>
        <w:pStyle w:val="Heading1"/>
        <w:keepLines/>
        <w:widowControl/>
        <w:keepNext/>
      </w:pPr>
      <w:r>
        <w:t>Каждый фонд — узел из шести обязательных слоёв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1. Воля, цель и права. </w:t>
      </w:r>
      <w:r>
        <w:t>учредитель или донор, миссия, выгодоприобретатели, допустимое и запрещённое использование.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2. Правовая оболочка и управление. </w:t>
      </w:r>
      <w:r>
        <w:t>организация или программа, устав, срок, органы, полномочия, конфликты, замещение и прекращение.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3. Активы и обязательства. </w:t>
      </w:r>
      <w:r>
        <w:t>источник имущества, правовой владелец, счета, инструменты, ограничения, резервы и ликвидность.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4. Лицензированная инфраструктура. </w:t>
      </w:r>
      <w:r>
        <w:t>банк, кастодиан, депозитарий, брокер, управляющий и платёжный провайдер — каждый в пределах полномочий.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5. Проектный контур. </w:t>
      </w:r>
      <w:r>
        <w:t>ECO-PPA, договоры, бюджеты, этапы, транши, исполнители и независимая проверка.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6. Доказательство и наследие. </w:t>
      </w:r>
      <w:r>
        <w:t>решения, выписки, акты, измерения, отчёты, версии и архивные пакеты.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Сквозные функции</w:t>
        <w:br/>
      </w:r>
      <w:r>
        <w:rPr>
          <w:rFonts w:ascii="Calibri" w:hAnsi="Calibri" w:eastAsia="Calibri"/>
          <w:color w:val="172033"/>
          <w:sz w:val="21"/>
        </w:rPr>
        <w:t>Комплаенс, налоги, защита данных, кибербезопасность, аудит и аналитика ЭКВИЛИБРИУМ проходят через все шесть слоёв.</w:t>
      </w: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ЦЕЛЬ + ОБОЛОЧКА + БЕНЕФИЦИАРЫ + АКТИВЫ + ПРАВИЛА РЕШЕНИЙ + ЛИЦЕНЗИРОВАННАЯ ИНФРАСТРУКТУРА + ДОКАЗАТЕЛЬСТВО + АРХИВ</w:t>
      </w:r>
    </w:p>
    <w:p>
      <w:r>
        <w:br w:type="page"/>
      </w:r>
    </w:p>
    <w:p>
      <w:pPr>
        <w:pStyle w:val="Eyebrow"/>
        <w:keepLines/>
        <w:widowControl/>
        <w:keepNext/>
      </w:pPr>
      <w:r>
        <w:t>08  /  АРХЕТИПЫ ФОНДОВ</w:t>
      </w:r>
    </w:p>
    <w:p>
      <w:pPr>
        <w:pStyle w:val="Heading1"/>
        <w:keepLines/>
        <w:widowControl/>
        <w:keepNext/>
      </w:pPr>
      <w:r>
        <w:t>Тип фонда определяется задачей, а не красивым названием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30"/>
        <w:gridCol w:w="4070"/>
        <w:gridCol w:w="3160"/>
      </w:tblGrid>
      <w:tr>
        <w:trPr>
          <w:tblHeader w:val="true"/>
        </w:trPr>
        <w:tc>
          <w:tcPr>
            <w:tcW w:type="dxa" w:w="21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Архетип</w:t>
            </w:r>
          </w:p>
        </w:tc>
        <w:tc>
          <w:tcPr>
            <w:tcW w:type="dxa" w:w="40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Назначение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Ключевой контроль</w:t>
            </w:r>
          </w:p>
        </w:tc>
      </w:tr>
      <w:tr>
        <w:tc>
          <w:tcPr>
            <w:tcW w:type="dxa" w:w="21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Личный / семейный</w:t>
            </w:r>
          </w:p>
        </w:tc>
        <w:tc>
          <w:tcPr>
            <w:tcW w:type="dxa" w:w="40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Сохранение, использование и преемственность капитала.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Права выгодоприобретателей и замещение органов.</w:t>
            </w:r>
          </w:p>
        </w:tc>
      </w:tr>
      <w:tr>
        <w:tc>
          <w:tcPr>
            <w:tcW w:type="dxa" w:w="21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Именной</w:t>
            </w:r>
          </w:p>
        </w:tc>
        <w:tc>
          <w:tcPr>
            <w:tcW w:type="dxa" w:w="40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Поддержка миссии, связанной с именем, территорией или идеей.</w:t>
            </w:r>
          </w:p>
        </w:tc>
        <w:tc>
          <w:tcPr>
            <w:tcW w:type="dxa" w:w="3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Имя не подменяет юридический статус.</w:t>
            </w:r>
          </w:p>
        </w:tc>
      </w:tr>
      <w:tr>
        <w:tc>
          <w:tcPr>
            <w:tcW w:type="dxa" w:w="21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Эндаументный</w:t>
            </w:r>
          </w:p>
        </w:tc>
        <w:tc>
          <w:tcPr>
            <w:tcW w:type="dxa" w:w="40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Долгосрочное финансирование миссии через целевой капитал.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Сохранность базового капитала и политика расходования.</w:t>
            </w:r>
          </w:p>
        </w:tc>
      </w:tr>
      <w:tr>
        <w:tc>
          <w:tcPr>
            <w:tcW w:type="dxa" w:w="21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Благотворительный / грантовый</w:t>
            </w:r>
          </w:p>
        </w:tc>
        <w:tc>
          <w:tcPr>
            <w:tcW w:type="dxa" w:w="40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Финансирование получателей и общественно полезных программ.</w:t>
            </w:r>
          </w:p>
        </w:tc>
        <w:tc>
          <w:tcPr>
            <w:tcW w:type="dxa" w:w="3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Критерии отбора и целевое использование.</w:t>
            </w:r>
          </w:p>
        </w:tc>
      </w:tr>
      <w:tr>
        <w:tc>
          <w:tcPr>
            <w:tcW w:type="dxa" w:w="21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Проектный / программный</w:t>
            </w:r>
          </w:p>
        </w:tc>
        <w:tc>
          <w:tcPr>
            <w:tcW w:type="dxa" w:w="40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Обособленный капитал под результат ECO-PPA.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Договор, этапы, транши и приёмка.</w:t>
            </w:r>
          </w:p>
        </w:tc>
      </w:tr>
      <w:tr>
        <w:tc>
          <w:tcPr>
            <w:tcW w:type="dxa" w:w="21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Резервный</w:t>
            </w:r>
          </w:p>
        </w:tc>
        <w:tc>
          <w:tcPr>
            <w:tcW w:type="dxa" w:w="40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Ликвидность и непрерывность обязательств.</w:t>
            </w:r>
          </w:p>
        </w:tc>
        <w:tc>
          <w:tcPr>
            <w:tcW w:type="dxa" w:w="3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Условия использования и восстановления резерва.</w:t>
            </w:r>
          </w:p>
        </w:tc>
      </w:tr>
      <w:tr>
        <w:tc>
          <w:tcPr>
            <w:tcW w:type="dxa" w:w="21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Развития / соинвестирования</w:t>
            </w:r>
          </w:p>
        </w:tc>
        <w:tc>
          <w:tcPr>
            <w:tcW w:type="dxa" w:w="40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Технологии, предпринимательство и кооперация.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Риск, оценка и отсутствие обещанной доходности.</w:t>
            </w:r>
          </w:p>
        </w:tc>
      </w:tr>
      <w:tr>
        <w:tc>
          <w:tcPr>
            <w:tcW w:type="dxa" w:w="21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«Архив наследия»</w:t>
            </w:r>
          </w:p>
        </w:tc>
        <w:tc>
          <w:tcPr>
            <w:tcW w:type="dxa" w:w="40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Сохранение, оцифровка, исследование и доступ.</w:t>
            </w:r>
          </w:p>
        </w:tc>
        <w:tc>
          <w:tcPr>
            <w:tcW w:type="dxa" w:w="3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Происхождение, права доступа и долговременная сохранность.</w:t>
            </w:r>
          </w:p>
        </w:tc>
      </w:tr>
    </w:tbl>
    <w:p>
      <w:pPr>
        <w:spacing w:after="20"/>
      </w:pPr>
    </w:p>
    <w:p>
      <w:pPr>
        <w:pStyle w:val="Source"/>
        <w:spacing w:before="80"/>
      </w:pPr>
      <w:r>
        <w:t>Это функциональная типология. Юридическая форма выбирается отдельно для каждой юрисдикции, цели, актива и состава участников.</w:t>
      </w:r>
    </w:p>
    <w:p>
      <w:r>
        <w:br w:type="page"/>
      </w:r>
    </w:p>
    <w:p>
      <w:pPr>
        <w:pStyle w:val="Eyebrow"/>
        <w:keepLines/>
        <w:widowControl/>
        <w:keepNext/>
      </w:pPr>
      <w:r>
        <w:t>09  /  ЛИЧНЫЙ ФИНАНСОВЫЙ КОНТУР</w:t>
      </w:r>
    </w:p>
    <w:p>
      <w:pPr>
        <w:pStyle w:val="Heading1"/>
        <w:keepLines/>
        <w:widowControl/>
        <w:keepNext/>
      </w:pPr>
      <w:r>
        <w:t>До учреждения фонда нужен честный личный баланс</w:t>
      </w:r>
    </w:p>
    <w:p>
      <w:pPr>
        <w:pStyle w:val="Lead"/>
        <w:spacing w:after="240"/>
      </w:pPr>
      <w:r>
        <w:t>Фонд не исправляет неясную собственность, неразделённые обязательства или отсутствие семейных правил.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Цели. </w:t>
      </w:r>
      <w:r>
        <w:t>жизненные расходы, образование, здоровье, жильё, предпринимательство, благотворительность и наследие.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Активы. </w:t>
      </w:r>
      <w:r>
        <w:t>счета, вклады, ценные бумаги, доли бизнеса, недвижимость, права требования и интеллектуальные права.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Обязательства. </w:t>
      </w:r>
      <w:r>
        <w:t>кредиты, гарантии, налоги, содержание имущества, договорные и семейные обязательства.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Резервы. </w:t>
      </w:r>
      <w:r>
        <w:t>операционный, чрезвычайный, налоговый, проектный и наследственный.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Права. </w:t>
      </w:r>
      <w:r>
        <w:t>собственники, совместная собственность, доверенности, завещание, брачный и корпоративные документы.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Провайдеры. </w:t>
      </w:r>
      <w:r>
        <w:t>банки, брокеры, страховщики, управляющие, нотариусы, аудиторы и налоговые консультанты.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Критерий перехода к фонду</w:t>
        <w:br/>
      </w:r>
      <w:r>
        <w:rPr>
          <w:rFonts w:ascii="Calibri" w:hAnsi="Calibri" w:eastAsia="Calibri"/>
          <w:color w:val="172033"/>
          <w:sz w:val="21"/>
        </w:rPr>
        <w:t>Правовая оболочка оправдана, если она решает задачу управления, защиты миссии, преемственности или обособления, которую нельзя надёжно решить только договорами и личными счетами.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Граница</w:t>
        <w:br/>
      </w:r>
      <w:r>
        <w:rPr>
          <w:rFonts w:ascii="Calibri" w:hAnsi="Calibri" w:eastAsia="Calibri"/>
          <w:color w:val="172033"/>
          <w:sz w:val="21"/>
        </w:rPr>
        <w:t>Личный финансовый контур — управленческая модель человека или семьи. Он не является банком, фондом или системой гарантирования.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10  /  ЛИЧНЫЙ ФОНД КАК ПРАВОВАЯ ОБОЛОЧКА</w:t>
      </w:r>
    </w:p>
    <w:p>
      <w:pPr>
        <w:pStyle w:val="Heading1"/>
        <w:keepLines/>
        <w:widowControl/>
        <w:keepNext/>
      </w:pPr>
      <w:r>
        <w:t>В России личный фонд — не счёт, а отдельная некоммерческая организация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Проверенный правовой ориентир</w:t>
        <w:br/>
      </w:r>
      <w:r>
        <w:rPr>
          <w:rFonts w:ascii="Calibri" w:hAnsi="Calibri" w:eastAsia="Calibri"/>
          <w:color w:val="172033"/>
          <w:sz w:val="21"/>
        </w:rPr>
        <w:t>ФНС описывает личный фонд как особую форму НКО для управления имуществом учредителя в интересах указанных лиц; учредительным документом является устав. Конкретные условия учреждения, состав имущества, управление, права выгодоприобретателей и налоги проверяются на дату сделки.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Стартовый порог. </w:t>
      </w:r>
      <w:r>
        <w:t>на дату подготовки ГК РФ предусматривает передачу учредителем имущества рыночной стоимостью не менее 100 млн рублей при создании личного фонда, кроме наследственного фонда; оценка и актуальность нормы подтверждаются перед учреждением.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Переданное имущество. </w:t>
      </w:r>
      <w:r>
        <w:t>должно иметь установленного владельца, стоимость, происхождение и правовой режим; после передачи действует режим выбранной оболочки.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Последующие поступления. </w:t>
      </w:r>
      <w:r>
        <w:t>действующее право не следует описывать прежним общим запретом на безвозмездные передачи от третьих лиц; основание, ограничения и налоговые последствия каждого поступления проверяются отдельно.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Управление. </w:t>
      </w:r>
      <w:r>
        <w:t>устав и условия управления должны описывать органы, компетенцию, запреты, замещение и порядок изменения документов.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Выгодоприобретатели. </w:t>
      </w:r>
      <w:r>
        <w:t>фиксируются не только личности или классы, но и характер прав, условия, сроки, порядок информирования и обжалования.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Банк и активы. </w:t>
      </w:r>
      <w:r>
        <w:t>счета ведёт банк; ценные бумаги учитывает уполномоченный участник; инвестиционная услуга оказывается в пределах лицензии.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Преемственность. </w:t>
      </w:r>
      <w:r>
        <w:t>сценарии смерти, недееспособности, конфликта, отсутствия органа и прекращения фонда моделируются заранее.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Что не следует обещать</w:t>
        <w:br/>
      </w:r>
      <w:r>
        <w:rPr>
          <w:rFonts w:ascii="Calibri" w:hAnsi="Calibri" w:eastAsia="Calibri"/>
          <w:color w:val="172033"/>
          <w:sz w:val="21"/>
        </w:rPr>
        <w:t>Автоматическую защиту от кредиторов, налоговую нейтральность, гарантированную сохранность имущества, полную конфиденциальность или универсальную применимость одной конструкции.</w:t>
      </w:r>
    </w:p>
    <w:p>
      <w:pPr>
        <w:pStyle w:val="Source"/>
        <w:spacing w:before="80"/>
      </w:pPr>
      <w:r>
        <w:t>Основные источники: Федеральный закон № 287-ФЗ; ГК РФ; материалы ФНС. Этот раздел не является юридическим заключением.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11  /  ИМЕННОЙ ФОНД</w:t>
      </w:r>
    </w:p>
    <w:p>
      <w:pPr>
        <w:pStyle w:val="Heading1"/>
        <w:keepLines/>
        <w:widowControl/>
        <w:keepNext/>
      </w:pPr>
      <w:r>
        <w:t>Имя создаёт миссию; документы создают права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Отдельная организация. </w:t>
      </w:r>
      <w:r>
        <w:t>имя включается в наименование законно учреждённого фонда или иной допустимой НКО.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Программа внутри НКО. </w:t>
      </w:r>
      <w:r>
        <w:t>именная стипендия, грантовая линия, музейная, научная, культурная или социальная программа ведётся в отдельной аналитике.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Целевой капитал. </w:t>
      </w:r>
      <w:r>
        <w:t>имя и миссия могут быть связаны с отдельным целевым капиталом НКО при соблюдении профильного закона.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Личный фонд. </w:t>
      </w:r>
      <w:r>
        <w:t>именная миссия может быть закреплена в целях и правилах личного фонда, если это допускает выбранная конструкция.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Договорная программа. </w:t>
      </w:r>
      <w:r>
        <w:t>для пилота возможен отдельный бюджет и правила в существующей организации без заявления о создании нового юридического лица.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Обязательная проверка имени</w:t>
        <w:br/>
      </w:r>
      <w:r>
        <w:rPr>
          <w:rFonts w:ascii="Calibri" w:hAnsi="Calibri" w:eastAsia="Calibri"/>
          <w:color w:val="172033"/>
          <w:sz w:val="21"/>
        </w:rPr>
        <w:t>Согласие и права на имя, репутационные ограничения, товарные знаки, персональные данные, правила использования после смерти и порядок отзыва должны быть закреплены отдельно.</w:t>
      </w: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ИМЯ + МИССИЯ + ПРАВОВАЯ ОБОЛОЧКА + ПРАВИЛА ИСПОЛЬЗОВАНИЯ + ОТЧЁТНОСТЬ + ПРЕЕМСТВЕННОСТЬ</w:t>
      </w:r>
    </w:p>
    <w:p>
      <w:r>
        <w:br w:type="page"/>
      </w:r>
    </w:p>
    <w:p>
      <w:pPr>
        <w:pStyle w:val="Eyebrow"/>
        <w:keepLines/>
        <w:widowControl/>
        <w:keepNext/>
      </w:pPr>
      <w:r>
        <w:t>12  /  ЭНДАУМЕНТ, БЛАГОТВОРИТЕЛЬНОСТЬ И ПРОЕКТЫ</w:t>
      </w:r>
    </w:p>
    <w:p>
      <w:pPr>
        <w:pStyle w:val="Heading1"/>
        <w:keepLines/>
        <w:widowControl/>
        <w:keepNext/>
      </w:pPr>
      <w:r>
        <w:t>Одна миссия может требовать разных юридических и финансовых контуров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30"/>
        <w:gridCol w:w="3890"/>
        <w:gridCol w:w="3540"/>
      </w:tblGrid>
      <w:tr>
        <w:trPr>
          <w:tblHeader w:val="true"/>
        </w:trPr>
        <w:tc>
          <w:tcPr>
            <w:tcW w:type="dxa" w:w="19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Контур</w:t>
            </w:r>
          </w:p>
        </w:tc>
        <w:tc>
          <w:tcPr>
            <w:tcW w:type="dxa" w:w="389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Когда уместен</w:t>
            </w:r>
          </w:p>
        </w:tc>
        <w:tc>
          <w:tcPr>
            <w:tcW w:type="dxa" w:w="35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Нельзя подменять</w:t>
            </w:r>
          </w:p>
        </w:tc>
      </w:tr>
      <w:tr>
        <w:tc>
          <w:tcPr>
            <w:tcW w:type="dxa" w:w="1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Целевой капитал НКО</w:t>
            </w:r>
          </w:p>
        </w:tc>
        <w:tc>
          <w:tcPr>
            <w:tcW w:type="dxa" w:w="3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Долгосрочное финансирование определённой некоммерческой миссии.</w:t>
            </w:r>
          </w:p>
        </w:tc>
        <w:tc>
          <w:tcPr>
            <w:tcW w:type="dxa" w:w="35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Обычный операционный счёт или инвестиционный продукт без требований № 275-ФЗ.</w:t>
            </w:r>
          </w:p>
        </w:tc>
      </w:tr>
      <w:tr>
        <w:tc>
          <w:tcPr>
            <w:tcW w:type="dxa" w:w="1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Благотворительная программа</w:t>
            </w:r>
          </w:p>
        </w:tc>
        <w:tc>
          <w:tcPr>
            <w:tcW w:type="dxa" w:w="38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Безвозмездная помощь и общественно полезная деятельность.</w:t>
            </w:r>
          </w:p>
        </w:tc>
        <w:tc>
          <w:tcPr>
            <w:tcW w:type="dxa" w:w="35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Коммерческое инвестирование, публичный вклад или скрытое вознаграждение донору.</w:t>
            </w:r>
          </w:p>
        </w:tc>
      </w:tr>
      <w:tr>
        <w:tc>
          <w:tcPr>
            <w:tcW w:type="dxa" w:w="1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Проектный фонд ECO-PPA</w:t>
            </w:r>
          </w:p>
        </w:tc>
        <w:tc>
          <w:tcPr>
            <w:tcW w:type="dxa" w:w="3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Капитал под измеримый результат, контракт, этапы и проверку.</w:t>
            </w:r>
          </w:p>
        </w:tc>
        <w:tc>
          <w:tcPr>
            <w:tcW w:type="dxa" w:w="35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Банк, самостоятельный вид договора или гарантию результата.</w:t>
            </w:r>
          </w:p>
        </w:tc>
      </w:tr>
      <w:tr>
        <w:tc>
          <w:tcPr>
            <w:tcW w:type="dxa" w:w="19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Резерв</w:t>
            </w:r>
          </w:p>
        </w:tc>
        <w:tc>
          <w:tcPr>
            <w:tcW w:type="dxa" w:w="38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Покрытие определённого риска и непрерывность обязательств.</w:t>
            </w:r>
          </w:p>
        </w:tc>
        <w:tc>
          <w:tcPr>
            <w:tcW w:type="dxa" w:w="35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Свободный «кошелёк» без лимитов и правил восстановления.</w:t>
            </w:r>
          </w:p>
        </w:tc>
      </w:tr>
      <w:tr>
        <w:tc>
          <w:tcPr>
            <w:tcW w:type="dxa" w:w="19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Фонд развития</w:t>
            </w:r>
          </w:p>
        </w:tc>
        <w:tc>
          <w:tcPr>
            <w:tcW w:type="dxa" w:w="38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Финансирование технологий, бизнеса или кооперации через допустимую оболочку.</w:t>
            </w:r>
          </w:p>
        </w:tc>
        <w:tc>
          <w:tcPr>
            <w:tcW w:type="dxa" w:w="35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Обещанную доходность и нелицензированное управление чужими активами.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Проектное правило</w:t>
        <w:br/>
      </w:r>
      <w:r>
        <w:rPr>
          <w:rFonts w:ascii="Calibri" w:hAnsi="Calibri" w:eastAsia="Calibri"/>
          <w:color w:val="172033"/>
          <w:sz w:val="21"/>
        </w:rPr>
        <w:t>Если экономическая функция стала инвестиционной, банковской, брокерской, платёжной или доверительно-управляющей, название «фонд» не освобождает от соответствующего режима и допуска.</w:t>
      </w:r>
    </w:p>
    <w:p>
      <w:pPr>
        <w:pStyle w:val="Source"/>
        <w:spacing w:before="80"/>
      </w:pPr>
      <w:r>
        <w:t>Ориентиры: федеральные законы № 7-ФЗ, № 135-ФЗ и № 275-ФЗ; квалификация каждой модели проводится отдельно.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13  /  ПАСПОРТ ФОНДА</w:t>
      </w:r>
    </w:p>
    <w:p>
      <w:pPr>
        <w:pStyle w:val="Heading1"/>
        <w:keepLines/>
        <w:widowControl/>
        <w:keepNext/>
      </w:pPr>
      <w:r>
        <w:t>Пятнадцать полей превращают идею в управляемый узел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7310"/>
      </w:tblGrid>
      <w:tr>
        <w:trPr>
          <w:tblHeader w:val="true"/>
        </w:trPr>
        <w:tc>
          <w:tcPr>
            <w:tcW w:type="dxa" w:w="2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Блок</w:t>
            </w:r>
          </w:p>
        </w:tc>
        <w:tc>
          <w:tcPr>
            <w:tcW w:type="dxa" w:w="73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Обязательное содержание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Идентичность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ID, название, статус, юрисдикция, версия и дата.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Миссия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цель, срок, допустимое и запрещённое использование.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Право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оболочка, учредительные документы, собственник активов и ограничения.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Участники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учредители, доноры, выгодоприобретатели, органы, контролирующие лица.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Управление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компетенция, кворум, вето, замещение, конфликты и связанные сделки.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Инфраструктура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банк, кастодиан, управляющий, договоры, лицензии и план замены.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Политики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распределение, ликвидность, риск, инвестиции, расходы и резервы.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Проекты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критерии допуска ECO-PPA, бюджет, транши, результат и верификация.</w:t>
            </w:r>
          </w:p>
        </w:tc>
      </w:tr>
      <w:tr>
        <w:tc>
          <w:tcPr>
            <w:tcW w:type="dxa" w:w="20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Контроль</w:t>
            </w:r>
          </w:p>
        </w:tc>
        <w:tc>
          <w:tcPr>
            <w:tcW w:type="dxa" w:w="731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отчётность, аудит, жалобы, инциденты, реорганизация и прекращение.</w:t>
            </w:r>
          </w:p>
        </w:tc>
      </w:tr>
      <w:tr>
        <w:tc>
          <w:tcPr>
            <w:tcW w:type="dxa" w:w="20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Данные и архив</w:t>
            </w:r>
          </w:p>
        </w:tc>
        <w:tc>
          <w:tcPr>
            <w:tcW w:type="dxa" w:w="731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доступ, минимизация, сроки хранения, версии и архивный пакет.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Статус паспорта</w:t>
        <w:br/>
      </w:r>
      <w:r>
        <w:rPr>
          <w:rFonts w:ascii="Calibri" w:hAnsi="Calibri" w:eastAsia="Calibri"/>
          <w:color w:val="172033"/>
          <w:sz w:val="21"/>
        </w:rPr>
        <w:t>Паспорт не заменяет устав, договор, выписку или банковский документ. Он связывает официальные источники и фиксирует, какая версия была основанием решения.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14  /  БАНК, КАСТОДИАН И УПРАВЛЯЮЩИЙ</w:t>
      </w:r>
    </w:p>
    <w:p>
      <w:pPr>
        <w:pStyle w:val="Heading1"/>
        <w:keepLines/>
        <w:widowControl/>
        <w:keepNext/>
      </w:pPr>
      <w:r>
        <w:t>Фонд задаёт мандат; лицензированные провайдеры исполняют регулируемые функции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50"/>
        <w:gridCol w:w="3880"/>
        <w:gridCol w:w="3330"/>
      </w:tblGrid>
      <w:tr>
        <w:trPr>
          <w:tblHeader w:val="true"/>
        </w:trPr>
        <w:tc>
          <w:tcPr>
            <w:tcW w:type="dxa" w:w="21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Функция</w:t>
            </w:r>
          </w:p>
        </w:tc>
        <w:tc>
          <w:tcPr>
            <w:tcW w:type="dxa" w:w="38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Источник истины</w:t>
            </w:r>
          </w:p>
        </w:tc>
        <w:tc>
          <w:tcPr>
            <w:tcW w:type="dxa" w:w="333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Контроль системы</w:t>
            </w:r>
          </w:p>
        </w:tc>
      </w:tr>
      <w:tr>
        <w:tc>
          <w:tcPr>
            <w:tcW w:type="dxa" w:w="2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Банковский счёт и платёж</w:t>
            </w:r>
          </w:p>
        </w:tc>
        <w:tc>
          <w:tcPr>
            <w:tcW w:type="dxa" w:w="3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Договор счёта, распоряжение и банковская выписка.</w:t>
            </w:r>
          </w:p>
        </w:tc>
        <w:tc>
          <w:tcPr>
            <w:tcW w:type="dxa" w:w="33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Полномочие, лимит, назначение, согласование и сверка.</w:t>
            </w:r>
          </w:p>
        </w:tc>
      </w:tr>
      <w:tr>
        <w:tc>
          <w:tcPr>
            <w:tcW w:type="dxa" w:w="21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Депозит / вклад</w:t>
            </w:r>
          </w:p>
        </w:tc>
        <w:tc>
          <w:tcPr>
            <w:tcW w:type="dxa" w:w="3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Договор и условия банка.</w:t>
            </w:r>
          </w:p>
        </w:tc>
        <w:tc>
          <w:tcPr>
            <w:tcW w:type="dxa" w:w="33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Срок, ликвидность, концентрация и применимость страховой защиты.</w:t>
            </w:r>
          </w:p>
        </w:tc>
      </w:tr>
      <w:tr>
        <w:tc>
          <w:tcPr>
            <w:tcW w:type="dxa" w:w="2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Брокерская операция</w:t>
            </w:r>
          </w:p>
        </w:tc>
        <w:tc>
          <w:tcPr>
            <w:tcW w:type="dxa" w:w="3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Брокерский договор, поручение и отчёт.</w:t>
            </w:r>
          </w:p>
        </w:tc>
        <w:tc>
          <w:tcPr>
            <w:tcW w:type="dxa" w:w="33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Инвестиционная политика, риск, комиссия и конфликт интересов.</w:t>
            </w:r>
          </w:p>
        </w:tc>
      </w:tr>
      <w:tr>
        <w:tc>
          <w:tcPr>
            <w:tcW w:type="dxa" w:w="21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Учёт ценных бумаг</w:t>
            </w:r>
          </w:p>
        </w:tc>
        <w:tc>
          <w:tcPr>
            <w:tcW w:type="dxa" w:w="3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Депозитарная или реестровая запись.</w:t>
            </w:r>
          </w:p>
        </w:tc>
        <w:tc>
          <w:tcPr>
            <w:tcW w:type="dxa" w:w="33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Сверка владельца, количества, обременений и цепочки хранения.</w:t>
            </w:r>
          </w:p>
        </w:tc>
      </w:tr>
      <w:tr>
        <w:tc>
          <w:tcPr>
            <w:tcW w:type="dxa" w:w="21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Управление активами</w:t>
            </w:r>
          </w:p>
        </w:tc>
        <w:tc>
          <w:tcPr>
            <w:tcW w:type="dxa" w:w="38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Договор с уполномоченным управляющим и отчёт.</w:t>
            </w:r>
          </w:p>
        </w:tc>
        <w:tc>
          <w:tcPr>
            <w:tcW w:type="dxa" w:w="333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Мандат, лимиты, риск, стоимость и независимый надзор.</w:t>
            </w:r>
          </w:p>
        </w:tc>
      </w:tr>
      <w:tr>
        <w:tc>
          <w:tcPr>
            <w:tcW w:type="dxa" w:w="21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Проектный платёж</w:t>
            </w:r>
          </w:p>
        </w:tc>
        <w:tc>
          <w:tcPr>
            <w:tcW w:type="dxa" w:w="38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Договор, счёт, акт и платёжный документ.</w:t>
            </w:r>
          </w:p>
        </w:tc>
        <w:tc>
          <w:tcPr>
            <w:tcW w:type="dxa" w:w="333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Шлюз ECO-PPA, этап, доказательство и отсутствие двойной оплаты.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Критерий провайдера</w:t>
        <w:br/>
      </w:r>
      <w:r>
        <w:rPr>
          <w:rFonts w:ascii="Calibri" w:hAnsi="Calibri" w:eastAsia="Calibri"/>
          <w:color w:val="172033"/>
          <w:sz w:val="21"/>
        </w:rPr>
        <w:t>Право на соответствующую деятельность проверяется по официальному реестру; договор описывает хранение активов, данные, ответственность, прекращение и переносимость.</w:t>
      </w:r>
    </w:p>
    <w:p>
      <w:pPr>
        <w:pStyle w:val="Source"/>
        <w:spacing w:before="80"/>
      </w:pPr>
      <w:r>
        <w:t>Банк России указывает, что банковские операции осуществляются на основании лицензии; права участников финансового рынка проверяются в официальном сервисе.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15  /  «ЛИЧНЫЙ БАНК» КАК ИНТЕРФЕЙС</w:t>
      </w:r>
    </w:p>
    <w:p>
      <w:pPr>
        <w:pStyle w:val="Heading1"/>
        <w:keepLines/>
        <w:widowControl/>
        <w:keepNext/>
      </w:pPr>
      <w:r>
        <w:t>Кабинет капитала — кабина управления, а не кредитная организация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Допустимо в интерфейсе</w:t>
            </w:r>
          </w:p>
        </w:tc>
        <w:tc>
          <w:tcPr>
            <w:tcW w:type="dxa" w:w="46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Недопустимо без специального статуса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Сводный read-only обзор счетов и активов по разрешённым подключениям.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Принимать вклады или деньги неопределённого круга лиц.</w:t>
            </w:r>
          </w:p>
        </w:tc>
      </w:tr>
      <w:tr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Цели, бюджеты, «конверты», резервы и прогноз денежных потоков.</w:t>
            </w:r>
          </w:p>
        </w:tc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Открывать банковские счета от имени платформы.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Лимиты, маршруты согласований и календарь обязательств.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Кредитовать, обменивать, хранить или управлять активами от своего имени.</w:t>
            </w:r>
          </w:p>
        </w:tc>
      </w:tr>
      <w:tr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Подготовка инструкций лицензированным провайдерам и сверка выписок.</w:t>
            </w:r>
          </w:p>
        </w:tc>
        <w:tc>
          <w:tcPr>
            <w:tcW w:type="dxa" w:w="46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Представлять внутреннюю единицу учёта как законное платёжное средство.</w:t>
            </w:r>
          </w:p>
        </w:tc>
      </w:tr>
      <w:tr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Портфель ECO-PPA, документы, уведомления и архивный пакет.</w:t>
            </w:r>
          </w:p>
        </w:tc>
        <w:tc>
          <w:tcPr>
            <w:tcW w:type="dxa" w:w="46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Обещать гарантированную доходность, возвратность или страховую защиту без основания.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Технический принцип</w:t>
        <w:br/>
      </w:r>
      <w:r>
        <w:rPr>
          <w:rFonts w:ascii="Calibri" w:hAnsi="Calibri" w:eastAsia="Calibri"/>
          <w:color w:val="172033"/>
          <w:sz w:val="21"/>
        </w:rPr>
        <w:t>Инструкция становится платёжным распоряжением только после прохождения полномочий и исполнения через банк или иной уполномоченный контур. Никаких автоматических денежных переводов по сигналу аналитической модели.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16  /  ИСТОЧНИКИ ИСТИНЫ И СВЕРКА</w:t>
      </w:r>
    </w:p>
    <w:p>
      <w:pPr>
        <w:pStyle w:val="Heading1"/>
        <w:keepLines/>
        <w:widowControl/>
        <w:keepNext/>
      </w:pPr>
      <w:r>
        <w:t>У каждого факта есть свой авторитетный источник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Юридическое право. </w:t>
      </w:r>
      <w:r>
        <w:t>закон, устав, решение органа, договор, доверенность или судебный акт.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Деньги на счёте. </w:t>
      </w:r>
      <w:r>
        <w:t>выписка лицензированного банка.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Ценные бумаги и иные учётные права. </w:t>
      </w:r>
      <w:r>
        <w:t>документ депозитария, регистратора или иного законного реестра.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Управленческое распределение. </w:t>
      </w:r>
      <w:r>
        <w:t>решение фонда и запись в системе с подтверждённой версией.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Фактическое исполнение. </w:t>
      </w:r>
      <w:r>
        <w:t>договор, первичный документ, акт, отчёт и подтверждающие материалы.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Результат. </w:t>
      </w:r>
      <w:r>
        <w:t>заранее установленная методика и независимое заключение.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История. </w:t>
      </w:r>
      <w:r>
        <w:t>Архив наследия с происхождением, версиями, правами доступа и контрольными суммами.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Сверка</w:t>
        <w:br/>
      </w:r>
      <w:r>
        <w:rPr>
          <w:rFonts w:ascii="Calibri" w:hAnsi="Calibri" w:eastAsia="Calibri"/>
          <w:color w:val="172033"/>
          <w:sz w:val="21"/>
        </w:rPr>
        <w:t>Внутренняя запись не может исправлять выписку банка. Расхождение создаёт инцидент, владельца, срок, компенсирующую запись и повторную сверку.</w:t>
      </w: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ПРАВО → РЕШЕНИЕ → РАСПОРЯЖЕНИЕ → ВНЕШНЯЯ ВЫПИСКА → СВЕРКА → ДОКАЗАТЕЛЬСТВО → АРХИВ</w:t>
      </w:r>
    </w:p>
    <w:p>
      <w:r>
        <w:br w:type="page"/>
      </w:r>
    </w:p>
    <w:p>
      <w:pPr>
        <w:pStyle w:val="Eyebrow"/>
        <w:keepLines/>
        <w:widowControl/>
        <w:keepNext/>
      </w:pPr>
      <w:r>
        <w:t>17  /  ЦИКЛ КАПИТАЛА И ШЛЮЗЫ</w:t>
      </w:r>
    </w:p>
    <w:p>
      <w:pPr>
        <w:pStyle w:val="Heading1"/>
        <w:keepLines/>
        <w:widowControl/>
        <w:keepNext/>
      </w:pPr>
      <w:r>
        <w:t>Капитал движется только после семи последовательных проверок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20"/>
        <w:gridCol w:w="5000"/>
        <w:gridCol w:w="2640"/>
      </w:tblGrid>
      <w:tr>
        <w:trPr>
          <w:tblHeader w:val="true"/>
        </w:trPr>
        <w:tc>
          <w:tcPr>
            <w:tcW w:type="dxa" w:w="17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Шлюз</w:t>
            </w:r>
          </w:p>
        </w:tc>
        <w:tc>
          <w:tcPr>
            <w:tcW w:type="dxa" w:w="5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Контрольный вопрос</w:t>
            </w:r>
          </w:p>
        </w:tc>
        <w:tc>
          <w:tcPr>
            <w:tcW w:type="dxa" w:w="26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Выход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G0. Источник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Кто владелец и как подтверждено происхождение актива?</w:t>
            </w:r>
          </w:p>
        </w:tc>
        <w:tc>
          <w:tcPr>
            <w:tcW w:type="dxa" w:w="2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Допущенный источник.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G1. Мандат</w:t>
            </w:r>
          </w:p>
        </w:tc>
        <w:tc>
          <w:tcPr>
            <w:tcW w:type="dxa" w:w="50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Какая оболочка, цель, выгодоприобретатели и ограничения?</w:t>
            </w:r>
          </w:p>
        </w:tc>
        <w:tc>
          <w:tcPr>
            <w:tcW w:type="dxa" w:w="2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Утверждённый паспорт.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G2. Инфраструктура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Где счёт или актив и кто имеет право на операцию?</w:t>
            </w:r>
          </w:p>
        </w:tc>
        <w:tc>
          <w:tcPr>
            <w:tcW w:type="dxa" w:w="2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Подключённый провайдер.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G3. Проект</w:t>
            </w:r>
          </w:p>
        </w:tc>
        <w:tc>
          <w:tcPr>
            <w:tcW w:type="dxa" w:w="50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Полон ли паспорт ECO-PPA и раскрыты ли связи и риски?</w:t>
            </w:r>
          </w:p>
        </w:tc>
        <w:tc>
          <w:tcPr>
            <w:tcW w:type="dxa" w:w="2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Решение о допуске.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G4. Обязательство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Есть ли договор, бюджет, лимит и условия транша?</w:t>
            </w:r>
          </w:p>
        </w:tc>
        <w:tc>
          <w:tcPr>
            <w:tcW w:type="dxa" w:w="2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Законная инструкция.</w:t>
            </w:r>
          </w:p>
        </w:tc>
      </w:tr>
      <w:tr>
        <w:tc>
          <w:tcPr>
            <w:tcW w:type="dxa" w:w="17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G5. Результат</w:t>
            </w:r>
          </w:p>
        </w:tc>
        <w:tc>
          <w:tcPr>
            <w:tcW w:type="dxa" w:w="50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Подтверждён ли этап независимым доказательством?</w:t>
            </w:r>
          </w:p>
        </w:tc>
        <w:tc>
          <w:tcPr>
            <w:tcW w:type="dxa" w:w="26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Приёмка или остановка.</w:t>
            </w:r>
          </w:p>
        </w:tc>
      </w:tr>
      <w:tr>
        <w:tc>
          <w:tcPr>
            <w:tcW w:type="dxa" w:w="17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G6. Закрытие</w:t>
            </w:r>
          </w:p>
        </w:tc>
        <w:tc>
          <w:tcPr>
            <w:tcW w:type="dxa" w:w="50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Как распределён, возвращён или реинвестирован остаток?</w:t>
            </w:r>
          </w:p>
        </w:tc>
        <w:tc>
          <w:tcPr>
            <w:tcW w:type="dxa" w:w="26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Отчёт и архивный пакет.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ИСТОЧНИК → МАНДАТ → СЧЁТ → РЕЗЕРВ → ПРОЕКТ → КОНТРАКТ → ТРАНШ → ИСПОЛНЕНИЕ → ПРОВЕРКА → РАСПРЕДЕЛЕНИЕ / ВОЗВРАТ → АРХИВ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Стоп-правило</w:t>
        <w:br/>
      </w:r>
      <w:r>
        <w:rPr>
          <w:rFonts w:ascii="Calibri" w:hAnsi="Calibri" w:eastAsia="Calibri"/>
          <w:color w:val="172033"/>
          <w:sz w:val="21"/>
        </w:rPr>
        <w:t>Если обязательного документа, полномочия или доказательства нет, цикл останавливается. Платформа не подменяет этот пробел автоматическим решением.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18  /  ПРОЕКТЫ ECO-PPA</w:t>
      </w:r>
    </w:p>
    <w:p>
      <w:pPr>
        <w:pStyle w:val="Heading1"/>
        <w:keepLines/>
        <w:widowControl/>
        <w:keepNext/>
      </w:pPr>
      <w:r>
        <w:t>ECO-PPA переводит капитал из намерения в проверяемый проект</w:t>
      </w: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ЗАДАЧА + ТЕХНОЛОГИЯ + КООПЕРАЦИЯ + КАПИТАЛ + КОНТРАКТ + ДАННЫЕ + РЕЗУЛЬТАТ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До решения. </w:t>
      </w:r>
      <w:r>
        <w:t>владелец задачи, границы, baseline, альтернативы, безопасность, исполнители, бюджет, источник и риск.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До договора. </w:t>
      </w:r>
      <w:r>
        <w:t>полномочия сторон, предмет, этапы, цена, права на данные и ИС, ответственность, стоп-условия и спор.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До транша. </w:t>
      </w:r>
      <w:r>
        <w:t>лимит, календарь, счёт, подтверждение предыдущего этапа, отсутствие конфликта и действующее полномочие.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После исполнения. </w:t>
      </w:r>
      <w:r>
        <w:t>акт, фактические данные, независимая проверка, отклонения, остаток, урок и новая версия.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Перед масштабированием. </w:t>
      </w:r>
      <w:r>
        <w:t>сопоставимость условий, воспроизводимость результата, устойчивость экономики и законность нового периметра.</w:t>
      </w: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Разделение</w:t>
        <w:br/>
      </w:r>
      <w:r>
        <w:rPr>
          <w:rFonts w:ascii="Calibri" w:hAnsi="Calibri" w:eastAsia="Calibri"/>
          <w:color w:val="172033"/>
          <w:sz w:val="21"/>
        </w:rPr>
        <w:t>ECO-PPA — паспорт и договорно-ресурсная рамка. СПЕЦЗАЩИТА организует исполнение. Независимый субъект подтверждает результат. Система фондов принимает решение о следующем капитале.</w:t>
      </w:r>
    </w:p>
    <w:p>
      <w:r>
        <w:br w:type="page"/>
      </w:r>
    </w:p>
    <w:p>
      <w:pPr>
        <w:pStyle w:val="Eyebrow"/>
        <w:keepLines/>
        <w:widowControl/>
        <w:keepNext/>
      </w:pPr>
      <w:r>
        <w:t>19  /  РЕГИСТРЫ И АРХИВ НАСЛЕДИЯ</w:t>
      </w:r>
    </w:p>
    <w:p>
      <w:pPr>
        <w:pStyle w:val="Heading1"/>
        <w:keepLines/>
        <w:widowControl/>
        <w:keepNext/>
      </w:pPr>
      <w:r>
        <w:t>Шесть регистров связывают право, деньги, проект и результат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70"/>
        <w:gridCol w:w="6390"/>
      </w:tblGrid>
      <w:tr>
        <w:trPr>
          <w:tblHeader w:val="true"/>
        </w:trPr>
        <w:tc>
          <w:tcPr>
            <w:tcW w:type="dxa" w:w="29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Регистр</w:t>
            </w:r>
          </w:p>
        </w:tc>
        <w:tc>
          <w:tcPr>
            <w:tcW w:type="dxa" w:w="639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6"/>
              </w:rPr>
              <w:t>Содержание</w:t>
            </w:r>
          </w:p>
        </w:tc>
      </w:tr>
      <w:tr>
        <w:tc>
          <w:tcPr>
            <w:tcW w:type="dxa" w:w="29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R1. Участники и полномочия</w:t>
            </w:r>
          </w:p>
        </w:tc>
        <w:tc>
          <w:tcPr>
            <w:tcW w:type="dxa" w:w="6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Личности, роли, доверенности, сроки, контролирующие лица и конфликты.</w:t>
            </w:r>
          </w:p>
        </w:tc>
      </w:tr>
      <w:tr>
        <w:tc>
          <w:tcPr>
            <w:tcW w:type="dxa" w:w="29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R2. Фонды и мандаты</w:t>
            </w:r>
          </w:p>
        </w:tc>
        <w:tc>
          <w:tcPr>
            <w:tcW w:type="dxa" w:w="6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Паспорта, цели, запреты, выгодоприобретатели и права.</w:t>
            </w:r>
          </w:p>
        </w:tc>
      </w:tr>
      <w:tr>
        <w:tc>
          <w:tcPr>
            <w:tcW w:type="dxa" w:w="29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R3. Активы и обязательства</w:t>
            </w:r>
          </w:p>
        </w:tc>
        <w:tc>
          <w:tcPr>
            <w:tcW w:type="dxa" w:w="6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Счета, инструменты, резервы, обременения, источники и внешние ссылки.</w:t>
            </w:r>
          </w:p>
        </w:tc>
      </w:tr>
      <w:tr>
        <w:tc>
          <w:tcPr>
            <w:tcW w:type="dxa" w:w="29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R4. Проекты и контракты</w:t>
            </w:r>
          </w:p>
        </w:tc>
        <w:tc>
          <w:tcPr>
            <w:tcW w:type="dxa" w:w="6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ECO-PPA, этапы, бюджеты, транши, контрагенты и документы.</w:t>
            </w:r>
          </w:p>
        </w:tc>
      </w:tr>
      <w:tr>
        <w:tc>
          <w:tcPr>
            <w:tcW w:type="dxa" w:w="29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R5. Решения, риски и инциденты</w:t>
            </w:r>
          </w:p>
        </w:tc>
        <w:tc>
          <w:tcPr>
            <w:tcW w:type="dxa" w:w="639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Протоколы, согласования, отводы, исключения, предупреждения и исправления.</w:t>
            </w:r>
          </w:p>
        </w:tc>
      </w:tr>
      <w:tr>
        <w:tc>
          <w:tcPr>
            <w:tcW w:type="dxa" w:w="29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R6. Доказательства и результаты</w:t>
            </w:r>
          </w:p>
        </w:tc>
        <w:tc>
          <w:tcPr>
            <w:tcW w:type="dxa" w:w="639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6"/>
              </w:rPr>
              <w:t>Выписки, акты, измерения, заключения, версии и статус проверки.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Архив наследия</w:t>
        <w:br/>
      </w:r>
      <w:r>
        <w:rPr>
          <w:rFonts w:ascii="Calibri" w:hAnsi="Calibri" w:eastAsia="Calibri"/>
          <w:color w:val="172033"/>
          <w:sz w:val="21"/>
        </w:rPr>
        <w:t>Получает подписанные и версионированные снимки регистров, доказательные пакеты и правила доступа. Он не хранит банковские пароли, закрытые ключи и персональные данные сверх обоснованной необходимости.</w:t>
      </w:r>
    </w:p>
    <w:p>
      <w:pPr>
        <w:pStyle w:val="Callout"/>
        <w:spacing w:before="120" w:after="200" w:line="276" w:lineRule="auto"/>
        <w:shd w:fill="F2F4F7"/>
        <w:pBdr>
          <w:left w:val="single" w:sz="18" w:space="10" w:color="6DCBF4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Формула</w:t>
        <w:br/>
      </w:r>
      <w:r>
        <w:rPr>
          <w:rFonts w:ascii="Calibri" w:hAnsi="Calibri" w:eastAsia="Calibri"/>
          <w:color w:val="172033"/>
          <w:sz w:val="21"/>
        </w:rPr>
        <w:t>ОБЪЕКТ → ИСТОЧНИК → ВЕРСИЯ → ПРАВО ДОСТУПА → РЕШЕНИЕ → РЕЗУЛЬТАТ → СРОК ХРАНЕНИЯ</w:t>
      </w:r>
    </w:p>
    <w:p>
      <w:r>
        <w:br w:type="page"/>
      </w:r>
    </w:p>
    <w:p>
      <w:pPr>
        <w:pStyle w:val="Eyebrow"/>
        <w:keepLines/>
        <w:widowControl/>
        <w:keepNext/>
      </w:pPr>
      <w:r>
        <w:t>20  /  РОЛИ И РАЗДЕЛЕНИЕ ПОЛНОМОЧИЙ</w:t>
      </w:r>
    </w:p>
    <w:p>
      <w:pPr>
        <w:pStyle w:val="Heading1"/>
        <w:keepLines/>
        <w:widowControl/>
        <w:keepNext/>
      </w:pPr>
      <w:r>
        <w:t>Ни один участник не контролирует весь цикл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20"/>
        <w:gridCol w:w="4080"/>
        <w:gridCol w:w="3160"/>
      </w:tblGrid>
      <w:tr>
        <w:trPr>
          <w:tblHeader w:val="true"/>
        </w:trPr>
        <w:tc>
          <w:tcPr>
            <w:tcW w:type="dxa" w:w="21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Роль</w:t>
            </w:r>
          </w:p>
        </w:tc>
        <w:tc>
          <w:tcPr>
            <w:tcW w:type="dxa" w:w="408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Отвечает</w:t>
            </w:r>
          </w:p>
        </w:tc>
        <w:tc>
          <w:tcPr>
            <w:tcW w:type="dxa" w:w="3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Не должна одновременно</w:t>
            </w:r>
          </w:p>
        </w:tc>
      </w:tr>
      <w:tr>
        <w:tc>
          <w:tcPr>
            <w:tcW w:type="dxa" w:w="2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Учредитель / донор</w:t>
            </w:r>
          </w:p>
        </w:tc>
        <w:tc>
          <w:tcPr>
            <w:tcW w:type="dxa" w:w="4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Миссия, источник имущества и базовый мандат.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Единолично исполнять и подтверждать проект.</w:t>
            </w:r>
          </w:p>
        </w:tc>
      </w:tr>
      <w:tr>
        <w:tc>
          <w:tcPr>
            <w:tcW w:type="dxa" w:w="21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Совет / орган управления</w:t>
            </w:r>
          </w:p>
        </w:tc>
        <w:tc>
          <w:tcPr>
            <w:tcW w:type="dxa" w:w="4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Политики, бюджет, назначения, исключения и надзор.</w:t>
            </w:r>
          </w:p>
        </w:tc>
        <w:tc>
          <w:tcPr>
            <w:tcW w:type="dxa" w:w="3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Исполнять собственные решения без контроля.</w:t>
            </w:r>
          </w:p>
        </w:tc>
      </w:tr>
      <w:tr>
        <w:tc>
          <w:tcPr>
            <w:tcW w:type="dxa" w:w="2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Администратор фонда</w:t>
            </w:r>
          </w:p>
        </w:tc>
        <w:tc>
          <w:tcPr>
            <w:tcW w:type="dxa" w:w="4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Документы, календарь, регистры и отчётность.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Становиться владельцем активов платформы.</w:t>
            </w:r>
          </w:p>
        </w:tc>
      </w:tr>
      <w:tr>
        <w:tc>
          <w:tcPr>
            <w:tcW w:type="dxa" w:w="21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Банк / кастодиан / управляющий</w:t>
            </w:r>
          </w:p>
        </w:tc>
        <w:tc>
          <w:tcPr>
            <w:tcW w:type="dxa" w:w="4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Операции и учёт в пределах договора и допуска.</w:t>
            </w:r>
          </w:p>
        </w:tc>
        <w:tc>
          <w:tcPr>
            <w:tcW w:type="dxa" w:w="3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Подменять миссию и органы фонда.</w:t>
            </w:r>
          </w:p>
        </w:tc>
      </w:tr>
      <w:tr>
        <w:tc>
          <w:tcPr>
            <w:tcW w:type="dxa" w:w="2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Оператор ECO-PPA</w:t>
            </w:r>
          </w:p>
        </w:tc>
        <w:tc>
          <w:tcPr>
            <w:tcW w:type="dxa" w:w="4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Паспорт, бюджет, контрактный и доказательный маршрут.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Самостоятельно санкционировать платёж.</w:t>
            </w:r>
          </w:p>
        </w:tc>
      </w:tr>
      <w:tr>
        <w:tc>
          <w:tcPr>
            <w:tcW w:type="dxa" w:w="21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СПЕЦЗАЩИТА</w:t>
            </w:r>
          </w:p>
        </w:tc>
        <w:tc>
          <w:tcPr>
            <w:tcW w:type="dxa" w:w="4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Кооперационное исполнение и материалы приёмки.</w:t>
            </w:r>
          </w:p>
        </w:tc>
        <w:tc>
          <w:tcPr>
            <w:tcW w:type="dxa" w:w="3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Утверждать собственный результат единолично.</w:t>
            </w:r>
          </w:p>
        </w:tc>
      </w:tr>
      <w:tr>
        <w:tc>
          <w:tcPr>
            <w:tcW w:type="dxa" w:w="21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Верификатор / аудитор</w:t>
            </w:r>
          </w:p>
        </w:tc>
        <w:tc>
          <w:tcPr>
            <w:tcW w:type="dxa" w:w="408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Независимая проверка результата и контроля.</w:t>
            </w:r>
          </w:p>
        </w:tc>
        <w:tc>
          <w:tcPr>
            <w:tcW w:type="dxa" w:w="316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Иметь неуправляемый материальный интерес.</w:t>
            </w:r>
          </w:p>
        </w:tc>
      </w:tr>
      <w:tr>
        <w:tc>
          <w:tcPr>
            <w:tcW w:type="dxa" w:w="21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Архивный хранитель</w:t>
            </w:r>
          </w:p>
        </w:tc>
        <w:tc>
          <w:tcPr>
            <w:tcW w:type="dxa" w:w="408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Версии, происхождение, доступ и сохранность.</w:t>
            </w:r>
          </w:p>
        </w:tc>
        <w:tc>
          <w:tcPr>
            <w:tcW w:type="dxa" w:w="316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Менять содержание официального источника.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Правило конфликта</w:t>
        <w:br/>
      </w:r>
      <w:r>
        <w:rPr>
          <w:rFonts w:ascii="Calibri" w:hAnsi="Calibri" w:eastAsia="Calibri"/>
          <w:color w:val="172033"/>
          <w:sz w:val="21"/>
        </w:rPr>
        <w:t>Связанный интерес раскрывается до обсуждения. Участник не получает материалы шире необходимого и не голосует по вопросу, где его независимость нарушена.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21  /  ВЫГОДОПРИОБРЕТАТЕЛИ И ПРЕЕМСТВЕННОСТЬ</w:t>
      </w:r>
    </w:p>
    <w:p>
      <w:pPr>
        <w:pStyle w:val="Heading1"/>
        <w:keepLines/>
        <w:widowControl/>
        <w:keepNext/>
      </w:pPr>
      <w:r>
        <w:t>Бенефициар — не строка в реестре, а носитель определённого права или ожидания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Идентификация. </w:t>
      </w:r>
      <w:r>
        <w:t>лицо, класс, организация или миссия; при юридических лицах и сложных структурах анализируется фактический контроль.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Характер права. </w:t>
      </w:r>
      <w:r>
        <w:t>безусловное, условное, дискреционное, срочное, наследуемое или прекращаемое — по применимому праву и документам.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Информирование. </w:t>
      </w:r>
      <w:r>
        <w:t>какие сведения, с какой периодичностью и в каком объёме получает выгодоприобретатель.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Жалоба и спор. </w:t>
      </w:r>
      <w:r>
        <w:t>канал обращения, независимое рассмотрение, сроки, временные меры и архив решения.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Уязвимые лица. </w:t>
      </w:r>
      <w:r>
        <w:t>представительство, защита от давления, проверка конфликта и пропорциональное раскрытие данных.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Преемственность. </w:t>
      </w:r>
      <w:r>
        <w:t>замещение органов, смерть, недееспособность, длительное отсутствие и передача функций провайдера.</w:t>
      </w:r>
    </w:p>
    <w:p>
      <w:pPr>
        <w:pStyle w:val="Definition"/>
        <w:spacing w:after="100"/>
        <w:keepLines/>
        <w:widowControl/>
      </w:pPr>
      <w:r>
        <w:rPr>
          <w:rFonts w:ascii="Calibri" w:hAnsi="Calibri" w:eastAsia="Calibri"/>
          <w:b/>
          <w:color w:val="2E74B5"/>
          <w:sz w:val="22"/>
        </w:rPr>
        <w:t xml:space="preserve">Прекращение. </w:t>
      </w:r>
      <w:r>
        <w:t>исполнение обязательств, распределение остатка, закрытие счетов, хранение документов и финальный отчёт.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Международный ориентир</w:t>
        <w:br/>
      </w:r>
      <w:r>
        <w:rPr>
          <w:rFonts w:ascii="Calibri" w:hAnsi="Calibri" w:eastAsia="Calibri"/>
          <w:color w:val="172033"/>
          <w:sz w:val="21"/>
        </w:rPr>
        <w:t>FATF рекомендует видеть не только формального учредителя, но и физических лиц, фактически контролирующих конструкцию, а также роли, влияющие на назначение, вето и распределение.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22  /  РАСПРЕДЕЛЕНИЕ, ЛИКВИДНОСТЬ И РИСК</w:t>
      </w:r>
    </w:p>
    <w:p>
      <w:pPr>
        <w:pStyle w:val="Heading1"/>
        <w:keepLines/>
        <w:widowControl/>
        <w:keepNext/>
      </w:pPr>
      <w:r>
        <w:t>Политики переводят мандат в измеримые ограничения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40"/>
        <w:gridCol w:w="7320"/>
      </w:tblGrid>
      <w:tr>
        <w:trPr>
          <w:tblHeader w:val="true"/>
        </w:trPr>
        <w:tc>
          <w:tcPr>
            <w:tcW w:type="dxa" w:w="20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Политика</w:t>
            </w:r>
          </w:p>
        </w:tc>
        <w:tc>
          <w:tcPr>
            <w:tcW w:type="dxa" w:w="73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Минимальные правила</w:t>
            </w:r>
          </w:p>
        </w:tc>
      </w:tr>
      <w:tr>
        <w:tc>
          <w:tcPr>
            <w:tcW w:type="dxa" w:w="2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Распределение</w:t>
            </w:r>
          </w:p>
        </w:tc>
        <w:tc>
          <w:tcPr>
            <w:tcW w:type="dxa" w:w="7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цели, получатели, условия, лимиты, периодичность, приоритеты и запреты.</w:t>
            </w:r>
          </w:p>
        </w:tc>
      </w:tr>
      <w:tr>
        <w:tc>
          <w:tcPr>
            <w:tcW w:type="dxa" w:w="20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Ликвидность</w:t>
            </w:r>
          </w:p>
        </w:tc>
        <w:tc>
          <w:tcPr>
            <w:tcW w:type="dxa" w:w="7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календарь обязательств, минимальный резерв, стресс-сценарии и план восстановления.</w:t>
            </w:r>
          </w:p>
        </w:tc>
      </w:tr>
      <w:tr>
        <w:tc>
          <w:tcPr>
            <w:tcW w:type="dxa" w:w="2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Инвестирование</w:t>
            </w:r>
          </w:p>
        </w:tc>
        <w:tc>
          <w:tcPr>
            <w:tcW w:type="dxa" w:w="7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допустимые инструменты, горизонт, риск, диверсификация, комиссии и ответственное лицо.</w:t>
            </w:r>
          </w:p>
        </w:tc>
      </w:tr>
      <w:tr>
        <w:tc>
          <w:tcPr>
            <w:tcW w:type="dxa" w:w="20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Концентрация</w:t>
            </w:r>
          </w:p>
        </w:tc>
        <w:tc>
          <w:tcPr>
            <w:tcW w:type="dxa" w:w="7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лимиты на банк, управляющего, эмитента, актив, валюту, проект и связанную сторону.</w:t>
            </w:r>
          </w:p>
        </w:tc>
      </w:tr>
      <w:tr>
        <w:tc>
          <w:tcPr>
            <w:tcW w:type="dxa" w:w="2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Расходы</w:t>
            </w:r>
          </w:p>
        </w:tc>
        <w:tc>
          <w:tcPr>
            <w:tcW w:type="dxa" w:w="7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администрирование, аудит, управление, хранение, проекты и раскрытие совокупной стоимости.</w:t>
            </w:r>
          </w:p>
        </w:tc>
      </w:tr>
      <w:tr>
        <w:tc>
          <w:tcPr>
            <w:tcW w:type="dxa" w:w="20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Оценка активов</w:t>
            </w:r>
          </w:p>
        </w:tc>
        <w:tc>
          <w:tcPr>
            <w:tcW w:type="dxa" w:w="7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метод, источник цены, частота, независимость и работа с неликвидностью.</w:t>
            </w:r>
          </w:p>
        </w:tc>
      </w:tr>
      <w:tr>
        <w:tc>
          <w:tcPr>
            <w:tcW w:type="dxa" w:w="20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Резервы</w:t>
            </w:r>
          </w:p>
        </w:tc>
        <w:tc>
          <w:tcPr>
            <w:tcW w:type="dxa" w:w="73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вид, размер, пополнение, основания использования и восстановление.</w:t>
            </w:r>
          </w:p>
        </w:tc>
      </w:tr>
      <w:tr>
        <w:tc>
          <w:tcPr>
            <w:tcW w:type="dxa" w:w="20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Отклонения</w:t>
            </w:r>
          </w:p>
        </w:tc>
        <w:tc>
          <w:tcPr>
            <w:tcW w:type="dxa" w:w="73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кто разрешает, на какой срок, какое доказательство и как закрывается исключение.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Ограничение</w:t>
        <w:br/>
      </w:r>
      <w:r>
        <w:rPr>
          <w:rFonts w:ascii="Calibri" w:hAnsi="Calibri" w:eastAsia="Calibri"/>
          <w:color w:val="172033"/>
          <w:sz w:val="21"/>
        </w:rPr>
        <w:t>Материал не содержит обещаний доходности, гарантии возврата капитала или заявления об отсутствии риска. Любой инвестиционный контур требует отдельной квалификации и договора с уполномоченным участником.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23  /  РИСКИ, КОМПЛАЕНС И ДАННЫЕ</w:t>
      </w:r>
    </w:p>
    <w:p>
      <w:pPr>
        <w:pStyle w:val="Heading1"/>
        <w:keepLines/>
        <w:widowControl/>
        <w:keepNext/>
      </w:pPr>
      <w:r>
        <w:t>Критические риски имеют стоп-сигнал, а не только оценку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40"/>
        <w:gridCol w:w="4020"/>
        <w:gridCol w:w="3200"/>
      </w:tblGrid>
      <w:tr>
        <w:trPr>
          <w:tblHeader w:val="true"/>
        </w:trPr>
        <w:tc>
          <w:tcPr>
            <w:tcW w:type="dxa" w:w="21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Риск</w:t>
            </w:r>
          </w:p>
        </w:tc>
        <w:tc>
          <w:tcPr>
            <w:tcW w:type="dxa" w:w="402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Базовый контроль</w:t>
            </w:r>
          </w:p>
        </w:tc>
        <w:tc>
          <w:tcPr>
            <w:tcW w:type="dxa" w:w="3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4"/>
              </w:rPr>
              <w:t>Стоп-сигнал</w:t>
            </w:r>
          </w:p>
        </w:tc>
      </w:tr>
      <w:tr>
        <w:tc>
          <w:tcPr>
            <w:tcW w:type="dxa" w:w="2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Подмена лицензируемой деятельности</w:t>
            </w:r>
          </w:p>
        </w:tc>
        <w:tc>
          <w:tcPr>
            <w:tcW w:type="dxa" w:w="40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Карта функций, названий и допусков.</w:t>
            </w:r>
          </w:p>
        </w:tc>
        <w:tc>
          <w:tcPr>
            <w:tcW w:type="dxa" w:w="3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Платформа должна хранить или привлекать клиентские деньги.</w:t>
            </w:r>
          </w:p>
        </w:tc>
      </w:tr>
      <w:tr>
        <w:tc>
          <w:tcPr>
            <w:tcW w:type="dxa" w:w="21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Неясная собственность</w:t>
            </w:r>
          </w:p>
        </w:tc>
        <w:tc>
          <w:tcPr>
            <w:tcW w:type="dxa" w:w="40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Паспорт актива, право и происхождение.</w:t>
            </w:r>
          </w:p>
        </w:tc>
        <w:tc>
          <w:tcPr>
            <w:tcW w:type="dxa" w:w="3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Владелец или характер права не устанавливается.</w:t>
            </w:r>
          </w:p>
        </w:tc>
      </w:tr>
      <w:tr>
        <w:tc>
          <w:tcPr>
            <w:tcW w:type="dxa" w:w="2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Смешение активов</w:t>
            </w:r>
          </w:p>
        </w:tc>
        <w:tc>
          <w:tcPr>
            <w:tcW w:type="dxa" w:w="40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Раздельные счета и регулярная сверка.</w:t>
            </w:r>
          </w:p>
        </w:tc>
        <w:tc>
          <w:tcPr>
            <w:tcW w:type="dxa" w:w="3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Расхождение с внешней выпиской не устраняется.</w:t>
            </w:r>
          </w:p>
        </w:tc>
      </w:tr>
      <w:tr>
        <w:tc>
          <w:tcPr>
            <w:tcW w:type="dxa" w:w="21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Конфликт интересов</w:t>
            </w:r>
          </w:p>
        </w:tc>
        <w:tc>
          <w:tcPr>
            <w:tcW w:type="dxa" w:w="40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Раскрытие, отвод и независимое согласование.</w:t>
            </w:r>
          </w:p>
        </w:tc>
        <w:tc>
          <w:tcPr>
            <w:tcW w:type="dxa" w:w="3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Скрытая связанная сторона.</w:t>
            </w:r>
          </w:p>
        </w:tc>
      </w:tr>
      <w:tr>
        <w:tc>
          <w:tcPr>
            <w:tcW w:type="dxa" w:w="2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AML/KYC и санкционный риск</w:t>
            </w:r>
          </w:p>
        </w:tc>
        <w:tc>
          <w:tcPr>
            <w:tcW w:type="dxa" w:w="40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Риск-ориентированная проверка участников и потока.</w:t>
            </w:r>
          </w:p>
        </w:tc>
        <w:tc>
          <w:tcPr>
            <w:tcW w:type="dxa" w:w="3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Существенное несоответствие источника или контроля.</w:t>
            </w:r>
          </w:p>
        </w:tc>
      </w:tr>
      <w:tr>
        <w:tc>
          <w:tcPr>
            <w:tcW w:type="dxa" w:w="21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Данные и кибербезопасность</w:t>
            </w:r>
          </w:p>
        </w:tc>
        <w:tc>
          <w:tcPr>
            <w:tcW w:type="dxa" w:w="40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Минимизация, доступ, журнал, шифрование и реагирование.</w:t>
            </w:r>
          </w:p>
        </w:tc>
        <w:tc>
          <w:tcPr>
            <w:tcW w:type="dxa" w:w="3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Критичная утечка или потеря контроля доступа.</w:t>
            </w:r>
          </w:p>
        </w:tc>
      </w:tr>
      <w:tr>
        <w:tc>
          <w:tcPr>
            <w:tcW w:type="dxa" w:w="21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Трансграничность</w:t>
            </w:r>
          </w:p>
        </w:tc>
        <w:tc>
          <w:tcPr>
            <w:tcW w:type="dxa" w:w="402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Матрица юрисдикций, налогов, валютных и отчётных требований.</w:t>
            </w:r>
          </w:p>
        </w:tc>
        <w:tc>
          <w:tcPr>
            <w:tcW w:type="dxa" w:w="320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Поток не имеет подтверждённого режима.</w:t>
            </w:r>
          </w:p>
        </w:tc>
      </w:tr>
      <w:tr>
        <w:tc>
          <w:tcPr>
            <w:tcW w:type="dxa" w:w="21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Потеря управления</w:t>
            </w:r>
          </w:p>
        </w:tc>
        <w:tc>
          <w:tcPr>
            <w:tcW w:type="dxa" w:w="402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Замещение, преемственность и план провайдера.</w:t>
            </w:r>
          </w:p>
        </w:tc>
        <w:tc>
          <w:tcPr>
            <w:tcW w:type="dxa" w:w="320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4"/>
              </w:rPr>
              <w:t>Нет работоспособного органа решения.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Отдельная AML-функция личного фонда</w:t>
        <w:br/>
      </w:r>
      <w:r>
        <w:rPr>
          <w:rFonts w:ascii="Calibri" w:hAnsi="Calibri" w:eastAsia="Calibri"/>
          <w:color w:val="172033"/>
          <w:sz w:val="21"/>
        </w:rPr>
        <w:t>С 30 декабря 2024 г. исполнительные органы личных фондов, кроме наследственных, включены в специальный контур обязанностей по статье 7.1 № 115-ФЗ. Архитектура должна предусматривать собственные правила внутреннего контроля, идентификацию и взаимодействие с Росфинмониторингом — не только KYC банка.</w:t>
      </w:r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Правило запуска</w:t>
        <w:br/>
      </w:r>
      <w:r>
        <w:rPr>
          <w:rFonts w:ascii="Calibri" w:hAnsi="Calibri" w:eastAsia="Calibri"/>
          <w:color w:val="172033"/>
          <w:sz w:val="21"/>
        </w:rPr>
        <w:t>Налоги, AML/KYC, персональные данные, валютный режим, отчётность, защита бенефициаров и применимость гарантий проверяются для каждой оболочки, счёта и операции отдельно.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24  /  ПИЛОТ И КРИТЕРИИ РЕШЕНИЯ</w:t>
      </w:r>
    </w:p>
    <w:p>
      <w:pPr>
        <w:pStyle w:val="Heading1"/>
        <w:keepLines/>
        <w:widowControl/>
        <w:keepNext/>
      </w:pPr>
      <w:r>
        <w:t>90 дней — до доказанного решения, а не до финансового запуска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2570"/>
        <w:gridCol w:w="5540"/>
      </w:tblGrid>
      <w:tr>
        <w:trPr>
          <w:tblHeader w:val="true"/>
        </w:trPr>
        <w:tc>
          <w:tcPr>
            <w:tcW w:type="dxa" w:w="12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Срок</w:t>
            </w:r>
          </w:p>
        </w:tc>
        <w:tc>
          <w:tcPr>
            <w:tcW w:type="dxa" w:w="257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Этап</w:t>
            </w:r>
          </w:p>
        </w:tc>
        <w:tc>
          <w:tcPr>
            <w:tcW w:type="dxa" w:w="554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D7E2EA"/>
              <w:left w:val="single" w:sz="5" w:color="D7E2EA"/>
              <w:bottom w:val="single" w:sz="5" w:color="D7E2EA"/>
              <w:right w:val="single" w:sz="5" w:color="D7E2EA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 w:eastAsia="Calibri"/>
                <w:b/>
                <w:color w:val="0B2545"/>
                <w:sz w:val="15"/>
              </w:rPr>
              <w:t>Проверяемый результат</w:t>
            </w:r>
          </w:p>
        </w:tc>
      </w:tr>
      <w:tr>
        <w:tc>
          <w:tcPr>
            <w:tcW w:type="dxa" w:w="1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1–15</w:t>
            </w:r>
          </w:p>
        </w:tc>
        <w:tc>
          <w:tcPr>
            <w:tcW w:type="dxa" w:w="25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Периметр</w:t>
            </w:r>
          </w:p>
        </w:tc>
        <w:tc>
          <w:tcPr>
            <w:tcW w:type="dxa" w:w="55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Термины, запрещённые функции, юрисдикция, оболочки, роли и метрики.</w:t>
            </w:r>
          </w:p>
        </w:tc>
      </w:tr>
      <w:tr>
        <w:tc>
          <w:tcPr>
            <w:tcW w:type="dxa" w:w="12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16–30</w:t>
            </w:r>
          </w:p>
        </w:tc>
        <w:tc>
          <w:tcPr>
            <w:tcW w:type="dxa" w:w="25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Нормативная модель</w:t>
            </w:r>
          </w:p>
        </w:tc>
        <w:tc>
          <w:tcPr>
            <w:tcW w:type="dxa" w:w="55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Паспорт фонда, governance, конфликт, провайдеры, данные и модель угроз.</w:t>
            </w:r>
          </w:p>
        </w:tc>
      </w:tr>
      <w:tr>
        <w:tc>
          <w:tcPr>
            <w:tcW w:type="dxa" w:w="1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31–55</w:t>
            </w:r>
          </w:p>
        </w:tc>
        <w:tc>
          <w:tcPr>
            <w:tcW w:type="dxa" w:w="25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Прототип</w:t>
            </w:r>
          </w:p>
        </w:tc>
        <w:tc>
          <w:tcPr>
            <w:tcW w:type="dxa" w:w="55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Шесть регистров, read-only кабинет, ECO-PPA и экспорт в Архив наследия.</w:t>
            </w:r>
          </w:p>
        </w:tc>
      </w:tr>
      <w:tr>
        <w:tc>
          <w:tcPr>
            <w:tcW w:type="dxa" w:w="125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56–75</w:t>
            </w:r>
          </w:p>
        </w:tc>
        <w:tc>
          <w:tcPr>
            <w:tcW w:type="dxa" w:w="257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Сухие прогоны</w:t>
            </w:r>
          </w:p>
        </w:tc>
        <w:tc>
          <w:tcPr>
            <w:tcW w:type="dxa" w:w="5540"/>
            <w:shd w:fill="FAFBFC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Вклад, распределение, транш, отказ, конфликт, замена провайдера и инцидент.</w:t>
            </w:r>
          </w:p>
        </w:tc>
      </w:tr>
      <w:tr>
        <w:tc>
          <w:tcPr>
            <w:tcW w:type="dxa" w:w="125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76–90</w:t>
            </w:r>
          </w:p>
        </w:tc>
        <w:tc>
          <w:tcPr>
            <w:tcW w:type="dxa" w:w="257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Независимая проверка</w:t>
            </w:r>
          </w:p>
        </w:tc>
        <w:tc>
          <w:tcPr>
            <w:tcW w:type="dxa" w:w="5540"/>
            <w:shd w:fill="FFFFFF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D7E2EA"/>
              <w:left w:val="single" w:sz="4" w:color="D7E2EA"/>
              <w:bottom w:val="single" w:sz="4" w:color="D7E2EA"/>
              <w:right w:val="single" w:sz="4" w:color="D7E2EA"/>
            </w:tcBorders>
            <w:vAlign w:val="center"/>
          </w:tcPr>
          <w:p>
            <w:pPr>
              <w:spacing w:after="0" w:line="250" w:lineRule="auto"/>
            </w:pPr>
            <w:r>
              <w:rPr>
                <w:rFonts w:ascii="Calibri" w:hAnsi="Calibri" w:eastAsia="Calibri"/>
                <w:color w:val="172033"/>
                <w:sz w:val="15"/>
              </w:rPr>
              <w:t>Юридическое, налоговое, AML/KYC и ИБ-заключения; сверка; стоимость; GO / условия / NO-GO.</w:t>
            </w:r>
          </w:p>
        </w:tc>
      </w:tr>
    </w:tbl>
    <w:p>
      <w:pPr>
        <w:spacing w:after="20"/>
      </w:pPr>
    </w:p>
    <w:p>
      <w:pPr>
        <w:pStyle w:val="Callout"/>
        <w:spacing w:before="120" w:after="200" w:line="276" w:lineRule="auto"/>
        <w:shd w:fill="EAF4F0"/>
        <w:pBdr>
          <w:left w:val="single" w:sz="18" w:space="10" w:color="2F7D68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GO</w:t>
        <w:br/>
      </w:r>
      <w:r>
        <w:rPr>
          <w:rFonts w:ascii="Calibri" w:hAnsi="Calibri" w:eastAsia="Calibri"/>
          <w:color w:val="172033"/>
          <w:sz w:val="21"/>
        </w:rPr>
        <w:t>Правовой периметр подтверждён; функции закреплены за уполномоченными провайдерами; права и источники активов ясны; цепочка «источник → решение → транзакция → результат → архив» воспроизводима; разделение ролей и защита данных работают.</w:t>
      </w:r>
    </w:p>
    <w:p>
      <w:pPr>
        <w:pStyle w:val="Callout"/>
        <w:spacing w:before="120" w:after="200" w:line="276" w:lineRule="auto"/>
        <w:shd w:fill="FCEEEE"/>
        <w:pBdr>
          <w:left w:val="single" w:sz="18" w:space="10" w:color="A64040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NO-GO</w:t>
        <w:br/>
      </w:r>
      <w:r>
        <w:rPr>
          <w:rFonts w:ascii="Calibri" w:hAnsi="Calibri" w:eastAsia="Calibri"/>
          <w:color w:val="172033"/>
          <w:sz w:val="21"/>
        </w:rPr>
        <w:t>Нужны нелицензированные операции; активы нельзя обособить; права или источник не устанавливаются; требуется скрытая гарантия доходности; один участник контролирует весь цикл; критические риски данных или юрисдикции не устранены.</w:t>
      </w:r>
    </w:p>
    <w:p>
      <w:pPr>
        <w:pStyle w:val="Callout"/>
        <w:spacing w:before="120" w:after="200" w:line="276" w:lineRule="auto"/>
        <w:shd w:fill="EAF5FB"/>
        <w:pBdr>
          <w:left w:val="single" w:sz="18" w:space="10" w:color="3D8DFF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Следующее решение</w:t>
        <w:br/>
      </w:r>
      <w:r>
        <w:rPr>
          <w:rFonts w:ascii="Calibri" w:hAnsi="Calibri" w:eastAsia="Calibri"/>
          <w:color w:val="172033"/>
          <w:sz w:val="21"/>
        </w:rPr>
        <w:t>Только после условного GO — проект ограниченного 12-месячного пилота с одной законной оболочкой, партнёрским банком или кастодианом, лимитами капитала, независимым контролем и отдельным договорным пакетом.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25  /  РОССИЙСКИЕ ПРАВОВЫЕ ИСТОЧНИКИ</w:t>
      </w:r>
    </w:p>
    <w:p>
      <w:pPr>
        <w:pStyle w:val="Heading1"/>
        <w:keepLines/>
        <w:widowControl/>
        <w:keepNext/>
      </w:pPr>
      <w:r>
        <w:t>Официальные ориентиры для российского контура</w:t>
      </w:r>
    </w:p>
    <w:p>
      <w:pPr>
        <w:pStyle w:val="Lead"/>
        <w:spacing w:after="240"/>
      </w:pPr>
      <w:r>
        <w:t>Ссылки проверены на дату подготовки. Консолидированная редакция и применимость нормы подтверждаются перед каждой юридически значимой операцией.</w:t>
      </w:r>
    </w:p>
    <w:p>
      <w:pPr>
        <w:pStyle w:val="Source"/>
        <w:spacing w:after="80"/>
      </w:pPr>
      <w:hyperlink r:id="rId12">
        <w:r>
          <w:rPr>
            <w:color w:val="2E74B5"/>
            <w:u w:val="single"/>
          </w:rPr>
          <w:t>ГК РФ: Федеральный закон от 01.07.2021 № 287-ФЗ о личных фондах</w:t>
        </w:r>
      </w:hyperlink>
    </w:p>
    <w:p>
      <w:pPr>
        <w:pStyle w:val="Source"/>
        <w:spacing w:after="80"/>
      </w:pPr>
      <w:hyperlink r:id="rId13">
        <w:r>
          <w:rPr>
            <w:color w:val="2E74B5"/>
            <w:u w:val="single"/>
          </w:rPr>
          <w:t>Гражданский кодекс РФ, текущая редакция: положения о личных фондах</w:t>
        </w:r>
      </w:hyperlink>
    </w:p>
    <w:p>
      <w:pPr>
        <w:pStyle w:val="Source"/>
        <w:spacing w:after="80"/>
      </w:pPr>
      <w:hyperlink r:id="rId14">
        <w:r>
          <w:rPr>
            <w:color w:val="2E74B5"/>
            <w:u w:val="single"/>
          </w:rPr>
          <w:t>Федеральный закон от 08.08.2024 № 237-ФЗ: изменения режима имущества личного фонда</w:t>
        </w:r>
      </w:hyperlink>
    </w:p>
    <w:p>
      <w:pPr>
        <w:pStyle w:val="Source"/>
        <w:spacing w:after="80"/>
      </w:pPr>
      <w:hyperlink r:id="rId15">
        <w:r>
          <w:rPr>
            <w:color w:val="2E74B5"/>
            <w:u w:val="single"/>
          </w:rPr>
          <w:t>Федеральный закон от 08.08.2024 № 251-ФЗ: специальные правила для личных фондов</w:t>
        </w:r>
      </w:hyperlink>
    </w:p>
    <w:p>
      <w:pPr>
        <w:pStyle w:val="Source"/>
        <w:spacing w:after="80"/>
      </w:pPr>
      <w:hyperlink r:id="rId16">
        <w:r>
          <w:rPr>
            <w:color w:val="2E74B5"/>
            <w:u w:val="single"/>
          </w:rPr>
          <w:t>ФНС России: личный фонд как форма НКО и порядок изменения устава</w:t>
        </w:r>
      </w:hyperlink>
    </w:p>
    <w:p>
      <w:pPr>
        <w:pStyle w:val="Source"/>
        <w:spacing w:after="80"/>
      </w:pPr>
      <w:hyperlink r:id="rId17">
        <w:r>
          <w:rPr>
            <w:color w:val="2E74B5"/>
            <w:u w:val="single"/>
          </w:rPr>
          <w:t>Федеральный закон № 7-ФЗ «О некоммерческих организациях»</w:t>
        </w:r>
      </w:hyperlink>
    </w:p>
    <w:p>
      <w:pPr>
        <w:pStyle w:val="Source"/>
        <w:spacing w:after="80"/>
      </w:pPr>
      <w:hyperlink r:id="rId18">
        <w:r>
          <w:rPr>
            <w:color w:val="2E74B5"/>
            <w:u w:val="single"/>
          </w:rPr>
          <w:t>Федеральный закон № 135-ФЗ «О благотворительной деятельности и добровольчестве»</w:t>
        </w:r>
      </w:hyperlink>
    </w:p>
    <w:p>
      <w:pPr>
        <w:pStyle w:val="Source"/>
        <w:spacing w:after="80"/>
      </w:pPr>
      <w:hyperlink r:id="rId19">
        <w:r>
          <w:rPr>
            <w:color w:val="2E74B5"/>
            <w:u w:val="single"/>
          </w:rPr>
          <w:t>Федеральный закон № 275-ФЗ «О порядке формирования и использования целевого капитала НКО»</w:t>
        </w:r>
      </w:hyperlink>
    </w:p>
    <w:p>
      <w:pPr>
        <w:pStyle w:val="Source"/>
        <w:spacing w:after="80"/>
      </w:pPr>
      <w:hyperlink r:id="rId20">
        <w:r>
          <w:rPr>
            <w:color w:val="2E74B5"/>
            <w:u w:val="single"/>
          </w:rPr>
          <w:t>Банк России: банки и лицензируемые банковские операции</w:t>
        </w:r>
      </w:hyperlink>
    </w:p>
    <w:p>
      <w:pPr>
        <w:pStyle w:val="Source"/>
        <w:spacing w:after="80"/>
      </w:pPr>
      <w:hyperlink r:id="rId21">
        <w:r>
          <w:rPr>
            <w:color w:val="2E74B5"/>
            <w:u w:val="single"/>
          </w:rPr>
          <w:t>Банк России: проверка участника финансового рынка</w:t>
        </w:r>
      </w:hyperlink>
    </w:p>
    <w:p>
      <w:pPr>
        <w:pStyle w:val="Source"/>
        <w:spacing w:after="80"/>
      </w:pPr>
      <w:hyperlink r:id="rId22">
        <w:r>
          <w:rPr>
            <w:color w:val="2E74B5"/>
            <w:u w:val="single"/>
          </w:rPr>
          <w:t>Банк России: профессиональные участники рынка ценных бумаг</w:t>
        </w:r>
      </w:hyperlink>
    </w:p>
    <w:p>
      <w:pPr>
        <w:pStyle w:val="Source"/>
        <w:spacing w:after="80"/>
      </w:pPr>
      <w:hyperlink r:id="rId23">
        <w:r>
          <w:rPr>
            <w:color w:val="2E74B5"/>
            <w:u w:val="single"/>
          </w:rPr>
          <w:t>Федеральный закон № 115-ФЗ: ПОД/ФТ и специальные обязанности личных фондов</w:t>
        </w:r>
      </w:hyperlink>
    </w:p>
    <w:p>
      <w:pPr>
        <w:pStyle w:val="Source"/>
        <w:spacing w:after="80"/>
      </w:pPr>
      <w:hyperlink r:id="rId24">
        <w:r>
          <w:rPr>
            <w:color w:val="2E74B5"/>
            <w:u w:val="single"/>
          </w:rPr>
          <w:t>Банк России: ответ о применении требований ПОД/ФТ к личным фондам</w:t>
        </w:r>
      </w:hyperlink>
    </w:p>
    <w:p>
      <w:pPr>
        <w:pStyle w:val="Source"/>
        <w:spacing w:after="80"/>
      </w:pPr>
      <w:hyperlink r:id="rId25">
        <w:r>
          <w:rPr>
            <w:color w:val="2E74B5"/>
            <w:u w:val="single"/>
          </w:rPr>
          <w:t>Агентство по страхованию вкладов: вопросы и ответы</w:t>
        </w:r>
      </w:hyperlink>
    </w:p>
    <w:p>
      <w:pPr>
        <w:pStyle w:val="Source"/>
        <w:spacing w:before="80"/>
      </w:pPr>
      <w:r>
        <w:t>Материалы ФНС и ответы Банка России помогают интерпретации, но не заменяют текст закона и индивидуальное заключение.</w:t>
      </w:r>
    </w:p>
    <w:p>
      <w:r>
        <w:br w:type="page"/>
      </w:r>
    </w:p>
    <w:p>
      <w:pPr>
        <w:pStyle w:val="Eyebrow"/>
        <w:keepLines/>
        <w:widowControl/>
        <w:keepNext/>
      </w:pPr>
      <w:r>
        <w:t>26  /  МЕЖДУНАРОДНЫЕ ПРИНЦИПЫ И СТАТУС</w:t>
      </w:r>
    </w:p>
    <w:p>
      <w:pPr>
        <w:pStyle w:val="Heading1"/>
        <w:keepLines/>
        <w:widowControl/>
        <w:keepNext/>
      </w:pPr>
      <w:r>
        <w:t>Международные источники используются как ориентиры архитектуры</w:t>
      </w:r>
    </w:p>
    <w:p>
      <w:pPr>
        <w:pStyle w:val="Lead"/>
        <w:spacing w:after="240"/>
      </w:pPr>
      <w:r>
        <w:t>Перед трансграничным запуском правовая форма, банковские операции, бенефициарный контроль, CRS, AML/KYC, налоги и данные проверяются по каждой юрисдикции.</w:t>
      </w:r>
    </w:p>
    <w:p>
      <w:pPr>
        <w:pStyle w:val="Source"/>
        <w:spacing w:after="80"/>
      </w:pPr>
      <w:hyperlink r:id="rId26">
        <w:r>
          <w:rPr>
            <w:color w:val="2E74B5"/>
            <w:u w:val="single"/>
          </w:rPr>
          <w:t>FATF: Guidance on Beneficial Ownership of Legal Persons</w:t>
        </w:r>
      </w:hyperlink>
    </w:p>
    <w:p>
      <w:pPr>
        <w:pStyle w:val="Source"/>
        <w:spacing w:after="80"/>
      </w:pPr>
      <w:hyperlink r:id="rId27">
        <w:r>
          <w:rPr>
            <w:color w:val="2E74B5"/>
            <w:u w:val="single"/>
          </w:rPr>
          <w:t>FATF: Beneficial Ownership and Transparency of Legal Arrangements</w:t>
        </w:r>
      </w:hyperlink>
    </w:p>
    <w:p>
      <w:pPr>
        <w:pStyle w:val="Source"/>
        <w:spacing w:after="80"/>
      </w:pPr>
      <w:hyperlink r:id="rId28">
        <w:r>
          <w:rPr>
            <w:color w:val="2E74B5"/>
            <w:u w:val="single"/>
          </w:rPr>
          <w:t>G20/OECD Principles of Corporate Governance 2023</w:t>
        </w:r>
      </w:hyperlink>
    </w:p>
    <w:p>
      <w:pPr>
        <w:pStyle w:val="Source"/>
        <w:spacing w:after="80"/>
      </w:pPr>
      <w:hyperlink r:id="rId29">
        <w:r>
          <w:rPr>
            <w:color w:val="2E74B5"/>
            <w:u w:val="single"/>
          </w:rPr>
          <w:t>OECD: core principles for separation and governance of fund assets</w:t>
        </w:r>
      </w:hyperlink>
    </w:p>
    <w:p>
      <w:pPr>
        <w:pStyle w:val="Callout"/>
        <w:spacing w:before="120" w:after="200" w:line="276" w:lineRule="auto"/>
        <w:shd w:fill="FBF5E7"/>
        <w:pBdr>
          <w:left w:val="single" w:sz="18" w:space="10" w:color="A77B22"/>
        </w:pBdr>
        <w:ind w:left="180" w:right="160"/>
      </w:pPr>
      <w:r>
        <w:rPr>
          <w:rFonts w:ascii="Calibri" w:hAnsi="Calibri" w:eastAsia="Calibri"/>
          <w:b/>
          <w:color w:val="0B2545"/>
          <w:sz w:val="22"/>
        </w:rPr>
        <w:t>Правовая оговорка</w:t>
        <w:br/>
      </w:r>
      <w:r>
        <w:rPr>
          <w:rFonts w:ascii="Calibri" w:hAnsi="Calibri" w:eastAsia="Calibri"/>
          <w:color w:val="172033"/>
          <w:sz w:val="21"/>
        </w:rPr>
        <w:t>Документ представляет авторскую концепцию архитектуры и пилота. Он не является юридическим, налоговым, инвестиционным или банковским заключением; не создаёт прав на привлечение средств, выпуск денег, приём вкладов, управление чужими активами или обещание доходности.</w:t>
      </w:r>
    </w:p>
    <w:p>
      <w:pPr>
        <w:pStyle w:val="Source"/>
        <w:spacing w:before="80"/>
      </w:pPr>
      <w:r>
        <w:t>Версия 1.0  ·  29 августа 2026 г.  ·  Автор: Соколов Сергей Леонидович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E6878"/>
        <w:sz w:val="1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left"/>
    </w:pPr>
    <w:r>
      <w:t>СИСТЕМА ФОНДОВ  /  ЛИЧНЫЕ И ИМЕННЫЕ ФОНДЫ  /  ЛИЦЕНЗИРОВАННЫЙ БАНКОВСКИЙ КОНТУР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61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1">
    <w:abstractNumId w:val="61"/>
  </w:num>
  <w:abstractNum w:abstractNumId="62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2">
    <w:abstractNumId w:val="62"/>
  </w:num>
  <w:abstractNum w:abstractNumId="63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color w:val="2E74B5"/>
      </w:rPr>
    </w:lvl>
  </w:abstractNum>
  <w:num w:numId="63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i w:val="0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i w:val="0"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76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B2545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 w:line="276" w:lineRule="auto"/>
    </w:pPr>
    <w:rPr>
      <w:rFonts w:asciiTheme="majorHAnsi" w:eastAsiaTheme="majorEastAsia" w:hAnsiTheme="majorHAnsi" w:cstheme="majorBidi" w:ascii="Calibri" w:hAnsi="Calibri"/>
      <w:b w:val="0"/>
      <w:i w:val="0"/>
      <w:iCs/>
      <w:color w:val="5E68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spacing w:after="120" w:line="276" w:lineRule="auto"/>
      <w:jc w:val="left"/>
    </w:pPr>
    <w:rPr>
      <w:rFonts w:ascii="Calibri" w:hAnsi="Calibri"/>
      <w:b/>
      <w:i w:val="0"/>
      <w:color w:val="2E74B5"/>
      <w:sz w:val="18"/>
    </w:rPr>
  </w:style>
  <w:style w:type="paragraph" w:customStyle="1" w:styleId="Lead">
    <w:name w:val="Lead"/>
    <w:pPr>
      <w:spacing w:after="200" w:line="276" w:lineRule="auto"/>
      <w:jc w:val="left"/>
    </w:pPr>
    <w:rPr>
      <w:rFonts w:ascii="Calibri" w:hAnsi="Calibri"/>
      <w:b w:val="0"/>
      <w:i w:val="0"/>
      <w:color w:val="172033"/>
      <w:sz w:val="25"/>
    </w:rPr>
  </w:style>
  <w:style w:type="paragraph" w:customStyle="1" w:styleId="Callout">
    <w:name w:val="Callout"/>
    <w:pPr>
      <w:spacing w:after="160" w:line="276" w:lineRule="auto"/>
      <w:jc w:val="left"/>
    </w:pPr>
    <w:rPr>
      <w:rFonts w:ascii="Calibri" w:hAnsi="Calibri"/>
      <w:b w:val="0"/>
      <w:i w:val="0"/>
      <w:color w:val="0B2545"/>
      <w:sz w:val="22"/>
    </w:rPr>
  </w:style>
  <w:style w:type="paragraph" w:customStyle="1" w:styleId="Small">
    <w:name w:val="Small"/>
    <w:pPr>
      <w:spacing w:after="80" w:line="276" w:lineRule="auto"/>
      <w:jc w:val="left"/>
    </w:pPr>
    <w:rPr>
      <w:rFonts w:ascii="Calibri" w:hAnsi="Calibri"/>
      <w:b w:val="0"/>
      <w:i w:val="0"/>
      <w:color w:val="5E6878"/>
      <w:sz w:val="17"/>
    </w:rPr>
  </w:style>
  <w:style w:type="paragraph" w:customStyle="1" w:styleId="Source">
    <w:name w:val="Source"/>
    <w:pPr>
      <w:spacing w:after="60" w:line="276" w:lineRule="auto"/>
      <w:jc w:val="left"/>
    </w:pPr>
    <w:rPr>
      <w:rFonts w:ascii="Calibri" w:hAnsi="Calibri"/>
      <w:b w:val="0"/>
      <w:i w:val="0"/>
      <w:color w:val="5E6878"/>
      <w:sz w:val="16"/>
    </w:rPr>
  </w:style>
  <w:style w:type="paragraph" w:customStyle="1" w:styleId="Definition">
    <w:name w:val="Definition"/>
    <w:pPr>
      <w:spacing w:after="80" w:line="276" w:lineRule="auto"/>
      <w:jc w:val="left"/>
    </w:pPr>
    <w:rPr>
      <w:rFonts w:ascii="Calibri" w:hAnsi="Calibri"/>
      <w:b w:val="0"/>
      <w:i w:val="0"/>
      <w:color w:val="172033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publication.pravo.gov.ru/Document/View/0001202107010047" TargetMode="External"/><Relationship Id="rId13" Type="http://schemas.openxmlformats.org/officeDocument/2006/relationships/hyperlink" Target="https://pravo.gov.ru/proxy/ips/?docbody=&amp;nd=102033239" TargetMode="External"/><Relationship Id="rId14" Type="http://schemas.openxmlformats.org/officeDocument/2006/relationships/hyperlink" Target="https://www.kremlin.ru/acts/bank/50986/print" TargetMode="External"/><Relationship Id="rId15" Type="http://schemas.openxmlformats.org/officeDocument/2006/relationships/hyperlink" Target="https://kremlin.ru/acts/bank/50918" TargetMode="External"/><Relationship Id="rId16" Type="http://schemas.openxmlformats.org/officeDocument/2006/relationships/hyperlink" Target="https://www.nalog.gov.ru/rn37/news/activities_fts/16339647/" TargetMode="External"/><Relationship Id="rId17" Type="http://schemas.openxmlformats.org/officeDocument/2006/relationships/hyperlink" Target="https://pravo.gov.ru/proxy/ips/?docbody=&amp;nd=102039064" TargetMode="External"/><Relationship Id="rId18" Type="http://schemas.openxmlformats.org/officeDocument/2006/relationships/hyperlink" Target="https://pravo.gov.ru/proxy/ips/?docbody=&amp;nd=102037027" TargetMode="External"/><Relationship Id="rId19" Type="http://schemas.openxmlformats.org/officeDocument/2006/relationships/hyperlink" Target="https://www.pravo.gov.ru/proxy/ips/?docbody=&amp;link_id=0&amp;nd=102111248" TargetMode="External"/><Relationship Id="rId20" Type="http://schemas.openxmlformats.org/officeDocument/2006/relationships/hyperlink" Target="https://cbr.ru/admissionfinmarket/navigator/banks/" TargetMode="External"/><Relationship Id="rId21" Type="http://schemas.openxmlformats.org/officeDocument/2006/relationships/hyperlink" Target="https://cbr.ru/finorg/" TargetMode="External"/><Relationship Id="rId22" Type="http://schemas.openxmlformats.org/officeDocument/2006/relationships/hyperlink" Target="https://cbr.ru/admissionfinmarket/navigator/purcb/" TargetMode="External"/><Relationship Id="rId23" Type="http://schemas.openxmlformats.org/officeDocument/2006/relationships/hyperlink" Target="https://pravo.gov.ru/proxy/ips/?docbody=&amp;nd=102072376" TargetMode="External"/><Relationship Id="rId24" Type="http://schemas.openxmlformats.org/officeDocument/2006/relationships/hyperlink" Target="https://www.cbr.ru/Queries/UniDbQuery/File/104594/342/A" TargetMode="External"/><Relationship Id="rId25" Type="http://schemas.openxmlformats.org/officeDocument/2006/relationships/hyperlink" Target="https://www.asv.org.ru/support" TargetMode="External"/><Relationship Id="rId26" Type="http://schemas.openxmlformats.org/officeDocument/2006/relationships/hyperlink" Target="https://www.fatf-gafi.org/en/publications/Fatfrecommendations/Guidance-Beneficial-Ownership-Legal-Persons.html" TargetMode="External"/><Relationship Id="rId27" Type="http://schemas.openxmlformats.org/officeDocument/2006/relationships/hyperlink" Target="https://www.fatf-gafi.org/en/publications/Fatfrecommendations/Guidance-Beneficial-Ownership-Transparency-Legal-Arrangements.html" TargetMode="External"/><Relationship Id="rId28" Type="http://schemas.openxmlformats.org/officeDocument/2006/relationships/hyperlink" Target="https://www.oecd.org/en/publications/g20-oecd-principles-of-corporate-governance-2023_ed750b30-en/full-report/component-8.html" TargetMode="External"/><Relationship Id="rId29" Type="http://schemas.openxmlformats.org/officeDocument/2006/relationships/hyperlink" Target="https://legalinstruments.oecd.org/public/doc/344/fa84ef90-e2bd-4171-802a-b5c15aa3106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фондов: личные и именные фонды и банки</dc:title>
  <dc:subject>Концепция управления обособленными капиталами на лицензированной банковской инфраструктуре</dc:subject>
  <dc:creator>Соколов Сергей Леонидович</dc:creator>
  <cp:keywords>личный фонд, именной фонд, банк, ECO-PPA, ЭКВИЛИБРИУМ, Архив наследия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