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280"/>
        <w:jc w:val="center"/>
      </w:pPr>
      <w:r>
        <w:t>СТРАТЕГИЧЕСКАЯ КОНЦЕПЦИЯ  /  РЕДАКЦИЯ 1.0</w:t>
      </w:r>
    </w:p>
    <w:p>
      <w:pPr>
        <w:pStyle w:val="Title"/>
        <w:jc w:val="center"/>
      </w:pPr>
      <w:r>
        <w:t>СИМВОЛИЧЕСКАЯ СИСТЕМА</w:t>
        <w:br/>
        <w:t>И ЯЗЫКИ</w:t>
      </w:r>
    </w:p>
    <w:p>
      <w:pPr>
        <w:pStyle w:val="Subtitle"/>
        <w:jc w:val="center"/>
      </w:pPr>
      <w:r>
        <w:t>Проверяемый метаязык-мост для понятий, слов, изображений, данных и действий</w:t>
      </w:r>
    </w:p>
    <w:p>
      <w:pPr>
        <w:pStyle w:val="Eyebrow"/>
        <w:jc w:val="center"/>
      </w:pPr>
      <w:r>
        <w:t>ЭКВИЛИБРИУМ  ·  СФЕРА  ·  ECO-PPA  ·  СПЕЦЗАЩИТА  ·  АРХИВ НАСЛЕДИЯ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49240" cy="3010547"/>
            <wp:docPr id="1" name="Picture 1" title="Единое семантическое ядро" descr="Культурные, научные и машинные знаковые системы сходятся в прозрачное семантическое ядро; человек остаётся субъектом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mbolic_system_her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0105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Автор концепции: Соколов Сергей Леонидович</w:t>
        <w:br/>
      </w:r>
      <w:r>
        <w:t>29 августа 2026 г.  ·  Статус: проект для экспертной апробации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УПРАВЛЕНЧЕСКОЕ РЕШЕНИЕ</w:t>
      </w:r>
    </w:p>
    <w:p>
      <w:pPr>
        <w:pStyle w:val="Heading1"/>
        <w:keepLines/>
        <w:widowControl/>
        <w:keepNext/>
      </w:pPr>
      <w:r>
        <w:t>Запустить 90-дневный пилот — не объявлять новый универсальный язык</w:t>
      </w:r>
    </w:p>
    <w:p>
      <w:pPr>
        <w:pStyle w:val="Lead"/>
        <w:spacing w:after="240"/>
      </w:pPr>
      <w:r>
        <w:t>Цель пилота — доказать, что одна смысловая цепочка может связывать человека, документ, знак, правило и данные без потери контекста.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Решение</w:t>
        <w:br/>
      </w:r>
      <w:r>
        <w:rPr>
          <w:rFonts w:ascii="Calibri" w:hAnsi="Calibri" w:eastAsia="Calibri"/>
          <w:color w:val="172033"/>
          <w:sz w:val="21"/>
        </w:rPr>
        <w:t>Утвердить ограниченную апробацию: 60 базовых понятий, русский и английский языки, три прикладных сценария, шесть внешних контуров соответствия и независимое тестирование понимания.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Параметр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Предлагаемая рамка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Продукт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Федеративная символико-семантическая система: ID понятия → определения → термины → символы → правила → доказательства.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 продукт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 тайный код, не замена национальных языков, не единый набор пиктограмм и не автоматический арбитр истины.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Совместимость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BIS/CPMI, FSB, IMF, ISO, FATF, World Bank; W3C, Unicode и IETF как техническая основа.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Результат дня 90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Реестры, работающий прототип, три сквозных кейса, отчёт тестирования и решение GO / GO WITH CONDITIONS / STOP.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Критерий успеха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 рекламная «уникальность», а измеримое снижение ошибок интерпретации при полной прослеживаемости смысла.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Позиционирование</w:t>
        <w:br/>
      </w:r>
      <w:r>
        <w:rPr>
          <w:rFonts w:ascii="Calibri" w:hAnsi="Calibri" w:eastAsia="Calibri"/>
          <w:color w:val="172033"/>
          <w:sz w:val="21"/>
        </w:rPr>
        <w:t>Не заменить международные стандарты, а связать их в надстроечный проверяемый метаязык с культурной адаптацией, машинной валидацией и правом апелляции.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ОПРЕДЕЛЕНИЯ</w:t>
      </w:r>
    </w:p>
    <w:p>
      <w:pPr>
        <w:pStyle w:val="Heading1"/>
        <w:keepLines/>
        <w:widowControl/>
        <w:keepNext/>
      </w:pPr>
      <w:r>
        <w:t>Объект, понятие, знак, символ и код — не одно и то же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Объект / событие. </w:t>
      </w:r>
      <w:r>
        <w:t>фрагмент реальности или предмет рассмотрения, о котором делается утверждение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Понятие. </w:t>
      </w:r>
      <w:r>
        <w:t>единица знания, фиксирующая существенные признаки и отношения в заданной области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Знак. </w:t>
      </w:r>
      <w:r>
        <w:t>носитель, который в контексте представляет нечто иное для интерпретации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Символ. </w:t>
      </w:r>
      <w:r>
        <w:t>знак, чья функция может опираться на правило, конвенцию, привычку или частичную мотивированность; школа определения всегда указывается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Термин. </w:t>
      </w:r>
      <w:r>
        <w:t>словесное обозначение понятия в конкретном языке, отрасли и редакции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Код. </w:t>
      </w:r>
      <w:r>
        <w:t>согласованные соответствия и правила формирования либо преобразования знаков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Язык. </w:t>
      </w:r>
      <w:r>
        <w:t>знаковый инвентарь, синтаксис, семантика, прагматика, сообщество употребления и история изменений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Контекст. </w:t>
      </w:r>
      <w:r>
        <w:t>область, цель, аудитория, время, юрисдикция и ситуация, ограничивающие допустимое толкование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Ключевое различие</w:t>
        <w:br/>
      </w:r>
      <w:r>
        <w:rPr>
          <w:rFonts w:ascii="Calibri" w:hAnsi="Calibri" w:eastAsia="Calibri"/>
          <w:color w:val="172033"/>
          <w:sz w:val="21"/>
        </w:rPr>
        <w:t>Стабильный идентификатор, содержание понятия и человекочитаемое название — три разных поля. Название может меняться; идентификатор не переиспользуется.</w:t>
      </w:r>
    </w:p>
    <w:p>
      <w:pPr>
        <w:pStyle w:val="Source"/>
        <w:spacing w:before="80"/>
      </w:pPr>
      <w:r>
        <w:t>Основание: Пирс; традиция «Курса» Соссюра; Моррис; ISO 704:2022; ISO 1087:2019.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04  /  ТЕОРЕТИЧЕСКИЙ ФУНДАМЕНТ</w:t>
      </w:r>
    </w:p>
    <w:p>
      <w:pPr>
        <w:pStyle w:val="Heading1"/>
        <w:keepLines/>
        <w:widowControl/>
        <w:keepNext/>
      </w:pPr>
      <w:r>
        <w:t>Смысл возникает в отношении, системе различий и контексте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3660"/>
        <w:gridCol w:w="4250"/>
      </w:tblGrid>
      <w:tr>
        <w:trPr>
          <w:tblHeader w:val="true"/>
        </w:trPr>
        <w:tc>
          <w:tcPr>
            <w:tcW w:type="dxa" w:w="1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Школа</w:t>
            </w:r>
          </w:p>
        </w:tc>
        <w:tc>
          <w:tcPr>
            <w:tcW w:type="dxa" w:w="36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Рабочий тезис</w:t>
            </w:r>
          </w:p>
        </w:tc>
        <w:tc>
          <w:tcPr>
            <w:tcW w:type="dxa" w:w="42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Следствие для архитектуры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Ч. С. Пирс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Знак — триада: знак, объект, интерпретант; икона, индекс и символ описывают разные основания связи.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Хранить объект, функцию знака, контекст и интерпретационную гипотезу раздельно.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Ф. де Соссюр</w:t>
            </w:r>
          </w:p>
        </w:tc>
        <w:tc>
          <w:tcPr>
            <w:tcW w:type="dxa" w:w="36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 традиции «Курса» знак связывает означающее и означаемое; значимость задаётся различиями внутри системы.</w:t>
            </w:r>
          </w:p>
        </w:tc>
        <w:tc>
          <w:tcPr>
            <w:tcW w:type="dxa" w:w="42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Нельзя публиковать знак без пространства имён, оппозиций и системы терминов.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Ч. Моррис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Синтактика, семантика и прагматика — взаимосвязанные ракурсы семиозиса.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Формальная корректность не гарантирует верного референта и надлежащего употребления.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Ю. Лотман</w:t>
            </w:r>
          </w:p>
        </w:tc>
        <w:tc>
          <w:tcPr>
            <w:tcW w:type="dxa" w:w="36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Семиосфера неоднородна; границы работают как переводящие механизмы.</w:t>
            </w:r>
          </w:p>
        </w:tc>
        <w:tc>
          <w:tcPr>
            <w:tcW w:type="dxa" w:w="42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Нужна федерация локальных языков и явные переводящие шлюзы.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Э. Кассирер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Язык, миф, искусство и наука — разные символические формы организации опыта.</w:t>
            </w:r>
          </w:p>
        </w:tc>
        <w:tc>
          <w:tcPr>
            <w:tcW w:type="dxa" w:w="4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смешивать культурный, художественный, научный и юридический режимы доказательности.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У. Эко</w:t>
            </w:r>
          </w:p>
        </w:tc>
        <w:tc>
          <w:tcPr>
            <w:tcW w:type="dxa" w:w="36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Значение действует как сеть культурного знания, а интерпретация ограничена текстом и контекстом.</w:t>
            </w:r>
          </w:p>
        </w:tc>
        <w:tc>
          <w:tcPr>
            <w:tcW w:type="dxa" w:w="42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Версионировать «энциклопедию» связей; хранить уверенность, основания и рецензию.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Источниковедческая оговорка</w:t>
        <w:br/>
      </w:r>
      <w:r>
        <w:rPr>
          <w:rFonts w:ascii="Calibri" w:hAnsi="Calibri" w:eastAsia="Calibri"/>
          <w:color w:val="172033"/>
          <w:sz w:val="21"/>
        </w:rPr>
        <w:t>«Курс общей лингвистики» издан после смерти Соссюра по студенческим конспектам. Поэтому строгая атрибуция в документе — «в традиции “Курса” Соссюра».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ПРЕДМЕТ ПРОЕКТА</w:t>
      </w:r>
    </w:p>
    <w:p>
      <w:pPr>
        <w:pStyle w:val="Heading1"/>
        <w:keepLines/>
        <w:widowControl/>
        <w:keepNext/>
      </w:pPr>
      <w:r>
        <w:t>Проверяемый метаязык-мост, а не универсальный алфавит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Система создаёт</w:t>
            </w:r>
          </w:p>
        </w:tc>
        <w:tc>
          <w:tcPr>
            <w:tcW w:type="dxa" w:w="46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Система не обещает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устойчивые ID понятий и версий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один символ с одинаковым смыслом во всех культурах</w:t>
            </w:r>
          </w:p>
        </w:tc>
      </w:tr>
      <w:tr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управляемую многоязычную термбазу</w:t>
            </w:r>
          </w:p>
        </w:tc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автоматически точный перевод без эксперта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реестр графических и иных выражений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замену текста пиктограммами</w:t>
            </w:r>
          </w:p>
        </w:tc>
      </w:tr>
      <w:tr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формальные отношения и ограничения</w:t>
            </w:r>
          </w:p>
        </w:tc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полноту мира в одной закрытой онтологии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явные типы соответствия внешним стандартам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право переписывать BIS, FSB, IMF, ISO, FATF или World Bank</w:t>
            </w:r>
          </w:p>
        </w:tc>
      </w:tr>
      <w:tr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происхождение, версии, решения и апелляции</w:t>
            </w:r>
          </w:p>
        </w:tc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неоспоримый вывод ИИ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федеративное владение первичным знанием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централизованное изъятие локального знания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Сильная формула</w:t>
        <w:br/>
      </w:r>
      <w:r>
        <w:rPr>
          <w:rFonts w:ascii="Calibri" w:hAnsi="Calibri" w:eastAsia="Calibri"/>
          <w:color w:val="172033"/>
          <w:sz w:val="21"/>
        </w:rPr>
        <w:t>Много языков — одно управляемое смысловое ядро — ни одной молчаливой подмены значения.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06  /  АРХИТЕКТУРА</w:t>
      </w:r>
    </w:p>
    <w:p>
      <w:pPr>
        <w:pStyle w:val="Heading1"/>
        <w:keepLines/>
        <w:widowControl/>
        <w:keepNext/>
      </w:pPr>
      <w:r>
        <w:t>Шесть слоёв связывают реальность и доказательство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450"/>
        <w:gridCol w:w="6260"/>
      </w:tblGrid>
      <w:tr>
        <w:trPr>
          <w:tblHeader w:val="true"/>
        </w:trPr>
        <w:tc>
          <w:tcPr>
            <w:tcW w:type="dxa" w:w="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№</w:t>
            </w:r>
          </w:p>
        </w:tc>
        <w:tc>
          <w:tcPr>
            <w:tcW w:type="dxa" w:w="2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Слой</w:t>
            </w:r>
          </w:p>
        </w:tc>
        <w:tc>
          <w:tcPr>
            <w:tcW w:type="dxa" w:w="6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Что фиксируется</w:t>
            </w:r>
          </w:p>
        </w:tc>
      </w:tr>
      <w:tr>
        <w:tc>
          <w:tcPr>
            <w:tcW w:type="dxa" w:w="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</w:t>
            </w:r>
          </w:p>
        </w:tc>
        <w:tc>
          <w:tcPr>
            <w:tcW w:type="dxa" w:w="2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Реальность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объект, событие, наблюдение, территория, время, участники</w:t>
            </w:r>
          </w:p>
        </w:tc>
      </w:tr>
      <w:tr>
        <w:tc>
          <w:tcPr>
            <w:tcW w:type="dxa" w:w="6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2</w:t>
            </w:r>
          </w:p>
        </w:tc>
        <w:tc>
          <w:tcPr>
            <w:tcW w:type="dxa" w:w="2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Понятие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определение, признаки, отношения, область, примеры и контрпримеры</w:t>
            </w:r>
          </w:p>
        </w:tc>
      </w:tr>
      <w:tr>
        <w:tc>
          <w:tcPr>
            <w:tcW w:type="dxa" w:w="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3</w:t>
            </w:r>
          </w:p>
        </w:tc>
        <w:tc>
          <w:tcPr>
            <w:tcW w:type="dxa" w:w="2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Человеческие языки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термины, синонимы, простое объяснение, язык, письменность, отрасль</w:t>
            </w:r>
          </w:p>
        </w:tc>
      </w:tr>
      <w:tr>
        <w:tc>
          <w:tcPr>
            <w:tcW w:type="dxa" w:w="6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4</w:t>
            </w:r>
          </w:p>
        </w:tc>
        <w:tc>
          <w:tcPr>
            <w:tcW w:type="dxa" w:w="2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Выражения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графический символ, схема, формула, карта, жест, звук; функция и профиль применения</w:t>
            </w:r>
          </w:p>
        </w:tc>
      </w:tr>
      <w:tr>
        <w:tc>
          <w:tcPr>
            <w:tcW w:type="dxa" w:w="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5</w:t>
            </w:r>
          </w:p>
        </w:tc>
        <w:tc>
          <w:tcPr>
            <w:tcW w:type="dxa" w:w="2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Машинная семантика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RDF/JSON-LD, SKOS/OWL, SHACL, запросы, API и контролируемые схемы</w:t>
            </w:r>
          </w:p>
        </w:tc>
      </w:tr>
      <w:tr>
        <w:tc>
          <w:tcPr>
            <w:tcW w:type="dxa" w:w="6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6</w:t>
            </w:r>
          </w:p>
        </w:tc>
        <w:tc>
          <w:tcPr>
            <w:tcW w:type="dxa" w:w="2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Управление и доказательство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владелец, версия, источник, решение, тест, доступ, апелляция и архив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Инвариант</w:t>
        <w:br/>
      </w:r>
      <w:r>
        <w:rPr>
          <w:rFonts w:ascii="Calibri" w:hAnsi="Calibri" w:eastAsia="Calibri"/>
          <w:color w:val="172033"/>
          <w:sz w:val="21"/>
        </w:rPr>
        <w:t>Любой публичный или машинный вывод должен позволять пройти назад: выражение → понятие → исходный объект → источник → правило → решение → версия.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Смысловая цепочка считается неполной, если любой переход основан только на предположении ИИ.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Разные символические формы могут ссылаться на одно понятие, но сохраняют собственный контекст и режим доказательности.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07  /  ЕДИНИЦА СИСТЕМЫ</w:t>
      </w:r>
    </w:p>
    <w:p>
      <w:pPr>
        <w:pStyle w:val="Heading1"/>
        <w:keepLines/>
        <w:widowControl/>
        <w:keepNext/>
      </w:pPr>
      <w:r>
        <w:t>Паспорт символико-семантической единицы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Блок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Обязательные поля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concept_id, type, namespace, status, owner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Содержание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определение, область, необходимые признаки, примеры, контрпримеры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Языки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preferred / admitted / deprecated labels, BCP 47, письменность, отрасль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Выражения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symbol_id, файл/нотация, функция, размер, цветовой профиль, доступное имя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Связи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broader, narrower, related, part-of, causes, measures, exact/close mapping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Формализация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аксиомы, ограничения, единицы, кардинальность, допустимые значения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Контекст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аудитория, юрисдикция, цель, канал, жизненный цикл, запреты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Происхождение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source, author, license, issued, modified, evidence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Версия и решение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version IRI, supersedes, review, approver, confidence, appeal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Запрет</w:t>
        <w:br/>
      </w:r>
      <w:r>
        <w:rPr>
          <w:rFonts w:ascii="Calibri" w:hAnsi="Calibri" w:eastAsia="Calibri"/>
          <w:color w:val="172033"/>
          <w:sz w:val="21"/>
        </w:rPr>
        <w:t>Нормативный символ, его пояснение и декоративная иллюстрация — разные типы объектов и не могут подменять друг друга.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РЕЕСТРЫ</w:t>
      </w:r>
    </w:p>
    <w:p>
      <w:pPr>
        <w:pStyle w:val="Heading1"/>
        <w:keepLines/>
        <w:widowControl/>
        <w:keepNext/>
      </w:pPr>
      <w:r>
        <w:t>Восемь взаимосвязанных реестров вместо одного словаря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R1  </w:t>
      </w:r>
      <w:r>
        <w:rPr>
          <w:rFonts w:ascii="Calibri" w:hAnsi="Calibri" w:eastAsia="Calibri"/>
          <w:b/>
          <w:color w:val="0B2545"/>
          <w:sz w:val="22"/>
        </w:rPr>
        <w:t xml:space="preserve">Понятия — </w:t>
      </w:r>
      <w:r>
        <w:t>ID, определение, область, отношения, примеры и контрпримеры.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R2  </w:t>
      </w:r>
      <w:r>
        <w:rPr>
          <w:rFonts w:ascii="Calibri" w:hAnsi="Calibri" w:eastAsia="Calibri"/>
          <w:b/>
          <w:color w:val="0B2545"/>
          <w:sz w:val="22"/>
        </w:rPr>
        <w:t xml:space="preserve">Термины — </w:t>
      </w:r>
      <w:r>
        <w:t>язык, письменность, отрасль, предпочтительный и запрещённый варианты.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R3  </w:t>
      </w:r>
      <w:r>
        <w:rPr>
          <w:rFonts w:ascii="Calibri" w:hAnsi="Calibri" w:eastAsia="Calibri"/>
          <w:b/>
          <w:color w:val="0B2545"/>
          <w:sz w:val="22"/>
        </w:rPr>
        <w:t xml:space="preserve">Выражения — </w:t>
      </w:r>
      <w:r>
        <w:t>пиктограммы, формулы, схемы, звуки, жесты, текстовые эквиваленты.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R4  </w:t>
      </w:r>
      <w:r>
        <w:rPr>
          <w:rFonts w:ascii="Calibri" w:hAnsi="Calibri" w:eastAsia="Calibri"/>
          <w:b/>
          <w:color w:val="0B2545"/>
          <w:sz w:val="22"/>
        </w:rPr>
        <w:t xml:space="preserve">Контексты — </w:t>
      </w:r>
      <w:r>
        <w:t>аудитория, цель, юрисдикция, канал, культурные ограничения.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R5  </w:t>
      </w:r>
      <w:r>
        <w:rPr>
          <w:rFonts w:ascii="Calibri" w:hAnsi="Calibri" w:eastAsia="Calibri"/>
          <w:b/>
          <w:color w:val="0B2545"/>
          <w:sz w:val="22"/>
        </w:rPr>
        <w:t xml:space="preserve">Правила — </w:t>
      </w:r>
      <w:r>
        <w:t>аксиомы, SHACL-ограничения, контролируемые схемы и проверочные тесты.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R6  </w:t>
      </w:r>
      <w:r>
        <w:rPr>
          <w:rFonts w:ascii="Calibri" w:hAnsi="Calibri" w:eastAsia="Calibri"/>
          <w:b/>
          <w:color w:val="0B2545"/>
          <w:sz w:val="22"/>
        </w:rPr>
        <w:t xml:space="preserve">Соответствия — </w:t>
      </w:r>
      <w:r>
        <w:t>внешняя система, версия, тип связи, уверенность и валидатор.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R7  </w:t>
      </w:r>
      <w:r>
        <w:rPr>
          <w:rFonts w:ascii="Calibri" w:hAnsi="Calibri" w:eastAsia="Calibri"/>
          <w:b/>
          <w:color w:val="0B2545"/>
          <w:sz w:val="22"/>
        </w:rPr>
        <w:t xml:space="preserve">Доказательства — </w:t>
      </w:r>
      <w:r>
        <w:t>источник, происхождение, лицензия, рецензия, результаты испытаний.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R8  </w:t>
      </w:r>
      <w:r>
        <w:rPr>
          <w:rFonts w:ascii="Calibri" w:hAnsi="Calibri" w:eastAsia="Calibri"/>
          <w:b/>
          <w:color w:val="0B2545"/>
          <w:sz w:val="22"/>
        </w:rPr>
        <w:t xml:space="preserve">Решения и версии — </w:t>
      </w:r>
      <w:r>
        <w:t>владелец, статус, дата, supersedes, журнал изменений и апелляция.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Сквозной ключ</w:t>
        <w:br/>
      </w:r>
      <w:r>
        <w:rPr>
          <w:rFonts w:ascii="Calibri" w:hAnsi="Calibri" w:eastAsia="Calibri"/>
          <w:color w:val="172033"/>
          <w:sz w:val="21"/>
        </w:rPr>
        <w:t>Понятие — центр связности. Слово, символ, формула и машинная запись не дублируют понятие, а ссылаются на него через явный тип отношения.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09  /  ЯЗЫКОВАЯ АРХИТЕКТУРА</w:t>
      </w:r>
    </w:p>
    <w:p>
      <w:pPr>
        <w:pStyle w:val="Heading1"/>
        <w:keepLines/>
        <w:widowControl/>
        <w:keepNext/>
      </w:pPr>
      <w:r>
        <w:t>Каждый язык решает свою задачу — ни один не объявляется главным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3530"/>
        <w:gridCol w:w="3530"/>
      </w:tblGrid>
      <w:tr>
        <w:trPr>
          <w:tblHeader w:val="true"/>
        </w:trPr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Язык / режим</w:t>
            </w:r>
          </w:p>
        </w:tc>
        <w:tc>
          <w:tcPr>
            <w:tcW w:type="dxa" w:w="35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Сильная сторона</w:t>
            </w:r>
          </w:p>
        </w:tc>
        <w:tc>
          <w:tcPr>
            <w:tcW w:type="dxa" w:w="35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Ограничение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Естественный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богатство, диалог, культурная точность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полисемия и зависимость от контекста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Простой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понимание широкой аудиторией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упрощение не должно искажать норму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Контролируемый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однозначные инструкции и проверка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ограниченный словарь и выразительность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Визуальный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быстрое распознавание и обзор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культурная неоднозначность; нужен тест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Математический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компактность и выводимость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предполагает подготовку и заданные допущения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Формально-логический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аксиомы, ограничения, непротиворечивость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исчерпывает социальный смысл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Машинный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обмен, валидация, запросы, автоматизация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схема без семантики создаёт ложную совместимость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Художественный / ритуальный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память, идентичность, многозначность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иной режим доказательности; нельзя нормировать как инструкцию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Ориентиры: ISO 24495-1; ASD-STE100; Unicode/CLDR; W3C; Пирс, Моррис, Лотман, Кассирер, Эко.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ПЕРЕВОД</w:t>
      </w:r>
    </w:p>
    <w:p>
      <w:pPr>
        <w:pStyle w:val="Heading1"/>
        <w:keepLines/>
        <w:widowControl/>
        <w:keepNext/>
      </w:pPr>
      <w:r>
        <w:t>Перевод — типизированное соответствие, а не замена строк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80"/>
        <w:gridCol w:w="3480"/>
      </w:tblGrid>
      <w:tr>
        <w:trPr>
          <w:tblHeader w:val="true"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Тип связи</w:t>
            </w:r>
          </w:p>
        </w:tc>
        <w:tc>
          <w:tcPr>
            <w:tcW w:type="dxa" w:w="40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Смысл</w:t>
            </w:r>
          </w:p>
        </w:tc>
        <w:tc>
          <w:tcPr>
            <w:tcW w:type="dxa" w:w="34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Разрешённое использование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exact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объёмы понятий совпадают в заявленном контексте</w:t>
            </w:r>
          </w:p>
        </w:tc>
        <w:tc>
          <w:tcPr>
            <w:tcW w:type="dxa" w:w="3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автоматический обмен после валидации</w:t>
            </w:r>
          </w:p>
        </w:tc>
      </w:tr>
      <w:tr>
        <w:tc>
          <w:tcPr>
            <w:tcW w:type="dxa" w:w="18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close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практически близки, но остаётся существенное различие</w:t>
            </w:r>
          </w:p>
        </w:tc>
        <w:tc>
          <w:tcPr>
            <w:tcW w:type="dxa" w:w="34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показать оговорку; не считать тождеством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broad / narrow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одно понятие шире или уже другого</w:t>
            </w:r>
          </w:p>
        </w:tc>
        <w:tc>
          <w:tcPr>
            <w:tcW w:type="dxa" w:w="3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явное преобразование с возможной потерей</w:t>
            </w:r>
          </w:p>
        </w:tc>
      </w:tr>
      <w:tr>
        <w:tc>
          <w:tcPr>
            <w:tcW w:type="dxa" w:w="18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contextual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совпадение действует только в области, юрисдикции или фазе</w:t>
            </w:r>
          </w:p>
        </w:tc>
        <w:tc>
          <w:tcPr>
            <w:tcW w:type="dxa" w:w="34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обязателен профиль контекста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proposed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соответствие предложено человеком или ИИ</w:t>
            </w:r>
          </w:p>
        </w:tc>
        <w:tc>
          <w:tcPr>
            <w:tcW w:type="dxa" w:w="3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только черновик; требует рецензии</w:t>
            </w:r>
          </w:p>
        </w:tc>
      </w:tr>
      <w:tr>
        <w:tc>
          <w:tcPr>
            <w:tcW w:type="dxa" w:w="18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conflicted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есть конкурирующие толкования</w:t>
            </w:r>
          </w:p>
        </w:tc>
        <w:tc>
          <w:tcPr>
            <w:tcW w:type="dxa" w:w="34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запрет автоматического решения; апелляция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none / unknown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эквивалент отсутствует или не установлен</w:t>
            </w:r>
          </w:p>
        </w:tc>
        <w:tc>
          <w:tcPr>
            <w:tcW w:type="dxa" w:w="3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сохранить оригинал и неопределённость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безопасности</w:t>
        <w:br/>
      </w:r>
      <w:r>
        <w:rPr>
          <w:rFonts w:ascii="Calibri" w:hAnsi="Calibri" w:eastAsia="Calibri"/>
          <w:color w:val="172033"/>
          <w:sz w:val="21"/>
        </w:rPr>
        <w:t>Ни одна система не должна молча повышать close, contextual или proposed до exact. Автоматический перевод сохраняет оригинал, версию модели, уверенность и основания.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11  /  ИДЕНТИФИКАТОРЫ И ВЕРСИИ</w:t>
      </w:r>
    </w:p>
    <w:p>
      <w:pPr>
        <w:pStyle w:val="Heading1"/>
        <w:keepLines/>
        <w:widowControl/>
        <w:keepNext/>
      </w:pPr>
      <w:r>
        <w:t>Стабильная идентичность — изменяемое содержание — неизменяемая история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400"/>
        <w:gridCol w:w="3360"/>
      </w:tblGrid>
      <w:tr>
        <w:trPr>
          <w:tblHeader w:val="true"/>
        </w:trPr>
        <w:tc>
          <w:tcPr>
            <w:tcW w:type="dxa" w:w="1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Объект</w:t>
            </w:r>
          </w:p>
        </w:tc>
        <w:tc>
          <w:tcPr>
            <w:tcW w:type="dxa" w:w="44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Пример паттерна</w:t>
            </w:r>
          </w:p>
        </w:tc>
        <w:tc>
          <w:tcPr>
            <w:tcW w:type="dxa" w:w="33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Правило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Понятие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https://id.example.org/concept/{opaque-id}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ID не содержит изменчивого названия и не переиспользуется</w:t>
            </w:r>
          </w:p>
        </w:tc>
      </w:tr>
      <w:tr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Словарь-серия</w:t>
            </w:r>
          </w:p>
        </w:tc>
        <w:tc>
          <w:tcPr>
            <w:tcW w:type="dxa" w:w="44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https://vocab.example.org/biosphere</w:t>
            </w:r>
          </w:p>
        </w:tc>
        <w:tc>
          <w:tcPr>
            <w:tcW w:type="dxa" w:w="33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указывает на актуальную опубликованную редакцию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Версия словаря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.../biosphere/2026-08-29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неизменяемый снимок, доступный после замены</w:t>
            </w:r>
          </w:p>
        </w:tc>
      </w:tr>
      <w:tr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Термин</w:t>
            </w:r>
          </w:p>
        </w:tc>
        <w:tc>
          <w:tcPr>
            <w:tcW w:type="dxa" w:w="44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.../biosphere#Biocenosis</w:t>
            </w:r>
          </w:p>
        </w:tc>
        <w:tc>
          <w:tcPr>
            <w:tcW w:type="dxa" w:w="33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сохраняется при совместимом уточнении; deprecated при выводе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Набор данных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https://data.example.org/dataset/water-quality</w:t>
            </w:r>
          </w:p>
        </w:tc>
        <w:tc>
          <w:tcPr>
            <w:tcW w:type="dxa" w:w="3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серия отдельно от снимка данных</w:t>
            </w:r>
          </w:p>
        </w:tc>
      </w:tr>
    </w:tbl>
    <w:p>
      <w:pPr>
        <w:spacing w:after="20"/>
      </w:pPr>
    </w:p>
    <w:p>
      <w:pPr>
        <w:spacing w:after="160" w:line="280" w:lineRule="auto"/>
        <w:jc w:val="left"/>
        <w:numPr>
          <w:ilvl w:val="0"/>
          <w:numId w:val="61"/>
        </w:numPr>
      </w:pPr>
      <w:r>
        <w:t>Канонизация URI выполняется единым сервисом; визуально похожие кириллические и латинские символы не считаются равными.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Несовместимая смена смысла получает новый ID и явную связь с заменённым понятием.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Версия содержит предшественника, описание изменений, дату, автора и оценку обратной совместимости.</w:t>
      </w:r>
    </w:p>
    <w:p>
      <w:pPr>
        <w:pStyle w:val="Source"/>
        <w:spacing w:before="80"/>
      </w:pPr>
      <w:r>
        <w:t>Основание: RFC 3986, RFC 3987, RFC 8820; OWL 2; DCAT 3; Data on the Web Best Practices.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ТЕХНИЧЕСКИЙ СТЕК</w:t>
      </w:r>
    </w:p>
    <w:p>
      <w:pPr>
        <w:pStyle w:val="Heading1"/>
        <w:keepLines/>
        <w:widowControl/>
        <w:keepNext/>
      </w:pPr>
      <w:r>
        <w:t>Открытые стандарты распределяют роли между представлением, смыслом и проверкой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2300"/>
        <w:gridCol w:w="5210"/>
      </w:tblGrid>
      <w:tr>
        <w:trPr>
          <w:tblHeader w:val="true"/>
        </w:trPr>
        <w:tc>
          <w:tcPr>
            <w:tcW w:type="dxa" w:w="1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Уровень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Стандарт</w:t>
            </w:r>
          </w:p>
        </w:tc>
        <w:tc>
          <w:tcPr>
            <w:tcW w:type="dxa" w:w="52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Роль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Символы и локали</w:t>
            </w:r>
          </w:p>
        </w:tc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Unicode, CLDR, BCP 47</w:t>
            </w:r>
          </w:p>
        </w:tc>
        <w:tc>
          <w:tcPr>
            <w:tcW w:type="dxa" w:w="5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символы, письменности, языковые теги, локальные форматы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URI / IRI</w:t>
            </w:r>
          </w:p>
        </w:tc>
        <w:tc>
          <w:tcPr>
            <w:tcW w:type="dxa" w:w="5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глобально различимые устойчивые ссылки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Обмен графами</w:t>
            </w:r>
          </w:p>
        </w:tc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RDF, JSON-LD</w:t>
            </w:r>
          </w:p>
        </w:tc>
        <w:tc>
          <w:tcPr>
            <w:tcW w:type="dxa" w:w="5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машинное представление утверждений и контекста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Словари</w:t>
            </w:r>
          </w:p>
        </w:tc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SKOS</w:t>
            </w:r>
          </w:p>
        </w:tc>
        <w:tc>
          <w:tcPr>
            <w:tcW w:type="dxa" w:w="5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понятия, иерархии и типы соответствия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Онтологии</w:t>
            </w:r>
          </w:p>
        </w:tc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OWL 2</w:t>
            </w:r>
          </w:p>
        </w:tc>
        <w:tc>
          <w:tcPr>
            <w:tcW w:type="dxa" w:w="5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классы, свойства, аксиомы и вывод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Валидация</w:t>
            </w:r>
          </w:p>
        </w:tc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SHACL</w:t>
            </w:r>
          </w:p>
        </w:tc>
        <w:tc>
          <w:tcPr>
            <w:tcW w:type="dxa" w:w="5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проверяемые формы и ограничения данных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Запросы</w:t>
            </w:r>
          </w:p>
        </w:tc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SPARQL</w:t>
            </w:r>
          </w:p>
        </w:tc>
        <w:tc>
          <w:tcPr>
            <w:tcW w:type="dxa" w:w="5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поиск связей и объяснимых путей</w:t>
            </w:r>
          </w:p>
        </w:tc>
      </w:tr>
      <w:tr>
        <w:tc>
          <w:tcPr>
            <w:tcW w:type="dxa" w:w="18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Происхождение</w:t>
            </w:r>
          </w:p>
        </w:tc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PROV-O</w:t>
            </w:r>
          </w:p>
        </w:tc>
        <w:tc>
          <w:tcPr>
            <w:tcW w:type="dxa" w:w="5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кто, когда и на каком основании создал утверждение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Каталоги</w:t>
            </w:r>
          </w:p>
        </w:tc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DCAT 3</w:t>
            </w:r>
          </w:p>
        </w:tc>
        <w:tc>
          <w:tcPr>
            <w:tcW w:type="dxa" w:w="5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публикация наборов, версий, сервисов и политик доступа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Принцип</w:t>
        <w:br/>
      </w:r>
      <w:r>
        <w:rPr>
          <w:rFonts w:ascii="Calibri" w:hAnsi="Calibri" w:eastAsia="Calibri"/>
          <w:color w:val="172033"/>
          <w:sz w:val="21"/>
        </w:rPr>
        <w:t>Стек выбирается не «потому что стандарт», а потому что каждая роль имеет открытый формат, автоматический тест и путь миграции.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13  /  ВИЗУАЛЬНЫЙ ЯЗЫК</w:t>
      </w:r>
    </w:p>
    <w:p>
      <w:pPr>
        <w:pStyle w:val="Heading1"/>
        <w:keepLines/>
        <w:widowControl/>
        <w:keepNext/>
      </w:pPr>
      <w:r>
        <w:t>Понимание и доступность измеряются, а не предполагаются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Проектное требование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Понимание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ISO 9186-подобный тест по каждой целевой культурной и языковой группе; целевой порог ≥85% для обычного символа.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Различимость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Элементы распознаются при минимальном рабочем размере; целевой порог ≥95%; путаница близких символов &lt;5%.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Доступность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Текстовый эквивалент 100% значимых изображений; смысл никогда не передаётся только цветом, формой или положением.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Контраст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Цель WCAG 2.2 AA: 4,5:1 для обычного текста; 3:1 для крупного текста и значимой графики.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Локализация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BCP 47, CLDR, RTL/LTR, шрифты и графемные кластеры; флаг не используется как обозначение языка.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Безопасность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ISO 7010/3864 — отдельное защищённое пространство имён; знаки не перекрашиваются и не переопределяются.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Культурная защита</w:t>
        <w:br/>
      </w:r>
      <w:r>
        <w:rPr>
          <w:rFonts w:ascii="Calibri" w:hAnsi="Calibri" w:eastAsia="Calibri"/>
          <w:color w:val="172033"/>
          <w:sz w:val="21"/>
        </w:rPr>
        <w:t>Сакральные, этнические и исторические символы публикуются с описанием сообщества, происхождением, ограничениями применения и правом сообщества оспорить трактовку.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14  /  МЕЖДУНАРОДНЫЙ БЕНЧМАРК</w:t>
      </w:r>
    </w:p>
    <w:p>
      <w:pPr>
        <w:pStyle w:val="Heading1"/>
        <w:keepLines/>
        <w:widowControl/>
        <w:keepNext/>
      </w:pPr>
      <w:r>
        <w:t>Что дают BIS, FSB, IMF, ISO, FATF и World Bank — и какой слой остаётся связать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3860"/>
        <w:gridCol w:w="4200"/>
      </w:tblGrid>
      <w:tr>
        <w:trPr>
          <w:tblHeader w:val="true"/>
        </w:trPr>
        <w:tc>
          <w:tcPr>
            <w:tcW w:type="dxa" w:w="1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3"/>
              </w:rPr>
              <w:t>Контур</w:t>
            </w:r>
          </w:p>
        </w:tc>
        <w:tc>
          <w:tcPr>
            <w:tcW w:type="dxa" w:w="3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3"/>
              </w:rPr>
              <w:t>Сильная сторона</w:t>
            </w:r>
          </w:p>
        </w:tc>
        <w:tc>
          <w:tcPr>
            <w:tcW w:type="dxa" w:w="4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3"/>
              </w:rPr>
              <w:t>Задача надстройки</w:t>
            </w:r>
          </w:p>
        </w:tc>
      </w:tr>
      <w:tr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BIS / CPMI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ISO 20022, гармонизированные требования, глоссарии и структурированные сообщения.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Связать финансовое сообщение с понятиями, визуальными объяснениями, контекстом и происхождением.</w:t>
            </w:r>
          </w:p>
        </w:tc>
      </w:tr>
      <w:tr>
        <w:tc>
          <w:tcPr>
            <w:tcW w:type="dxa" w:w="1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FSB</w:t>
            </w:r>
          </w:p>
        </w:tc>
        <w:tc>
          <w:tcPr>
            <w:tcW w:type="dxa" w:w="38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LEI, UTI, UPI и управление глобальными идентификаторами; обновляемые лексиконы.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Добавить единый паспорт понятия и типизированные связи сущность ↔ продукт ↔ событие ↔ решение.</w:t>
            </w:r>
          </w:p>
        </w:tc>
      </w:tr>
      <w:tr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IMF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SDMX, стандарты распространения, метаданные и DQAF качества данных.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Связать показатель с формулой, семантикой, версией, интерпретацией и прикладным действием.</w:t>
            </w:r>
          </w:p>
        </w:tc>
      </w:tr>
      <w:tr>
        <w:tc>
          <w:tcPr>
            <w:tcW w:type="dxa" w:w="1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ISO</w:t>
            </w:r>
          </w:p>
        </w:tc>
        <w:tc>
          <w:tcPr>
            <w:tcW w:type="dxa" w:w="38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межотраслевые принципы терминологии, метаданных, кодов и испытаний символов.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Собрать разрозненные нормы в операционный профиль с открытыми машиночитаемыми соответствиями.</w:t>
            </w:r>
          </w:p>
        </w:tc>
      </w:tr>
      <w:tr>
        <w:tc>
          <w:tcPr>
            <w:tcW w:type="dxa" w:w="1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FATF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Recommendations, glossary, risk-based approach; различение соответствия и эффективности.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Формализовать контролируемый словарь, контекст нормы, доказательство и запрет автоматического правового вывода.</w:t>
            </w:r>
          </w:p>
        </w:tc>
      </w:tr>
      <w:tr>
        <w:tc>
          <w:tcPr>
            <w:tcW w:type="dxa" w:w="1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World Bank</w:t>
            </w:r>
          </w:p>
        </w:tc>
        <w:tc>
          <w:tcPr>
            <w:tcW w:type="dxa" w:w="38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коды и метаданные индикаторов, методологии, каталоги и открытая публикация данных.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3"/>
              </w:rPr>
              <w:t>Соединить показатель с локальным понятием, решением, культурным представлением и версией классификации.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Корректная претензия</w:t>
        <w:br/>
      </w:r>
      <w:r>
        <w:rPr>
          <w:rFonts w:ascii="Calibri" w:hAnsi="Calibri" w:eastAsia="Calibri"/>
          <w:color w:val="172033"/>
          <w:sz w:val="21"/>
        </w:rPr>
        <w:t>Предлагаемая система проектируется шире по сквозной связности слоёв. Она считается «лучше» только там, где пилот покажет более низкую ошибку интерпретации и более быструю трассировку — при сохранении совместимости с источником.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ПРОВЕРЯЕМОЕ ПРЕИМУЩЕСТВО</w:t>
      </w:r>
    </w:p>
    <w:p>
      <w:pPr>
        <w:pStyle w:val="Heading1"/>
        <w:keepLines/>
        <w:widowControl/>
        <w:keepNext/>
      </w:pPr>
      <w:r>
        <w:t>Десять критериев вместо декларации «лучше мировых институтов»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3530"/>
        <w:gridCol w:w="3530"/>
      </w:tblGrid>
      <w:tr>
        <w:trPr>
          <w:tblHeader w:val="true"/>
        </w:trPr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Критерий</w:t>
            </w:r>
          </w:p>
        </w:tc>
        <w:tc>
          <w:tcPr>
            <w:tcW w:type="dxa" w:w="35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Базовое состояние</w:t>
            </w:r>
          </w:p>
        </w:tc>
        <w:tc>
          <w:tcPr>
            <w:tcW w:type="dxa" w:w="35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Цель пилота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Смысловой ID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коды и термины живут раздельно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100% понятий имеют устойчивый ID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Прослеживаемость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источник ищется вручную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≤5 минут: знак → определение → источник → решение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Многоязычие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таблица переводов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тип связи, контекст и версия для 100% соответствий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Машинная проверка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валиден только формат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≥95% критических SHACL-проверок проходит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Культурное понимание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предполагается дизайнером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≥85% по каждой тестовой группе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Доступность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добавляется после дизайна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0 критических нарушений; 100% текстовых эквивалентов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Происхождение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ссылка без цепочки решений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100% записей: источник, владелец, версия, статус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Федерация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центральная копия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локальный владелец и обратимые отображения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ИИ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правдоподобный ответ</w:t>
            </w:r>
          </w:p>
        </w:tc>
        <w:tc>
          <w:tcPr>
            <w:tcW w:type="dxa" w:w="35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0 молчаливых exact; все предложения имеют уверенность</w:t>
            </w:r>
          </w:p>
        </w:tc>
      </w:tr>
      <w:tr>
        <w:tc>
          <w:tcPr>
            <w:tcW w:type="dxa" w:w="23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Апелляция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ручная переписка</w:t>
            </w:r>
          </w:p>
        </w:tc>
        <w:tc>
          <w:tcPr>
            <w:tcW w:type="dxa" w:w="35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100% спорных связей имеют журнал и маршрут решения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Итоговый KPI</w:t>
        <w:br/>
      </w:r>
      <w:r>
        <w:rPr>
          <w:rFonts w:ascii="Calibri" w:hAnsi="Calibri" w:eastAsia="Calibri"/>
          <w:color w:val="172033"/>
          <w:sz w:val="21"/>
        </w:rPr>
        <w:t>Снижение дефектов интерпретации не менее чем на 30% против исходного процесса в двух из трёх пилотных сценариев.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16  /  ФЕДЕРАТИВНАЯ МОДЕЛЬ</w:t>
      </w:r>
    </w:p>
    <w:p>
      <w:pPr>
        <w:pStyle w:val="Heading1"/>
        <w:keepLines/>
        <w:widowControl/>
        <w:keepNext/>
      </w:pPr>
      <w:r>
        <w:t>Общее ядро правил — локальное владение знанием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500"/>
        <w:gridCol w:w="4060"/>
      </w:tblGrid>
      <w:tr>
        <w:trPr>
          <w:tblHeader w:val="true"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Контур</w:t>
            </w:r>
          </w:p>
        </w:tc>
        <w:tc>
          <w:tcPr>
            <w:tcW w:type="dxa" w:w="3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Владеет</w:t>
            </w:r>
          </w:p>
        </w:tc>
        <w:tc>
          <w:tcPr>
            <w:tcW w:type="dxa" w:w="40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Публикует в общее ядро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Предметная область</w:t>
            </w:r>
          </w:p>
        </w:tc>
        <w:tc>
          <w:tcPr>
            <w:tcW w:type="dxa" w:w="3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определения, данные, эксперты, ограничения</w:t>
            </w:r>
          </w:p>
        </w:tc>
        <w:tc>
          <w:tcPr>
            <w:tcW w:type="dxa" w:w="4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ID, утверждённые термины, отношения, версии</w:t>
            </w:r>
          </w:p>
        </w:tc>
      </w:tr>
      <w:tr>
        <w:tc>
          <w:tcPr>
            <w:tcW w:type="dxa" w:w="18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Язык / культура</w:t>
            </w:r>
          </w:p>
        </w:tc>
        <w:tc>
          <w:tcPr>
            <w:tcW w:type="dxa" w:w="3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локальные наименования, символы, чувствительность</w:t>
            </w:r>
          </w:p>
        </w:tc>
        <w:tc>
          <w:tcPr>
            <w:tcW w:type="dxa" w:w="40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проверенные выражения, контексты, запреты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Организация</w:t>
            </w:r>
          </w:p>
        </w:tc>
        <w:tc>
          <w:tcPr>
            <w:tcW w:type="dxa" w:w="3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операционные правила и доказательства</w:t>
            </w:r>
          </w:p>
        </w:tc>
        <w:tc>
          <w:tcPr>
            <w:tcW w:type="dxa" w:w="4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профили применения, статусы и происхождение</w:t>
            </w:r>
          </w:p>
        </w:tc>
      </w:tr>
      <w:tr>
        <w:tc>
          <w:tcPr>
            <w:tcW w:type="dxa" w:w="18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Международный источник</w:t>
            </w:r>
          </w:p>
        </w:tc>
        <w:tc>
          <w:tcPr>
            <w:tcW w:type="dxa" w:w="3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собственный стандарт и классификатор</w:t>
            </w:r>
          </w:p>
        </w:tc>
        <w:tc>
          <w:tcPr>
            <w:tcW w:type="dxa" w:w="40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только ссылка, версия и тип соответствия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Семантический совет</w:t>
            </w:r>
          </w:p>
        </w:tc>
        <w:tc>
          <w:tcPr>
            <w:tcW w:type="dxa" w:w="3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содержание областей, а правила сопряжения</w:t>
            </w:r>
          </w:p>
        </w:tc>
        <w:tc>
          <w:tcPr>
            <w:tcW w:type="dxa" w:w="4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политики ID, версий, качества и апелляции</w:t>
            </w:r>
          </w:p>
        </w:tc>
      </w:tr>
    </w:tbl>
    <w:p>
      <w:pPr>
        <w:spacing w:after="20"/>
      </w:pPr>
    </w:p>
    <w:p>
      <w:pPr>
        <w:spacing w:after="160" w:line="280" w:lineRule="auto"/>
        <w:jc w:val="left"/>
        <w:numPr>
          <w:ilvl w:val="0"/>
          <w:numId w:val="61"/>
        </w:numPr>
      </w:pPr>
      <w:r>
        <w:t>Общее ядро не копирует и не присваивает внешний стандарт: оно хранит ссылку, версию, лицензию и отображение.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Локальный контур может отклонить предложенное соответствие, предоставив обоснование и альтернативу.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Изменение внешнего источника запускает оценку влияния; критическая запись обновляется в проектный срок ≤30 дней.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Суверенность</w:t>
        <w:br/>
      </w:r>
      <w:r>
        <w:rPr>
          <w:rFonts w:ascii="Calibri" w:hAnsi="Calibri" w:eastAsia="Calibri"/>
          <w:color w:val="172033"/>
          <w:sz w:val="21"/>
        </w:rPr>
        <w:t>Федерация означает совместимость без потери авторства, юрисдикции и права сообщества описывать собственные значения.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17  /  ЭКОСИСТЕМА</w:t>
      </w:r>
    </w:p>
    <w:p>
      <w:pPr>
        <w:pStyle w:val="Heading1"/>
        <w:keepLines/>
        <w:widowControl/>
        <w:keepNext/>
      </w:pPr>
      <w:r>
        <w:t>Роли разделены — человек остаётся субъектом решения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640"/>
        <w:gridCol w:w="302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Компонент</w:t>
            </w:r>
          </w:p>
        </w:tc>
        <w:tc>
          <w:tcPr>
            <w:tcW w:type="dxa" w:w="46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Роль в символической системе</w:t>
            </w:r>
          </w:p>
        </w:tc>
        <w:tc>
          <w:tcPr>
            <w:tcW w:type="dxa" w:w="30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Не делает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наблюдение, аналитика, сценарии, KPI, проверка непротиворечивости</w:t>
            </w:r>
          </w:p>
        </w:tc>
        <w:tc>
          <w:tcPr>
            <w:tcW w:type="dxa" w:w="3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принимает политическое или личное решение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СФЕРА</w:t>
            </w:r>
          </w:p>
        </w:tc>
        <w:tc>
          <w:tcPr>
            <w:tcW w:type="dxa" w:w="4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многоязычное объяснение, участие, компетенции и обратная связь</w:t>
            </w:r>
          </w:p>
        </w:tc>
        <w:tc>
          <w:tcPr>
            <w:tcW w:type="dxa" w:w="3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подменяет проектное управление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</w:t>
            </w:r>
          </w:p>
        </w:tc>
        <w:tc>
          <w:tcPr>
            <w:tcW w:type="dxa" w:w="4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связывает термины договора, ресурсы, обязательства, KPI и доказательства</w:t>
            </w:r>
          </w:p>
        </w:tc>
        <w:tc>
          <w:tcPr>
            <w:tcW w:type="dxa" w:w="3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исполняет работы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контролируемый операционный язык задач, состояний и инцидентов</w:t>
            </w:r>
          </w:p>
        </w:tc>
        <w:tc>
          <w:tcPr>
            <w:tcW w:type="dxa" w:w="3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является единственным валидатором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Архив наследия</w:t>
            </w:r>
          </w:p>
        </w:tc>
        <w:tc>
          <w:tcPr>
            <w:tcW w:type="dxa" w:w="4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оригиналы, версии, происхождение, реестры, решения и культурные варианты</w:t>
            </w:r>
          </w:p>
        </w:tc>
        <w:tc>
          <w:tcPr>
            <w:tcW w:type="dxa" w:w="3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переписывает прошлые редакции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Человек / орган</w:t>
            </w:r>
          </w:p>
        </w:tc>
        <w:tc>
          <w:tcPr>
            <w:tcW w:type="dxa" w:w="4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утверждает спорный смысл, ограничение и действие; рассматривает апелляцию</w:t>
            </w:r>
          </w:p>
        </w:tc>
        <w:tc>
          <w:tcPr>
            <w:tcW w:type="dxa" w:w="3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делегирует ответственность модели ИИ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ИИ-помощник</w:t>
        <w:br/>
      </w:r>
      <w:r>
        <w:rPr>
          <w:rFonts w:ascii="Calibri" w:hAnsi="Calibri" w:eastAsia="Calibri"/>
          <w:color w:val="172033"/>
          <w:sz w:val="21"/>
        </w:rPr>
        <w:t>ИИ может извлекать кандидаты понятий, предлагать переводы и выявлять конфликты. Публикация нормативного соответствия требует уполномоченного человеческого решения.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18  /  ЖИЗНЕННЫЙ ЦИКЛ И АРХИВ</w:t>
      </w:r>
    </w:p>
    <w:p>
      <w:pPr>
        <w:pStyle w:val="Heading1"/>
        <w:keepLines/>
        <w:widowControl/>
        <w:keepNext/>
      </w:pPr>
      <w:r>
        <w:t>Ни одна редакция смысла не исчезает бесследно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270"/>
        <w:gridCol w:w="339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Статус</w:t>
            </w:r>
          </w:p>
        </w:tc>
        <w:tc>
          <w:tcPr>
            <w:tcW w:type="dxa" w:w="42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Действие</w:t>
            </w:r>
          </w:p>
        </w:tc>
        <w:tc>
          <w:tcPr>
            <w:tcW w:type="dxa" w:w="33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Выход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S0 Кандидат</w:t>
            </w:r>
          </w:p>
        </w:tc>
        <w:tc>
          <w:tcPr>
            <w:tcW w:type="dxa" w:w="42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извлечение из источника или предложение участника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оригинал, автор, дата, права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S1 Разведение</w:t>
            </w:r>
          </w:p>
        </w:tc>
        <w:tc>
          <w:tcPr>
            <w:tcW w:type="dxa" w:w="42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объект, понятие, термин и выражение разделены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карточки и связи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S2 Формализация</w:t>
            </w:r>
          </w:p>
        </w:tc>
        <w:tc>
          <w:tcPr>
            <w:tcW w:type="dxa" w:w="42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отношения, ограничения и единицы заданы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SKOS/OWL/SHACL-профиль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S3 Соответствия</w:t>
            </w:r>
          </w:p>
        </w:tc>
        <w:tc>
          <w:tcPr>
            <w:tcW w:type="dxa" w:w="42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сопоставление языков и внешних контуров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exact/close/broad/narrow/contextual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S4 Проверка</w:t>
            </w:r>
          </w:p>
        </w:tc>
        <w:tc>
          <w:tcPr>
            <w:tcW w:type="dxa" w:w="42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экспертная, машинная, культурная и доступностная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протоколы и дефекты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S5 Публикация</w:t>
            </w:r>
          </w:p>
        </w:tc>
        <w:tc>
          <w:tcPr>
            <w:tcW w:type="dxa" w:w="42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утверждение версии и области действия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неизменяемый снимок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S6 Эксплуатация</w:t>
            </w:r>
          </w:p>
        </w:tc>
        <w:tc>
          <w:tcPr>
            <w:tcW w:type="dxa" w:w="42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наблюдение фактического понимания и ошибок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метрики и инциденты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S7 Замена / архив</w:t>
            </w:r>
          </w:p>
        </w:tc>
        <w:tc>
          <w:tcPr>
            <w:tcW w:type="dxa" w:w="42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новая версия, deprecated, supersedes, миграция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история и обратная связь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Апелляция</w:t>
        <w:br/>
      </w:r>
      <w:r>
        <w:rPr>
          <w:rFonts w:ascii="Calibri" w:hAnsi="Calibri" w:eastAsia="Calibri"/>
          <w:color w:val="172033"/>
          <w:sz w:val="21"/>
        </w:rPr>
        <w:t>Спорная интерпретация сохраняет стороны, доказательства, временное правило, решение и возможность повторного рассмотрения. Оригинал не изменяется.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19  /  КРИСТАЛЛ 741 И КАТАЛОГ 260</w:t>
      </w:r>
    </w:p>
    <w:p>
      <w:pPr>
        <w:pStyle w:val="Heading1"/>
        <w:keepLines/>
        <w:widowControl/>
        <w:keepNext/>
      </w:pPr>
      <w:r>
        <w:t>Адресация модулей — не сакральный код и не доказательство истины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 адресации</w:t>
        <w:br/>
      </w:r>
      <w:r>
        <w:rPr>
          <w:rFonts w:ascii="Calibri" w:hAnsi="Calibri" w:eastAsia="Calibri"/>
          <w:color w:val="172033"/>
          <w:sz w:val="21"/>
        </w:rPr>
        <w:t>19 систем × 13 фаз × 3 масштаба = 741 модуль. Каждому модулю назначается пространство понятий, правила и доказательства; каталог 260 служит управляемым набором базовых понятий и показателей.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760"/>
        <w:gridCol w:w="3100"/>
      </w:tblGrid>
      <w:tr>
        <w:trPr>
          <w:tblHeader w:val="true"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Элемент</w:t>
            </w:r>
          </w:p>
        </w:tc>
        <w:tc>
          <w:tcPr>
            <w:tcW w:type="dxa" w:w="4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Рабочая функция</w:t>
            </w:r>
          </w:p>
        </w:tc>
        <w:tc>
          <w:tcPr>
            <w:tcW w:type="dxa" w:w="3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Ограничение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19 систем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предметные контуры наблюдения и баланса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перечень подлежит верификации и версии</w:t>
            </w:r>
          </w:p>
        </w:tc>
      </w:tr>
      <w:tr>
        <w:tc>
          <w:tcPr>
            <w:tcW w:type="dxa" w:w="1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13 фаз</w:t>
            </w:r>
          </w:p>
        </w:tc>
        <w:tc>
          <w:tcPr>
            <w:tcW w:type="dxa" w:w="4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жизненный цикл от замысла до архивирования</w:t>
            </w:r>
          </w:p>
        </w:tc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заменяет отраслевой процесс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3 масштаба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человек, государство/общество, планета/биосфера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связи между масштабами требуют явных правил</w:t>
            </w:r>
          </w:p>
        </w:tc>
      </w:tr>
      <w:tr>
        <w:tc>
          <w:tcPr>
            <w:tcW w:type="dxa" w:w="1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741 модуль</w:t>
            </w:r>
          </w:p>
        </w:tc>
        <w:tc>
          <w:tcPr>
            <w:tcW w:type="dxa" w:w="4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адрес для требований, данных, терминов и проверок</w:t>
            </w:r>
          </w:p>
        </w:tc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рейтинг и не норматив сам по себе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Каталог 260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первый управляемый словарь общих понятий/индикаторов</w:t>
            </w:r>
          </w:p>
        </w:tc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пилот начинает с 60 приоритетных единиц</w:t>
            </w:r>
          </w:p>
        </w:tc>
      </w:tr>
      <w:tr>
        <w:tc>
          <w:tcPr>
            <w:tcW w:type="dxa" w:w="1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SUR-810</w:t>
            </w:r>
          </w:p>
        </w:tc>
        <w:tc>
          <w:tcPr>
            <w:tcW w:type="dxa" w:w="4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соседний контур трассировки и полноты, если подтверждён методикой</w:t>
            </w:r>
          </w:p>
        </w:tc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 смешивается с паспортом понятия без определения роли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В пилоте проверяется практическая полезность адресации, а не универсальность числовой конструкции.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20  /  ПИЛОТНЫЕ СЦЕНАРИИ</w:t>
      </w:r>
    </w:p>
    <w:p>
      <w:pPr>
        <w:pStyle w:val="Heading1"/>
        <w:keepLines/>
        <w:widowControl/>
        <w:keepNext/>
      </w:pPr>
      <w:r>
        <w:t>Три случая проверяют природный, финансовый и операционный смысл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780"/>
        <w:gridCol w:w="2480"/>
      </w:tblGrid>
      <w:tr>
        <w:trPr>
          <w:tblHeader w:val="true"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Сценарий</w:t>
            </w:r>
          </w:p>
        </w:tc>
        <w:tc>
          <w:tcPr>
            <w:tcW w:type="dxa" w:w="47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Сквозная цепочка</w:t>
            </w:r>
          </w:p>
        </w:tc>
        <w:tc>
          <w:tcPr>
            <w:tcW w:type="dxa" w:w="24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Проверка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Биоценоз и качество воды</w:t>
            </w:r>
          </w:p>
        </w:tc>
        <w:tc>
          <w:tcPr>
            <w:tcW w:type="dxa" w:w="4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наблюдение → термин → карта/символ → единица измерения → онтология → решение</w:t>
            </w:r>
          </w:p>
        </w:tc>
        <w:tc>
          <w:tcPr>
            <w:tcW w:type="dxa" w:w="2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совпадает ли смысл для эколога, жителя, оператора и модели</w:t>
            </w:r>
          </w:p>
        </w:tc>
      </w:tr>
      <w:tr>
        <w:tc>
          <w:tcPr>
            <w:tcW w:type="dxa" w:w="2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ECO-PPA: обязательство и KPI</w:t>
            </w:r>
          </w:p>
        </w:tc>
        <w:tc>
          <w:tcPr>
            <w:tcW w:type="dxa" w:w="47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пункт документа → concept_id → формула → SHACL → доказательство → расчёт</w:t>
            </w:r>
          </w:p>
        </w:tc>
        <w:tc>
          <w:tcPr>
            <w:tcW w:type="dxa" w:w="24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можно ли исключить разные трактовки результата и двойной счёт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Международные финансы / комплаенс</w:t>
            </w:r>
          </w:p>
        </w:tc>
        <w:tc>
          <w:tcPr>
            <w:tcW w:type="dxa" w:w="4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BIS/FSB/IMF/ISO/FATF/WB → отображение → локальный термин → событие</w:t>
            </w:r>
          </w:p>
        </w:tc>
        <w:tc>
          <w:tcPr>
            <w:tcW w:type="dxa" w:w="24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сохраняются ли версия источника, тип соответствия и юридическая оговорка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Минимальный объём</w:t>
        <w:br/>
      </w:r>
      <w:r>
        <w:rPr>
          <w:rFonts w:ascii="Calibri" w:hAnsi="Calibri" w:eastAsia="Calibri"/>
          <w:color w:val="172033"/>
          <w:sz w:val="21"/>
        </w:rPr>
        <w:t>60 понятий × 2 языка × минимум 3 представления; шесть внешних контуров; не менее 50 участников в каждой культурно-языковой группе для теста символов.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Исходный процесс фиксируется до внедрения, чтобы сравнение ошибок и времени было честным.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Все критические выводы проходят независимую рецензию; выборка тестов уточняется статистическим расчётом.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21  /  ПЛАН 90 ДНЕЙ</w:t>
      </w:r>
    </w:p>
    <w:p>
      <w:pPr>
        <w:pStyle w:val="Heading1"/>
        <w:keepLines/>
        <w:widowControl/>
        <w:keepNext/>
      </w:pPr>
      <w:r>
        <w:t>Пять этапов заканчиваются проверяемыми артефактами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910"/>
        <w:gridCol w:w="275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Срок</w:t>
            </w:r>
          </w:p>
        </w:tc>
        <w:tc>
          <w:tcPr>
            <w:tcW w:type="dxa" w:w="49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Работа</w:t>
            </w:r>
          </w:p>
        </w:tc>
        <w:tc>
          <w:tcPr>
            <w:tcW w:type="dxa" w:w="27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Контрольный выход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1–15</w:t>
            </w:r>
          </w:p>
        </w:tc>
        <w:tc>
          <w:tcPr>
            <w:tcW w:type="dxa" w:w="4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устав, области, роли, исходные ошибки, анализ шести внешних контуров</w:t>
            </w:r>
          </w:p>
        </w:tc>
        <w:tc>
          <w:tcPr>
            <w:tcW w:type="dxa" w:w="2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утверждённая рамка и baseline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16–30</w:t>
            </w:r>
          </w:p>
        </w:tc>
        <w:tc>
          <w:tcPr>
            <w:tcW w:type="dxa" w:w="4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модель понятия, политика ID/версий, словарь типов связей, управление</w:t>
            </w:r>
          </w:p>
        </w:tc>
        <w:tc>
          <w:tcPr>
            <w:tcW w:type="dxa" w:w="27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спецификация 1.0 и GO-1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31–55</w:t>
            </w:r>
          </w:p>
        </w:tc>
        <w:tc>
          <w:tcPr>
            <w:tcW w:type="dxa" w:w="4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восемь реестров, 60 понятий, RU/EN, формальные формы и API</w:t>
            </w:r>
          </w:p>
        </w:tc>
        <w:tc>
          <w:tcPr>
            <w:tcW w:type="dxa" w:w="2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демонстрационный реестр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56–75</w:t>
            </w:r>
          </w:p>
        </w:tc>
        <w:tc>
          <w:tcPr>
            <w:tcW w:type="dxa" w:w="4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три сценария, AI-assisted mapping, визуальные и доступностные тесты</w:t>
            </w:r>
          </w:p>
        </w:tc>
        <w:tc>
          <w:tcPr>
            <w:tcW w:type="dxa" w:w="27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протоколы дефектов и корректировки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Дни 76–90</w:t>
            </w:r>
          </w:p>
        </w:tc>
        <w:tc>
          <w:tcPr>
            <w:tcW w:type="dxa" w:w="4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независимая проверка, повторный тест, оценка KPI, миграционный план</w:t>
            </w:r>
          </w:p>
        </w:tc>
        <w:tc>
          <w:tcPr>
            <w:tcW w:type="dxa" w:w="2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решение GO / GO WITH CONDITIONS / STOP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Стоп-условие</w:t>
        <w:br/>
      </w:r>
      <w:r>
        <w:rPr>
          <w:rFonts w:ascii="Calibri" w:hAnsi="Calibri" w:eastAsia="Calibri"/>
          <w:color w:val="172033"/>
          <w:sz w:val="21"/>
        </w:rPr>
        <w:t>Если проект не может показать происхождение критического значения, право апелляции или обратимое соответствие внешнему источнику, публикация этого контура блокируется.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22  /  KPI И РЕШЕНИЕ</w:t>
      </w:r>
    </w:p>
    <w:p>
      <w:pPr>
        <w:pStyle w:val="Heading1"/>
        <w:keepLines/>
        <w:widowControl/>
        <w:keepNext/>
      </w:pPr>
      <w:r>
        <w:t>Успех — доказуемая совместимость без потери смысла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</w:trPr>
        <w:tc>
          <w:tcPr>
            <w:tcW w:type="dxa" w:w="3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KPI дня 90</w:t>
            </w:r>
          </w:p>
        </w:tc>
        <w:tc>
          <w:tcPr>
            <w:tcW w:type="dxa" w:w="6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Цель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Базовые понятия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≥60; 100% имеют ID, определение, владельца, источник, версию и статус</w:t>
            </w:r>
          </w:p>
        </w:tc>
      </w:tr>
      <w:tr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Внешние соответствия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BIS, FSB, IMF, ISO, FATF, World Bank; 100% с типом связи и версией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Полнота обязательных полей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≥98%; активных дублирующихся ID — 0</w:t>
            </w:r>
          </w:p>
        </w:tc>
      </w:tr>
      <w:tr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Машинная валидация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≥95% критических форм проходит; каждый дефект классифицирован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Понимание символов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≥85% в каждой группе; противоположно опасная ошибка ≤1%</w:t>
            </w:r>
          </w:p>
        </w:tc>
      </w:tr>
      <w:tr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Доступность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100% текстовых эквивалентов; 0 критических дефектов WCAG 2.2 AA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Трассировка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медиана ≤5 минут от выражения до источника и решения</w:t>
            </w:r>
          </w:p>
        </w:tc>
      </w:tr>
      <w:tr>
        <w:tc>
          <w:tcPr>
            <w:tcW w:type="dxa" w:w="3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Ошибки интерпретации</w:t>
            </w:r>
          </w:p>
        </w:tc>
        <w:tc>
          <w:tcPr>
            <w:tcW w:type="dxa" w:w="6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снижение ≥30% против baseline в 2 из 3 сценариев</w:t>
            </w:r>
          </w:p>
        </w:tc>
      </w:tr>
      <w:tr>
        <w:tc>
          <w:tcPr>
            <w:tcW w:type="dxa" w:w="3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Управление спором</w:t>
            </w:r>
          </w:p>
        </w:tc>
        <w:tc>
          <w:tcPr>
            <w:tcW w:type="dxa" w:w="6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100% contested mappings имеют владельца, журнал и маршрут апелляции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Решение GO</w:t>
        <w:br/>
      </w:r>
      <w:r>
        <w:rPr>
          <w:rFonts w:ascii="Calibri" w:hAnsi="Calibri" w:eastAsia="Calibri"/>
          <w:color w:val="172033"/>
          <w:sz w:val="21"/>
        </w:rPr>
        <w:t>Достигаются обязательные пороги трассировки, происхождения, безопасности и апелляции; экономический эффект подтверждён минимум в двух сценариях.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23  /  РИСКИ И ЗАЩИТА</w:t>
      </w:r>
    </w:p>
    <w:p>
      <w:pPr>
        <w:pStyle w:val="Heading1"/>
        <w:keepLines/>
        <w:widowControl/>
        <w:keepNext/>
      </w:pPr>
      <w:r>
        <w:t>Главная опасность — не техническая ошибка, а незаметная подмена смысла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80"/>
        <w:gridCol w:w="6580"/>
      </w:tblGrid>
      <w:tr>
        <w:trPr>
          <w:tblHeader w:val="true"/>
        </w:trPr>
        <w:tc>
          <w:tcPr>
            <w:tcW w:type="dxa" w:w="27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Риск</w:t>
            </w:r>
          </w:p>
        </w:tc>
        <w:tc>
          <w:tcPr>
            <w:tcW w:type="dxa" w:w="65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Защитное правило</w:t>
            </w:r>
          </w:p>
        </w:tc>
      </w:tr>
      <w:tr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Ложная универсальность</w:t>
            </w:r>
          </w:p>
        </w:tc>
        <w:tc>
          <w:tcPr>
            <w:tcW w:type="dxa" w:w="65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федерация, контекст и право локального сообщества на собственное описание</w:t>
            </w:r>
          </w:p>
        </w:tc>
      </w:tr>
      <w:tr>
        <w:tc>
          <w:tcPr>
            <w:tcW w:type="dxa" w:w="27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Автоматическая эквивалентность</w:t>
            </w:r>
          </w:p>
        </w:tc>
        <w:tc>
          <w:tcPr>
            <w:tcW w:type="dxa" w:w="65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типы mapping, confidence, человеческое утверждение, запрет silent exact</w:t>
            </w:r>
          </w:p>
        </w:tc>
      </w:tr>
      <w:tr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Смешение режимов истины</w:t>
            </w:r>
          </w:p>
        </w:tc>
        <w:tc>
          <w:tcPr>
            <w:tcW w:type="dxa" w:w="65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раздельные профили: научный, юридический, художественный, сакральный, операционный</w:t>
            </w:r>
          </w:p>
        </w:tc>
      </w:tr>
      <w:tr>
        <w:tc>
          <w:tcPr>
            <w:tcW w:type="dxa" w:w="27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Культурно опасный символ</w:t>
            </w:r>
          </w:p>
        </w:tc>
        <w:tc>
          <w:tcPr>
            <w:tcW w:type="dxa" w:w="65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предварительный скрининг, локальное тестирование, текстовый эквивалент и отзыв</w:t>
            </w:r>
          </w:p>
        </w:tc>
      </w:tr>
      <w:tr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Переиспользование ID</w:t>
            </w:r>
          </w:p>
        </w:tc>
        <w:tc>
          <w:tcPr>
            <w:tcW w:type="dxa" w:w="65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неизменяемая идентичность, deprecated, supersedes и страница-памятник</w:t>
            </w:r>
          </w:p>
        </w:tc>
      </w:tr>
      <w:tr>
        <w:tc>
          <w:tcPr>
            <w:tcW w:type="dxa" w:w="27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Зависимость от платформы</w:t>
            </w:r>
          </w:p>
        </w:tc>
        <w:tc>
          <w:tcPr>
            <w:tcW w:type="dxa" w:w="65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открытые форматы, переносимые схемы, выгрузка и тест восстановления</w:t>
            </w:r>
          </w:p>
        </w:tc>
      </w:tr>
      <w:tr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Лицензии стандартов</w:t>
            </w:r>
          </w:p>
        </w:tc>
        <w:tc>
          <w:tcPr>
            <w:tcW w:type="dxa" w:w="65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хранить только разрешённые данные, ссылки, версии и собственные отображения</w:t>
            </w:r>
          </w:p>
        </w:tc>
      </w:tr>
      <w:tr>
        <w:tc>
          <w:tcPr>
            <w:tcW w:type="dxa" w:w="27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ИИ-галлюцинация</w:t>
            </w:r>
          </w:p>
        </w:tc>
        <w:tc>
          <w:tcPr>
            <w:tcW w:type="dxa" w:w="65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оригинал, provenance, версия модели, основание, рецензент и апелляция</w:t>
            </w:r>
          </w:p>
        </w:tc>
      </w:tr>
      <w:tr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Сверхцентрализация</w:t>
            </w:r>
          </w:p>
        </w:tc>
        <w:tc>
          <w:tcPr>
            <w:tcW w:type="dxa" w:w="65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локальное владение первичными данными и минимально необходимый общий слой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Человек — субъект</w:t>
        <w:br/>
      </w:r>
      <w:r>
        <w:rPr>
          <w:rFonts w:ascii="Calibri" w:hAnsi="Calibri" w:eastAsia="Calibri"/>
          <w:color w:val="172033"/>
          <w:sz w:val="21"/>
        </w:rPr>
        <w:t>Никакая рекомендация модели не превращается в нормативное значение, право, запрет или санкцию без уполномоченного человеческого решения и доступного механизма оспаривания.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24  /  ИТОГ</w:t>
      </w:r>
    </w:p>
    <w:p>
      <w:pPr>
        <w:pStyle w:val="Heading1"/>
        <w:keepLines/>
        <w:widowControl/>
        <w:keepNext/>
      </w:pPr>
      <w:r>
        <w:t>Система сильнее не масштабом заявления, а качеством проверяемой связи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Концепция в одной строке</w:t>
        <w:br/>
      </w:r>
      <w:r>
        <w:rPr>
          <w:rFonts w:ascii="Calibri" w:hAnsi="Calibri" w:eastAsia="Calibri"/>
          <w:color w:val="172033"/>
          <w:sz w:val="21"/>
        </w:rPr>
        <w:t>ID понятия → определение → связи → термины разных языков → символы и формулы → машинные правила → применение → доказательство → версия → апелляция.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Использовать BIS, FSB, IMF, ISO, FATF и World Bank как совместимые отраслевые источники, а не как конкурентов.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Измерять преимущество временем трассировки, количеством дефектов интерпретации, полнотой происхождения и качеством понимания.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Начать с 60 понятий и трёх сценариев; расширять каталог 260 и адресацию 741 только после независимого GO.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Закрепить федеративное владение, неизменяемые версии, доступность, культурную проверку и право апелляции.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Оставить человеку полномочие и ответственность; ИИ — роль вероятностного помощника.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Предлагаемый следующий шаг</w:t>
        <w:br/>
      </w:r>
      <w:r>
        <w:rPr>
          <w:rFonts w:ascii="Calibri" w:hAnsi="Calibri" w:eastAsia="Calibri"/>
          <w:color w:val="172033"/>
          <w:sz w:val="21"/>
        </w:rPr>
        <w:t>30-минутная установочная сессия: 10 минут — область и границы; 10 минут — шесть внешних контуров; 10 минут — утверждение трёх кейсов и состава экспертной группы.</w:t>
      </w:r>
    </w:p>
    <w:p>
      <w:pPr>
        <w:pStyle w:val="Small"/>
        <w:jc w:val="center"/>
      </w:pPr>
      <w:r>
        <w:t>Соколов Сергей Леонидович  ·  29 августа 2026 г.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25  /  ИСТОЧНИКИ I</w:t>
      </w:r>
    </w:p>
    <w:p>
      <w:pPr>
        <w:pStyle w:val="Heading1"/>
        <w:keepLines/>
        <w:widowControl/>
        <w:keepNext/>
      </w:pPr>
      <w:r>
        <w:t>Теория, терминология, визуальные символы и доступность</w:t>
      </w:r>
    </w:p>
    <w:p>
      <w:pPr>
        <w:pStyle w:val="Source"/>
        <w:spacing w:after="80"/>
      </w:pPr>
      <w:hyperlink r:id="rId12">
        <w:r>
          <w:rPr>
            <w:color w:val="2E74B5"/>
            <w:u w:val="single"/>
          </w:rPr>
          <w:t>[1] Peirce — What Is a Sign?</w:t>
        </w:r>
      </w:hyperlink>
    </w:p>
    <w:p>
      <w:pPr>
        <w:pStyle w:val="Source"/>
        <w:spacing w:after="80"/>
      </w:pPr>
      <w:hyperlink r:id="rId13">
        <w:r>
          <w:rPr>
            <w:color w:val="2E74B5"/>
            <w:u w:val="single"/>
          </w:rPr>
          <w:t>[2] Stanford Encyclopedia of Philosophy — Peirce’s Theory of Signs</w:t>
        </w:r>
      </w:hyperlink>
    </w:p>
    <w:p>
      <w:pPr>
        <w:pStyle w:val="Source"/>
        <w:spacing w:after="80"/>
      </w:pPr>
      <w:hyperlink r:id="rId14">
        <w:r>
          <w:rPr>
            <w:color w:val="2E74B5"/>
            <w:u w:val="single"/>
          </w:rPr>
          <w:t>[3] Saussure — Cours de linguistique générale, full text</w:t>
        </w:r>
      </w:hyperlink>
    </w:p>
    <w:p>
      <w:pPr>
        <w:pStyle w:val="Source"/>
        <w:spacing w:after="80"/>
      </w:pPr>
      <w:hyperlink r:id="rId15">
        <w:r>
          <w:rPr>
            <w:color w:val="2E74B5"/>
            <w:u w:val="single"/>
          </w:rPr>
          <w:t>[4] Morris — Foundations of the Theory of Signs, MPI publication</w:t>
        </w:r>
      </w:hyperlink>
    </w:p>
    <w:p>
      <w:pPr>
        <w:pStyle w:val="Source"/>
        <w:spacing w:after="80"/>
      </w:pPr>
      <w:hyperlink r:id="rId16">
        <w:r>
          <w:rPr>
            <w:color w:val="2E74B5"/>
            <w:u w:val="single"/>
          </w:rPr>
          <w:t>[5] Lotman — On the semiosphere, University of Tartu</w:t>
        </w:r>
      </w:hyperlink>
    </w:p>
    <w:p>
      <w:pPr>
        <w:pStyle w:val="Source"/>
        <w:spacing w:after="80"/>
      </w:pPr>
      <w:hyperlink r:id="rId17">
        <w:r>
          <w:rPr>
            <w:color w:val="2E74B5"/>
            <w:u w:val="single"/>
          </w:rPr>
          <w:t>[6] Eco — A Theory of Semiotics, Indiana University Press</w:t>
        </w:r>
      </w:hyperlink>
    </w:p>
    <w:p>
      <w:pPr>
        <w:pStyle w:val="Source"/>
        <w:spacing w:after="80"/>
      </w:pPr>
      <w:hyperlink r:id="rId18">
        <w:r>
          <w:rPr>
            <w:color w:val="2E74B5"/>
            <w:u w:val="single"/>
          </w:rPr>
          <w:t>[7] ISO 704:2022 — Terminology work</w:t>
        </w:r>
      </w:hyperlink>
    </w:p>
    <w:p>
      <w:pPr>
        <w:pStyle w:val="Source"/>
        <w:spacing w:after="80"/>
      </w:pPr>
      <w:hyperlink r:id="rId19">
        <w:r>
          <w:rPr>
            <w:color w:val="2E74B5"/>
            <w:u w:val="single"/>
          </w:rPr>
          <w:t>[8] ISO 1087:2019 — Terminology work and terminology science</w:t>
        </w:r>
      </w:hyperlink>
    </w:p>
    <w:p>
      <w:pPr>
        <w:pStyle w:val="Source"/>
        <w:spacing w:after="80"/>
      </w:pPr>
      <w:hyperlink r:id="rId20">
        <w:r>
          <w:rPr>
            <w:color w:val="2E74B5"/>
            <w:u w:val="single"/>
          </w:rPr>
          <w:t>[9] ISO/IEC 11179-3:2023 — Metadata registries</w:t>
        </w:r>
      </w:hyperlink>
    </w:p>
    <w:p>
      <w:pPr>
        <w:pStyle w:val="Source"/>
        <w:spacing w:after="80"/>
      </w:pPr>
      <w:hyperlink r:id="rId21">
        <w:r>
          <w:rPr>
            <w:color w:val="2E74B5"/>
            <w:u w:val="single"/>
          </w:rPr>
          <w:t>[10] ISO 7000:2019 — Graphical symbols</w:t>
        </w:r>
      </w:hyperlink>
    </w:p>
    <w:p>
      <w:pPr>
        <w:pStyle w:val="Source"/>
        <w:spacing w:after="80"/>
      </w:pPr>
      <w:hyperlink r:id="rId22">
        <w:r>
          <w:rPr>
            <w:color w:val="2E74B5"/>
            <w:u w:val="single"/>
          </w:rPr>
          <w:t>[11] ISO 7010:2019 — Safety signs</w:t>
        </w:r>
      </w:hyperlink>
    </w:p>
    <w:p>
      <w:pPr>
        <w:pStyle w:val="Source"/>
        <w:spacing w:after="80"/>
      </w:pPr>
      <w:hyperlink r:id="rId23">
        <w:r>
          <w:rPr>
            <w:color w:val="2E74B5"/>
            <w:u w:val="single"/>
          </w:rPr>
          <w:t>[12] ISO 9186-1 — Comprehensibility testing</w:t>
        </w:r>
      </w:hyperlink>
    </w:p>
    <w:p>
      <w:pPr>
        <w:pStyle w:val="Source"/>
        <w:spacing w:after="80"/>
      </w:pPr>
      <w:hyperlink r:id="rId24">
        <w:r>
          <w:rPr>
            <w:color w:val="2E74B5"/>
            <w:u w:val="single"/>
          </w:rPr>
          <w:t>[13] ISO 24495-1:2023 — Plain language</w:t>
        </w:r>
      </w:hyperlink>
    </w:p>
    <w:p>
      <w:pPr>
        <w:pStyle w:val="Source"/>
        <w:spacing w:after="80"/>
      </w:pPr>
      <w:hyperlink r:id="rId25">
        <w:r>
          <w:rPr>
            <w:color w:val="2E74B5"/>
            <w:u w:val="single"/>
          </w:rPr>
          <w:t>[14] W3C — WCAG 2.2</w:t>
        </w:r>
      </w:hyperlink>
    </w:p>
    <w:p>
      <w:pPr>
        <w:pStyle w:val="Source"/>
        <w:spacing w:after="80"/>
      </w:pPr>
      <w:hyperlink r:id="rId26">
        <w:r>
          <w:rPr>
            <w:color w:val="2E74B5"/>
            <w:u w:val="single"/>
          </w:rPr>
          <w:t>[15] Unicode CLDR</w:t>
        </w:r>
      </w:hyperlink>
    </w:p>
    <w:p>
      <w:pPr>
        <w:pStyle w:val="Source"/>
        <w:spacing w:after="80"/>
      </w:pPr>
      <w:hyperlink r:id="rId27">
        <w:r>
          <w:rPr>
            <w:color w:val="2E74B5"/>
            <w:u w:val="single"/>
          </w:rPr>
          <w:t>[16] Unicode Bidirectional Algorithm</w:t>
        </w:r>
      </w:hyperlink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Примечание</w:t>
        <w:br/>
      </w:r>
      <w:r>
        <w:rPr>
          <w:rFonts w:ascii="Calibri" w:hAnsi="Calibri" w:eastAsia="Calibri"/>
          <w:color w:val="172033"/>
          <w:sz w:val="21"/>
        </w:rPr>
        <w:t>Полные тексты части стандартов ISO распространяются по лицензии. В проекте используются официальные карточки, область применения и разрешённые ссылки; применение требований требует лицензированного доступа к нужной редакции.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26  /  ИСТОЧНИКИ II</w:t>
      </w:r>
    </w:p>
    <w:p>
      <w:pPr>
        <w:pStyle w:val="Heading1"/>
        <w:keepLines/>
        <w:widowControl/>
        <w:keepNext/>
      </w:pPr>
      <w:r>
        <w:t>Машинная семантика и международный финансовый бенчмарк</w:t>
      </w:r>
    </w:p>
    <w:p>
      <w:pPr>
        <w:pStyle w:val="Source"/>
        <w:spacing w:after="80"/>
      </w:pPr>
      <w:hyperlink r:id="rId28">
        <w:r>
          <w:rPr>
            <w:color w:val="2E74B5"/>
            <w:u w:val="single"/>
          </w:rPr>
          <w:t>[17] W3C — SKOS Reference</w:t>
        </w:r>
      </w:hyperlink>
    </w:p>
    <w:p>
      <w:pPr>
        <w:pStyle w:val="Source"/>
        <w:spacing w:after="80"/>
      </w:pPr>
      <w:hyperlink r:id="rId29">
        <w:r>
          <w:rPr>
            <w:color w:val="2E74B5"/>
            <w:u w:val="single"/>
          </w:rPr>
          <w:t>[18] W3C — OWL 2 Overview</w:t>
        </w:r>
      </w:hyperlink>
    </w:p>
    <w:p>
      <w:pPr>
        <w:pStyle w:val="Source"/>
        <w:spacing w:after="80"/>
      </w:pPr>
      <w:hyperlink r:id="rId30">
        <w:r>
          <w:rPr>
            <w:color w:val="2E74B5"/>
            <w:u w:val="single"/>
          </w:rPr>
          <w:t>[19] W3C — SHACL</w:t>
        </w:r>
      </w:hyperlink>
    </w:p>
    <w:p>
      <w:pPr>
        <w:pStyle w:val="Source"/>
        <w:spacing w:after="80"/>
      </w:pPr>
      <w:hyperlink r:id="rId31">
        <w:r>
          <w:rPr>
            <w:color w:val="2E74B5"/>
            <w:u w:val="single"/>
          </w:rPr>
          <w:t>[20] W3C — JSON-LD 1.1</w:t>
        </w:r>
      </w:hyperlink>
    </w:p>
    <w:p>
      <w:pPr>
        <w:pStyle w:val="Source"/>
        <w:spacing w:after="80"/>
      </w:pPr>
      <w:hyperlink r:id="rId32">
        <w:r>
          <w:rPr>
            <w:color w:val="2E74B5"/>
            <w:u w:val="single"/>
          </w:rPr>
          <w:t>[21] W3C — PROV-O</w:t>
        </w:r>
      </w:hyperlink>
    </w:p>
    <w:p>
      <w:pPr>
        <w:pStyle w:val="Source"/>
        <w:spacing w:after="80"/>
      </w:pPr>
      <w:hyperlink r:id="rId33">
        <w:r>
          <w:rPr>
            <w:color w:val="2E74B5"/>
            <w:u w:val="single"/>
          </w:rPr>
          <w:t>[22] W3C — DCAT 3</w:t>
        </w:r>
      </w:hyperlink>
    </w:p>
    <w:p>
      <w:pPr>
        <w:pStyle w:val="Source"/>
        <w:spacing w:after="80"/>
      </w:pPr>
      <w:hyperlink r:id="rId34">
        <w:r>
          <w:rPr>
            <w:color w:val="2E74B5"/>
            <w:u w:val="single"/>
          </w:rPr>
          <w:t>[23] IETF — RFC 3986 URI Generic Syntax</w:t>
        </w:r>
      </w:hyperlink>
    </w:p>
    <w:p>
      <w:pPr>
        <w:pStyle w:val="Source"/>
        <w:spacing w:after="80"/>
      </w:pPr>
      <w:hyperlink r:id="rId35">
        <w:r>
          <w:rPr>
            <w:color w:val="2E74B5"/>
            <w:u w:val="single"/>
          </w:rPr>
          <w:t>[24] BIS/CPMI — Harmonised ISO 20022 data requirements, 2026 update</w:t>
        </w:r>
      </w:hyperlink>
    </w:p>
    <w:p>
      <w:pPr>
        <w:pStyle w:val="Source"/>
        <w:spacing w:after="80"/>
      </w:pPr>
      <w:hyperlink r:id="rId36">
        <w:r>
          <w:rPr>
            <w:color w:val="2E74B5"/>
            <w:u w:val="single"/>
          </w:rPr>
          <w:t>[25] FSB — Governance of LEI, UPI, UTI and CDE</w:t>
        </w:r>
      </w:hyperlink>
    </w:p>
    <w:p>
      <w:pPr>
        <w:pStyle w:val="Source"/>
        <w:spacing w:after="80"/>
      </w:pPr>
      <w:hyperlink r:id="rId37">
        <w:r>
          <w:rPr>
            <w:color w:val="2E74B5"/>
            <w:u w:val="single"/>
          </w:rPr>
          <w:t>[26] IMF — Dissemination Standards Bulletin Board / SDMX</w:t>
        </w:r>
      </w:hyperlink>
    </w:p>
    <w:p>
      <w:pPr>
        <w:pStyle w:val="Source"/>
        <w:spacing w:after="80"/>
      </w:pPr>
      <w:hyperlink r:id="rId38">
        <w:r>
          <w:rPr>
            <w:color w:val="2E74B5"/>
            <w:u w:val="single"/>
          </w:rPr>
          <w:t>[27] IMF — Data Quality Assessment Framework</w:t>
        </w:r>
      </w:hyperlink>
    </w:p>
    <w:p>
      <w:pPr>
        <w:pStyle w:val="Source"/>
        <w:spacing w:after="80"/>
      </w:pPr>
      <w:hyperlink r:id="rId39">
        <w:r>
          <w:rPr>
            <w:color w:val="2E74B5"/>
            <w:u w:val="single"/>
          </w:rPr>
          <w:t>[28] FATF — The FATF Recommendations</w:t>
        </w:r>
      </w:hyperlink>
    </w:p>
    <w:p>
      <w:pPr>
        <w:pStyle w:val="Source"/>
        <w:spacing w:after="80"/>
      </w:pPr>
      <w:hyperlink r:id="rId40">
        <w:r>
          <w:rPr>
            <w:color w:val="2E74B5"/>
            <w:u w:val="single"/>
          </w:rPr>
          <w:t>[29] FATF — Guidance on Digital Identity</w:t>
        </w:r>
      </w:hyperlink>
    </w:p>
    <w:p>
      <w:pPr>
        <w:pStyle w:val="Source"/>
        <w:spacing w:after="80"/>
      </w:pPr>
      <w:hyperlink r:id="rId41">
        <w:r>
          <w:rPr>
            <w:color w:val="2E74B5"/>
            <w:u w:val="single"/>
          </w:rPr>
          <w:t>[30] World Bank — Open Data</w:t>
        </w:r>
      </w:hyperlink>
    </w:p>
    <w:p>
      <w:pPr>
        <w:pStyle w:val="Source"/>
        <w:spacing w:after="80"/>
      </w:pPr>
      <w:hyperlink r:id="rId42">
        <w:r>
          <w:rPr>
            <w:color w:val="2E74B5"/>
            <w:u w:val="single"/>
          </w:rPr>
          <w:t>[31] World Bank — Open Data Toolkit: metadata and DCAT</w:t>
        </w:r>
      </w:hyperlink>
    </w:p>
    <w:p>
      <w:pPr>
        <w:pStyle w:val="Source"/>
        <w:spacing w:after="80"/>
      </w:pPr>
      <w:hyperlink r:id="rId43">
        <w:r>
          <w:rPr>
            <w:color w:val="2E74B5"/>
            <w:u w:val="single"/>
          </w:rPr>
          <w:t>[32] World Bank — WDI Metadata Glossary</w:t>
        </w:r>
      </w:hyperlink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Дата проверки</w:t>
        <w:br/>
      </w:r>
      <w:r>
        <w:rPr>
          <w:rFonts w:ascii="Calibri" w:hAnsi="Calibri" w:eastAsia="Calibri"/>
          <w:color w:val="172033"/>
          <w:sz w:val="21"/>
        </w:rPr>
        <w:t>Ссылки и актуальность ключевых официальных страниц проверены 29 августа 2026 г. Концепция не является стандартом, юридическим заключением или одобрением названных организаций.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E687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СИМВОЛИЧЕСКАЯ СИСТЕМА  /  АРХИТЕКТУРА ЯЗЫКОВ  /  КОНЦЕПЦИЯ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61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1">
    <w:abstractNumId w:val="61"/>
  </w:num>
  <w:abstractNum w:abstractNumId="6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2">
    <w:abstractNumId w:val="62"/>
  </w:num>
  <w:abstractNum w:abstractNumId="6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200" w:line="276" w:lineRule="auto"/>
      <w:jc w:val="left"/>
    </w:pPr>
    <w:rPr>
      <w:rFonts w:ascii="Calibri" w:hAnsi="Calibri"/>
      <w:b w:val="0"/>
      <w:i w:val="0"/>
      <w:color w:val="172033"/>
      <w:sz w:val="25"/>
    </w:rPr>
  </w:style>
  <w:style w:type="paragraph" w:customStyle="1" w:styleId="Callout">
    <w:name w:val="Callout"/>
    <w:pPr>
      <w:spacing w:after="160" w:line="276" w:lineRule="auto"/>
      <w:jc w:val="left"/>
    </w:pPr>
    <w:rPr>
      <w:rFonts w:ascii="Calibri" w:hAnsi="Calibri"/>
      <w:b w:val="0"/>
      <w:i w:val="0"/>
      <w:color w:val="0B2545"/>
      <w:sz w:val="22"/>
    </w:rPr>
  </w:style>
  <w:style w:type="paragraph" w:customStyle="1" w:styleId="Small">
    <w:name w:val="Small"/>
    <w:pPr>
      <w:spacing w:after="8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6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Definition">
    <w:name w:val="Definition"/>
    <w:pPr>
      <w:spacing w:after="80" w:line="276" w:lineRule="auto"/>
      <w:jc w:val="left"/>
    </w:pPr>
    <w:rPr>
      <w:rFonts w:ascii="Calibri" w:hAnsi="Calibri"/>
      <w:b w:val="0"/>
      <w:i w:val="0"/>
      <w:color w:val="17203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marxists.org/reference/subject/philosophy/works/us/peirce1.htm" TargetMode="External"/><Relationship Id="rId13" Type="http://schemas.openxmlformats.org/officeDocument/2006/relationships/hyperlink" Target="https://plato.stanford.edu/entries/peirce-semiotics/" TargetMode="External"/><Relationship Id="rId14" Type="http://schemas.openxmlformats.org/officeDocument/2006/relationships/hyperlink" Target="https://fr.wikisource.org/wiki/Cours_de_linguistique_g%C3%A9n%C3%A9rale/Texte_entier" TargetMode="External"/><Relationship Id="rId15" Type="http://schemas.openxmlformats.org/officeDocument/2006/relationships/hyperlink" Target="https://www.mpi.nl/publications/item2364493/foundations-theory-signs" TargetMode="External"/><Relationship Id="rId16" Type="http://schemas.openxmlformats.org/officeDocument/2006/relationships/hyperlink" Target="https://ojs.utlib.ee/index.php/sss/article/view/SSS.2005.33.1.09" TargetMode="External"/><Relationship Id="rId17" Type="http://schemas.openxmlformats.org/officeDocument/2006/relationships/hyperlink" Target="https://iupress.org/9780253013316/a-theory-of-semiotics/" TargetMode="External"/><Relationship Id="rId18" Type="http://schemas.openxmlformats.org/officeDocument/2006/relationships/hyperlink" Target="https://www.iso.org/standard/79077.html" TargetMode="External"/><Relationship Id="rId19" Type="http://schemas.openxmlformats.org/officeDocument/2006/relationships/hyperlink" Target="https://www.iso.org/standard/62330.html" TargetMode="External"/><Relationship Id="rId20" Type="http://schemas.openxmlformats.org/officeDocument/2006/relationships/hyperlink" Target="https://www.iso.org/standard/78915.html" TargetMode="External"/><Relationship Id="rId21" Type="http://schemas.openxmlformats.org/officeDocument/2006/relationships/hyperlink" Target="https://www.iso.org/standard/78717.html" TargetMode="External"/><Relationship Id="rId22" Type="http://schemas.openxmlformats.org/officeDocument/2006/relationships/hyperlink" Target="https://www.iso.org/standard/72424.html" TargetMode="External"/><Relationship Id="rId23" Type="http://schemas.openxmlformats.org/officeDocument/2006/relationships/hyperlink" Target="https://www.iso.org/standard/59226.html" TargetMode="External"/><Relationship Id="rId24" Type="http://schemas.openxmlformats.org/officeDocument/2006/relationships/hyperlink" Target="https://www.iso.org/standard/78907.html" TargetMode="External"/><Relationship Id="rId25" Type="http://schemas.openxmlformats.org/officeDocument/2006/relationships/hyperlink" Target="https://www.w3.org/TR/WCAG22/" TargetMode="External"/><Relationship Id="rId26" Type="http://schemas.openxmlformats.org/officeDocument/2006/relationships/hyperlink" Target="https://cldr.unicode.org/" TargetMode="External"/><Relationship Id="rId27" Type="http://schemas.openxmlformats.org/officeDocument/2006/relationships/hyperlink" Target="https://www.unicode.org/reports/tr9/" TargetMode="External"/><Relationship Id="rId28" Type="http://schemas.openxmlformats.org/officeDocument/2006/relationships/hyperlink" Target="https://www.w3.org/TR/skos-reference/" TargetMode="External"/><Relationship Id="rId29" Type="http://schemas.openxmlformats.org/officeDocument/2006/relationships/hyperlink" Target="https://www.w3.org/TR/owl2-overview/" TargetMode="External"/><Relationship Id="rId30" Type="http://schemas.openxmlformats.org/officeDocument/2006/relationships/hyperlink" Target="https://www.w3.org/TR/shacl/" TargetMode="External"/><Relationship Id="rId31" Type="http://schemas.openxmlformats.org/officeDocument/2006/relationships/hyperlink" Target="https://www.w3.org/TR/json-ld11/" TargetMode="External"/><Relationship Id="rId32" Type="http://schemas.openxmlformats.org/officeDocument/2006/relationships/hyperlink" Target="https://www.w3.org/TR/prov-o/" TargetMode="External"/><Relationship Id="rId33" Type="http://schemas.openxmlformats.org/officeDocument/2006/relationships/hyperlink" Target="https://www.w3.org/TR/vocab-dcat-3/" TargetMode="External"/><Relationship Id="rId34" Type="http://schemas.openxmlformats.org/officeDocument/2006/relationships/hyperlink" Target="https://www.rfc-editor.org/info/rfc3986/" TargetMode="External"/><Relationship Id="rId35" Type="http://schemas.openxmlformats.org/officeDocument/2006/relationships/hyperlink" Target="https://www.bis.org/cpmi/publ/d230.htm" TargetMode="External"/><Relationship Id="rId36" Type="http://schemas.openxmlformats.org/officeDocument/2006/relationships/hyperlink" Target="https://www.fsb.org/2020/09/lei-roc-to-become-governance-body-for-otc-derivatives-identifiers/" TargetMode="External"/><Relationship Id="rId37" Type="http://schemas.openxmlformats.org/officeDocument/2006/relationships/hyperlink" Target="https://dsbb.imf.org/" TargetMode="External"/><Relationship Id="rId38" Type="http://schemas.openxmlformats.org/officeDocument/2006/relationships/hyperlink" Target="https://dsbb.imf.org/dqrs/DQAF" TargetMode="External"/><Relationship Id="rId39" Type="http://schemas.openxmlformats.org/officeDocument/2006/relationships/hyperlink" Target="https://www.fatf-gafi.org/en/publications/Fatfrecommendations/Fatf-recommendations.html" TargetMode="External"/><Relationship Id="rId40" Type="http://schemas.openxmlformats.org/officeDocument/2006/relationships/hyperlink" Target="https://www.fatf-gafi.org/en/publications/Financialinclusionandnpoissues/Digital-identity-guidance.html" TargetMode="External"/><Relationship Id="rId41" Type="http://schemas.openxmlformats.org/officeDocument/2006/relationships/hyperlink" Target="https://data.worldbank.org/" TargetMode="External"/><Relationship Id="rId42" Type="http://schemas.openxmlformats.org/officeDocument/2006/relationships/hyperlink" Target="https://www.worldbank.org/en/data/opendatatoolkit/supply" TargetMode="External"/><Relationship Id="rId43" Type="http://schemas.openxmlformats.org/officeDocument/2006/relationships/hyperlink" Target="https://databank.worldbank.org/metadataglossary/world-development-indicators/series/NV.SRV.TOTL.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Символическая система и языки</dc:title>
  <dc:subject>Федеративная символико-семантическая система для экосистемы ЭКВИЛИБРИУМ</dc:subject>
  <dc:creator>Соколов Сергей Леонидович</dc:creator>
  <cp:keywords>символическая система, языки, семиотика, онтология, ЭКВИЛИБРИУМ, Архив наследия, BIS, FSB, IMF, ISO, FATF, World Bank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