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0" w:after="360" w:line="264" w:lineRule="auto"/>
        <w:jc w:val="center"/>
      </w:pPr>
      <w:r>
        <w:rPr>
          <w:rFonts w:ascii="Calibri" w:hAnsi="Calibri"/>
          <w:b w:val="0"/>
          <w:i w:val="0"/>
          <w:color w:val="A97818"/>
          <w:sz w:val="20"/>
        </w:rPr>
        <w:t>КОНЦЕПЦИЯ ИНТЕГРАЦИОННОЙ ПЛАТФОРМЫ</w:t>
      </w:r>
    </w:p>
    <w:p>
      <w:pPr>
        <w:spacing w:after="200"/>
        <w:jc w:val="center"/>
      </w:pPr>
      <w:r>
        <w:rPr>
          <w:rFonts w:ascii="Calibri" w:hAnsi="Calibri"/>
          <w:b/>
          <w:i w:val="0"/>
          <w:color w:val="102F50"/>
          <w:sz w:val="68"/>
        </w:rPr>
        <w:t>СФЕРА</w:t>
      </w:r>
    </w:p>
    <w:p>
      <w:pPr>
        <w:spacing w:before="0" w:after="560" w:line="264" w:lineRule="auto"/>
        <w:jc w:val="center"/>
      </w:pPr>
      <w:r>
        <w:rPr>
          <w:rFonts w:ascii="Calibri" w:hAnsi="Calibri"/>
          <w:b w:val="0"/>
          <w:i w:val="0"/>
          <w:color w:val="124B3A"/>
          <w:sz w:val="36"/>
        </w:rPr>
        <w:t>Единое пространство инициатив</w:t>
        <w:br/>
        <w:t>для общего будущего</w:t>
      </w:r>
    </w:p>
    <w:p>
      <w:pPr>
        <w:spacing w:before="0" w:after="1440" w:line="264" w:lineRule="auto"/>
        <w:jc w:val="center"/>
      </w:pPr>
      <w:r>
        <w:rPr>
          <w:rFonts w:ascii="Calibri" w:hAnsi="Calibri"/>
          <w:b w:val="0"/>
          <w:i w:val="0"/>
          <w:color w:val="5C6873"/>
          <w:sz w:val="24"/>
        </w:rPr>
        <w:t>От общественной идеи — к экспертному решению, кооперации, пилоту, доказанному результату и масштабированию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9F4EF"/>
          </w:tcPr>
          <w:p>
            <w:pPr>
              <w:spacing w:after="0" w:line="259" w:lineRule="auto"/>
            </w:pPr>
            <w:r>
              <w:rPr>
                <w:rFonts w:ascii="Calibri" w:hAnsi="Calibri"/>
                <w:b/>
                <w:i w:val="0"/>
                <w:color w:val="124B3A"/>
                <w:sz w:val="20"/>
              </w:rPr>
              <w:t xml:space="preserve">ФОРМУЛА СИСТЕМЫ  </w:t>
            </w:r>
            <w:r>
              <w:rPr>
                <w:rFonts w:ascii="Calibri" w:hAnsi="Calibri"/>
                <w:b w:val="0"/>
                <w:i w:val="0"/>
                <w:color w:val="1D2730"/>
                <w:sz w:val="21"/>
              </w:rPr>
              <w:t>Инициатива → экспертиза → кооперация → ресурсное обеспечение → пилот → подтверждённый результат → масштабирование</w:t>
            </w:r>
          </w:p>
        </w:tc>
      </w:tr>
    </w:tbl>
    <w:p>
      <w:pPr>
        <w:spacing w:after="40"/>
      </w:pPr>
    </w:p>
    <w:p>
      <w:pPr>
        <w:spacing w:before="0" w:after="0" w:line="264" w:lineRule="auto"/>
        <w:jc w:val="center"/>
      </w:pPr>
      <w:r>
        <w:rPr>
          <w:rFonts w:ascii="Calibri" w:hAnsi="Calibri"/>
          <w:b w:val="0"/>
          <w:i w:val="0"/>
          <w:color w:val="5C6873"/>
          <w:sz w:val="20"/>
        </w:rPr>
        <w:t>Базовая редакция • 2026</w:t>
      </w:r>
    </w:p>
    <w:p>
      <w:r>
        <w:br w:type="page"/>
      </w:r>
    </w:p>
    <w:p>
      <w:pPr>
        <w:pStyle w:val="Heading1"/>
      </w:pPr>
      <w:r>
        <w:t>1. Стратегическое определение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СФЕРА — общественно-коммуникационная и проектно-навигационная платформа, объединяющая инициативы граждан, сообществ, науки, бизнеса, институтов развития и государства в согласованные программы практического действия.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EF4F8"/>
          </w:tcPr>
          <w:p>
            <w:pPr>
              <w:spacing w:after="0" w:line="259" w:lineRule="auto"/>
            </w:pPr>
            <w:r>
              <w:rPr>
                <w:rFonts w:ascii="Calibri" w:hAnsi="Calibri"/>
                <w:b/>
                <w:i w:val="0"/>
                <w:color w:val="102F50"/>
                <w:sz w:val="20"/>
              </w:rPr>
              <w:t xml:space="preserve">КЛЮЧЕВОЙ ТЕЗИС  </w:t>
            </w:r>
            <w:r>
              <w:rPr>
                <w:rFonts w:ascii="Calibri" w:hAnsi="Calibri"/>
                <w:b w:val="0"/>
                <w:i w:val="0"/>
                <w:color w:val="1D2730"/>
                <w:sz w:val="21"/>
              </w:rPr>
              <w:t>СФЕРА не подменяет государственные органы, банки, экспертизу или исполнителей. Она создаёт единое пространство, в котором инициатива получает маршрут, участников, ресурсы, доказательства и возможность тиражирования.</w:t>
            </w:r>
          </w:p>
        </w:tc>
      </w:tr>
    </w:tbl>
    <w:p>
      <w:pPr>
        <w:spacing w:after="40"/>
      </w:pPr>
    </w:p>
    <w:p>
      <w:pPr>
        <w:pStyle w:val="Heading2"/>
      </w:pPr>
      <w:r>
        <w:t>Миссия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Превращать разрозненные идеи и потребности в реализуемые, измеримые и воспроизводимые решения, направленные на развитие человека, территорий, экономики и природной среды.</w:t>
      </w:r>
    </w:p>
    <w:p>
      <w:pPr>
        <w:pStyle w:val="Heading2"/>
      </w:pPr>
      <w:r>
        <w:t>Образ будущего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Общество, в котором полезная инициатива не теряется между ведомствами и организациями, а проходит понятный путь от замысла до подтверждённого общественного результата. Каждый участник вносит свой вклад, действует в пределах полномочий и отвечает за принятые обязательства.</w:t>
      </w:r>
    </w:p>
    <w:p>
      <w:pPr>
        <w:pStyle w:val="Heading2"/>
      </w:pPr>
      <w:r>
        <w:t>Принципы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единство цели при разделении ролей и ответственности;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открытость входа и прозрачность критериев отбора;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доказательность вместо декларативности;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кооперация вместо ведомственной и корпоративной изоляции;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приоритет пользы человеку, территории и окружающей среде;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масштабирование только после проверки результата;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обратная связь и постоянное совершенствование системы.</w:t>
      </w:r>
    </w:p>
    <w:p>
      <w:r>
        <w:br w:type="page"/>
      </w:r>
    </w:p>
    <w:p>
      <w:pPr>
        <w:pStyle w:val="Heading1"/>
      </w:pPr>
      <w:r>
        <w:t>2. Проблема, которую решает СФЕРА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Сегодня множество значимых инициатив не достигают стадии реализации: идеи не оформлены, компетенции разобщены, источники ресурсов не связаны с проектами, а результаты трудно проверить и повторить.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Ind w:w="120" w:type="dxa"/>
      </w:tblPr>
      <w:tblGrid>
        <w:gridCol w:w="2800"/>
        <w:gridCol w:w="3280"/>
        <w:gridCol w:w="3280"/>
      </w:tblGrid>
      <w:tr>
        <w:tc>
          <w:tcPr>
            <w:tcW w:type="dxa" w:w="28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02F50"/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Системный разрыв</w:t>
            </w:r>
          </w:p>
        </w:tc>
        <w:tc>
          <w:tcPr>
            <w:tcW w:type="dxa" w:w="32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02F50"/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Проявление</w:t>
            </w:r>
          </w:p>
        </w:tc>
        <w:tc>
          <w:tcPr>
            <w:tcW w:type="dxa" w:w="32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02F50"/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Ответ СФЕРЫ</w:t>
            </w:r>
          </w:p>
        </w:tc>
      </w:tr>
      <w:tr>
        <w:tc>
          <w:tcPr>
            <w:tcW w:type="dxa" w:w="2800"/>
            <w:shd w:fill="EEF4F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Инициатива без маршрута</w:t>
            </w:r>
          </w:p>
        </w:tc>
        <w:tc>
          <w:tcPr>
            <w:tcW w:type="dxa" w:w="3280"/>
            <w:shd w:fill="EEF4F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Автор не понимает, куда обращаться и какие данные нужны</w:t>
            </w:r>
          </w:p>
        </w:tc>
        <w:tc>
          <w:tcPr>
            <w:tcW w:type="dxa" w:w="3280"/>
            <w:shd w:fill="EEF4F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Единый паспорт инициативы и навигация</w:t>
            </w:r>
          </w:p>
        </w:tc>
      </w:tr>
      <w:tr>
        <w:tc>
          <w:tcPr>
            <w:tcW w:type="dxa" w:w="280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Экспертиза фрагментарна</w:t>
            </w:r>
          </w:p>
        </w:tc>
        <w:tc>
          <w:tcPr>
            <w:tcW w:type="dxa" w:w="32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Технология, право, экономика и эффект оцениваются отдельно</w:t>
            </w:r>
          </w:p>
        </w:tc>
        <w:tc>
          <w:tcPr>
            <w:tcW w:type="dxa" w:w="32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Междисциплинарная экспертиза и единые критерии</w:t>
            </w:r>
          </w:p>
        </w:tc>
      </w:tr>
      <w:tr>
        <w:tc>
          <w:tcPr>
            <w:tcW w:type="dxa" w:w="2800"/>
            <w:shd w:fill="EEF4F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Участники разобщены</w:t>
            </w:r>
          </w:p>
        </w:tc>
        <w:tc>
          <w:tcPr>
            <w:tcW w:type="dxa" w:w="3280"/>
            <w:shd w:fill="EEF4F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Нет владельцев ролей, рисков и результата</w:t>
            </w:r>
          </w:p>
        </w:tc>
        <w:tc>
          <w:tcPr>
            <w:tcW w:type="dxa" w:w="3280"/>
            <w:shd w:fill="EEF4F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Кооперационная сборка и RACI</w:t>
            </w:r>
          </w:p>
        </w:tc>
      </w:tr>
      <w:tr>
        <w:tc>
          <w:tcPr>
            <w:tcW w:type="dxa" w:w="280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Ресурсы не связаны</w:t>
            </w:r>
          </w:p>
        </w:tc>
        <w:tc>
          <w:tcPr>
            <w:tcW w:type="dxa" w:w="32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Финансы, технологии, кадры и площадки существуют раздельно</w:t>
            </w:r>
          </w:p>
        </w:tc>
        <w:tc>
          <w:tcPr>
            <w:tcW w:type="dxa" w:w="32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Ресурсный паспорт и пакет обеспечения</w:t>
            </w:r>
          </w:p>
        </w:tc>
      </w:tr>
      <w:tr>
        <w:tc>
          <w:tcPr>
            <w:tcW w:type="dxa" w:w="2800"/>
            <w:shd w:fill="EEF4F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Результат не доказан</w:t>
            </w:r>
          </w:p>
        </w:tc>
        <w:tc>
          <w:tcPr>
            <w:tcW w:type="dxa" w:w="3280"/>
            <w:shd w:fill="EEF4F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Заявления подменяют измерения</w:t>
            </w:r>
          </w:p>
        </w:tc>
        <w:tc>
          <w:tcPr>
            <w:tcW w:type="dxa" w:w="3280"/>
            <w:shd w:fill="EEF4F8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Baseline, KPI, MRV и независимая проверка</w:t>
            </w:r>
          </w:p>
        </w:tc>
      </w:tr>
      <w:tr>
        <w:tc>
          <w:tcPr>
            <w:tcW w:type="dxa" w:w="280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Пилоты не тиражируются</w:t>
            </w:r>
          </w:p>
        </w:tc>
        <w:tc>
          <w:tcPr>
            <w:tcW w:type="dxa" w:w="32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Опыт остаётся единичным и неупакованным</w:t>
            </w:r>
          </w:p>
        </w:tc>
        <w:tc>
          <w:tcPr>
            <w:tcW w:type="dxa" w:w="32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Типовое решение и сеть масштабирования</w:t>
            </w:r>
          </w:p>
        </w:tc>
      </w:tr>
    </w:tbl>
    <w:p>
      <w:r>
        <w:br w:type="page"/>
      </w:r>
    </w:p>
    <w:p>
      <w:pPr>
        <w:pStyle w:val="Heading1"/>
      </w:pPr>
      <w:r>
        <w:t>3. Конвейер инициатив СФЕРА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Каждая инициатива проходит семь этапов. Переход к следующему этапу происходит после фиксации результата предыдущего — это защищает систему от необоснованных обещаний и преждевременного масштабирования.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2500"/>
        <w:gridCol w:w="6160"/>
      </w:tblGrid>
      <w:tr>
        <w:tc>
          <w:tcPr>
            <w:tcW w:type="dxa" w:w="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24B3A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0"/>
              </w:rPr>
              <w:t>1</w:t>
            </w:r>
          </w:p>
        </w:tc>
        <w:tc>
          <w:tcPr>
            <w:tcW w:type="dxa" w:w="2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9F4EF"/>
          </w:tcPr>
          <w:p>
            <w:r>
              <w:rPr>
                <w:rFonts w:ascii="Calibri" w:hAnsi="Calibri"/>
                <w:b/>
                <w:i w:val="0"/>
                <w:color w:val="124B3A"/>
                <w:sz w:val="20"/>
              </w:rPr>
              <w:t>ИНИЦИАТИВА</w:t>
            </w:r>
          </w:p>
        </w:tc>
        <w:tc>
          <w:tcPr>
            <w:tcW w:type="dxa" w:w="6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FFFFF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9"/>
              </w:rPr>
              <w:t>Потребность, идея, автор, территория</w:t>
              <w:br/>
            </w:r>
            <w:r>
              <w:rPr>
                <w:rFonts w:ascii="Calibri" w:hAnsi="Calibri"/>
                <w:b/>
                <w:i w:val="0"/>
                <w:color w:val="2E74B5"/>
                <w:sz w:val="19"/>
              </w:rPr>
              <w:t>Выход: Паспорт инициативы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2500"/>
        <w:gridCol w:w="6160"/>
      </w:tblGrid>
      <w:tr>
        <w:tc>
          <w:tcPr>
            <w:tcW w:type="dxa" w:w="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24B3A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0"/>
              </w:rPr>
              <w:t>2</w:t>
            </w:r>
          </w:p>
        </w:tc>
        <w:tc>
          <w:tcPr>
            <w:tcW w:type="dxa" w:w="2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9F4EF"/>
          </w:tcPr>
          <w:p>
            <w:r>
              <w:rPr>
                <w:rFonts w:ascii="Calibri" w:hAnsi="Calibri"/>
                <w:b/>
                <w:i w:val="0"/>
                <w:color w:val="124B3A"/>
                <w:sz w:val="20"/>
              </w:rPr>
              <w:t>ЭКСПЕРТИЗА</w:t>
            </w:r>
          </w:p>
        </w:tc>
        <w:tc>
          <w:tcPr>
            <w:tcW w:type="dxa" w:w="6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FFFFF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9"/>
              </w:rPr>
              <w:t>Ценность, реализуемость, риски, соответствие целям</w:t>
              <w:br/>
            </w:r>
            <w:r>
              <w:rPr>
                <w:rFonts w:ascii="Calibri" w:hAnsi="Calibri"/>
                <w:b/>
                <w:i w:val="0"/>
                <w:color w:val="2E74B5"/>
                <w:sz w:val="19"/>
              </w:rPr>
              <w:t>Выход: Экспертное заключение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2500"/>
        <w:gridCol w:w="6160"/>
      </w:tblGrid>
      <w:tr>
        <w:tc>
          <w:tcPr>
            <w:tcW w:type="dxa" w:w="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24B3A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0"/>
              </w:rPr>
              <w:t>3</w:t>
            </w:r>
          </w:p>
        </w:tc>
        <w:tc>
          <w:tcPr>
            <w:tcW w:type="dxa" w:w="2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9F4EF"/>
          </w:tcPr>
          <w:p>
            <w:r>
              <w:rPr>
                <w:rFonts w:ascii="Calibri" w:hAnsi="Calibri"/>
                <w:b/>
                <w:i w:val="0"/>
                <w:color w:val="124B3A"/>
                <w:sz w:val="20"/>
              </w:rPr>
              <w:t>КООПЕРАЦИЯ</w:t>
            </w:r>
          </w:p>
        </w:tc>
        <w:tc>
          <w:tcPr>
            <w:tcW w:type="dxa" w:w="6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FFFFF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9"/>
              </w:rPr>
              <w:t>Роли, компетенции, партнёры, ответственность</w:t>
              <w:br/>
            </w:r>
            <w:r>
              <w:rPr>
                <w:rFonts w:ascii="Calibri" w:hAnsi="Calibri"/>
                <w:b/>
                <w:i w:val="0"/>
                <w:color w:val="2E74B5"/>
                <w:sz w:val="19"/>
              </w:rPr>
              <w:t>Выход: Соглашение и матрица RACI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2500"/>
        <w:gridCol w:w="6160"/>
      </w:tblGrid>
      <w:tr>
        <w:tc>
          <w:tcPr>
            <w:tcW w:type="dxa" w:w="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24B3A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0"/>
              </w:rPr>
              <w:t>4</w:t>
            </w:r>
          </w:p>
        </w:tc>
        <w:tc>
          <w:tcPr>
            <w:tcW w:type="dxa" w:w="2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9F4EF"/>
          </w:tcPr>
          <w:p>
            <w:r>
              <w:rPr>
                <w:rFonts w:ascii="Calibri" w:hAnsi="Calibri"/>
                <w:b/>
                <w:i w:val="0"/>
                <w:color w:val="124B3A"/>
                <w:sz w:val="20"/>
              </w:rPr>
              <w:t>РЕСУРСНОЕ ОБЕСПЕЧЕНИЕ</w:t>
            </w:r>
          </w:p>
        </w:tc>
        <w:tc>
          <w:tcPr>
            <w:tcW w:type="dxa" w:w="6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FFFFF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9"/>
              </w:rPr>
              <w:t>Финансы, технологии, данные, кадры, площадка</w:t>
              <w:br/>
            </w:r>
            <w:r>
              <w:rPr>
                <w:rFonts w:ascii="Calibri" w:hAnsi="Calibri"/>
                <w:b/>
                <w:i w:val="0"/>
                <w:color w:val="2E74B5"/>
                <w:sz w:val="19"/>
              </w:rPr>
              <w:t>Выход: Ресурсный паспорт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2500"/>
        <w:gridCol w:w="6160"/>
      </w:tblGrid>
      <w:tr>
        <w:tc>
          <w:tcPr>
            <w:tcW w:type="dxa" w:w="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24B3A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0"/>
              </w:rPr>
              <w:t>5</w:t>
            </w:r>
          </w:p>
        </w:tc>
        <w:tc>
          <w:tcPr>
            <w:tcW w:type="dxa" w:w="2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9F4EF"/>
          </w:tcPr>
          <w:p>
            <w:r>
              <w:rPr>
                <w:rFonts w:ascii="Calibri" w:hAnsi="Calibri"/>
                <w:b/>
                <w:i w:val="0"/>
                <w:color w:val="124B3A"/>
                <w:sz w:val="20"/>
              </w:rPr>
              <w:t>ПИЛОТ</w:t>
            </w:r>
          </w:p>
        </w:tc>
        <w:tc>
          <w:tcPr>
            <w:tcW w:type="dxa" w:w="6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FFFFF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9"/>
              </w:rPr>
              <w:t>Объект, план, baseline, KPI, сроки и владельцы риска</w:t>
              <w:br/>
            </w:r>
            <w:r>
              <w:rPr>
                <w:rFonts w:ascii="Calibri" w:hAnsi="Calibri"/>
                <w:b/>
                <w:i w:val="0"/>
                <w:color w:val="2E74B5"/>
                <w:sz w:val="19"/>
              </w:rPr>
              <w:t>Выход: Проверенное решение на объекте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2500"/>
        <w:gridCol w:w="6160"/>
      </w:tblGrid>
      <w:tr>
        <w:tc>
          <w:tcPr>
            <w:tcW w:type="dxa" w:w="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24B3A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0"/>
              </w:rPr>
              <w:t>6</w:t>
            </w:r>
          </w:p>
        </w:tc>
        <w:tc>
          <w:tcPr>
            <w:tcW w:type="dxa" w:w="2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9F4EF"/>
          </w:tcPr>
          <w:p>
            <w:r>
              <w:rPr>
                <w:rFonts w:ascii="Calibri" w:hAnsi="Calibri"/>
                <w:b/>
                <w:i w:val="0"/>
                <w:color w:val="124B3A"/>
                <w:sz w:val="20"/>
              </w:rPr>
              <w:t>ПОДТВЕРЖДЁННЫЙ РЕЗУЛЬТАТ</w:t>
            </w:r>
          </w:p>
        </w:tc>
        <w:tc>
          <w:tcPr>
            <w:tcW w:type="dxa" w:w="6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FFFFF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9"/>
              </w:rPr>
              <w:t>Измерение, MRV, аудит-трейл, независимая верификация</w:t>
              <w:br/>
            </w:r>
            <w:r>
              <w:rPr>
                <w:rFonts w:ascii="Calibri" w:hAnsi="Calibri"/>
                <w:b/>
                <w:i w:val="0"/>
                <w:color w:val="2E74B5"/>
                <w:sz w:val="19"/>
              </w:rPr>
              <w:t>Выход: Доказанный кейс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2500"/>
        <w:gridCol w:w="6160"/>
      </w:tblGrid>
      <w:tr>
        <w:tc>
          <w:tcPr>
            <w:tcW w:type="dxa" w:w="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24B3A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0"/>
              </w:rPr>
              <w:t>7</w:t>
            </w:r>
          </w:p>
        </w:tc>
        <w:tc>
          <w:tcPr>
            <w:tcW w:type="dxa" w:w="2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9F4EF"/>
          </w:tcPr>
          <w:p>
            <w:r>
              <w:rPr>
                <w:rFonts w:ascii="Calibri" w:hAnsi="Calibri"/>
                <w:b/>
                <w:i w:val="0"/>
                <w:color w:val="124B3A"/>
                <w:sz w:val="20"/>
              </w:rPr>
              <w:t>МАСШТАБИРОВАНИЕ</w:t>
            </w:r>
          </w:p>
        </w:tc>
        <w:tc>
          <w:tcPr>
            <w:tcW w:type="dxa" w:w="6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FFFFF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9"/>
              </w:rPr>
              <w:t>Типизация, инвестиционная модель, обучение, тиражирование</w:t>
              <w:br/>
            </w:r>
            <w:r>
              <w:rPr>
                <w:rFonts w:ascii="Calibri" w:hAnsi="Calibri"/>
                <w:b/>
                <w:i w:val="0"/>
                <w:color w:val="2E74B5"/>
                <w:sz w:val="19"/>
              </w:rPr>
              <w:t>Выход: Proof of Scale и новый цикл</w:t>
            </w:r>
          </w:p>
        </w:tc>
      </w:tr>
    </w:tbl>
    <w:p>
      <w:pPr>
        <w:spacing w:after="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EF4F8"/>
          </w:tcPr>
          <w:p>
            <w:pPr>
              <w:spacing w:after="0" w:line="259" w:lineRule="auto"/>
            </w:pPr>
            <w:r>
              <w:rPr>
                <w:rFonts w:ascii="Calibri" w:hAnsi="Calibri"/>
                <w:b/>
                <w:i w:val="0"/>
                <w:color w:val="102F50"/>
                <w:sz w:val="20"/>
              </w:rPr>
              <w:t xml:space="preserve">ПРАВИЛО ПЕРЕХОДА  </w:t>
            </w:r>
            <w:r>
              <w:rPr>
                <w:rFonts w:ascii="Calibri" w:hAnsi="Calibri"/>
                <w:b w:val="0"/>
                <w:i w:val="0"/>
                <w:color w:val="1D2730"/>
                <w:sz w:val="21"/>
              </w:rPr>
              <w:t>Следующий этап открывается только при наличии проверяемого результата предыдущего. Решения: Go — продолжить; Revise — доработать; Hold — приостановить; Stop — закрыть с фиксацией причин.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4. Архитектура СФЕРЫ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Платформа строится как совокупность взаимосвязанных контуров. Их задача — обеспечить полный жизненный цикл инициативы без концентрации всех полномочий в одной организации.</w:t>
      </w:r>
    </w:p>
    <w:p>
      <w:pPr>
        <w:spacing w:before="0" w:after="100" w:line="264" w:lineRule="auto"/>
      </w:pPr>
      <w:r>
        <w:rPr>
          <w:rFonts w:ascii="Calibri" w:hAnsi="Calibri"/>
          <w:b/>
          <w:i w:val="0"/>
          <w:color w:val="1D2730"/>
          <w:sz w:val="22"/>
        </w:rPr>
        <w:t>СФЕРА.ИНИЦИАТИВЫ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приём, паспортизация, маршрутизация и статус инициатив;</w:t>
      </w:r>
    </w:p>
    <w:p>
      <w:pPr>
        <w:spacing w:before="0" w:after="100" w:line="264" w:lineRule="auto"/>
      </w:pPr>
      <w:r>
        <w:rPr>
          <w:rFonts w:ascii="Calibri" w:hAnsi="Calibri"/>
          <w:b/>
          <w:i w:val="0"/>
          <w:color w:val="1D2730"/>
          <w:sz w:val="22"/>
        </w:rPr>
        <w:t>СФЕРА.ЭКСПЕРТИЗА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научно-техническая, социальная, экологическая, правовая и экономическая оценка;</w:t>
      </w:r>
    </w:p>
    <w:p>
      <w:pPr>
        <w:spacing w:before="0" w:after="100" w:line="264" w:lineRule="auto"/>
      </w:pPr>
      <w:r>
        <w:rPr>
          <w:rFonts w:ascii="Calibri" w:hAnsi="Calibri"/>
          <w:b/>
          <w:i w:val="0"/>
          <w:color w:val="1D2730"/>
          <w:sz w:val="22"/>
        </w:rPr>
        <w:t>СФЕРА.КООПЕРАЦИЯ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поиск партнёров, компетенций, поставщиков и формирование проектных команд;</w:t>
      </w:r>
    </w:p>
    <w:p>
      <w:pPr>
        <w:spacing w:before="0" w:after="100" w:line="264" w:lineRule="auto"/>
      </w:pPr>
      <w:r>
        <w:rPr>
          <w:rFonts w:ascii="Calibri" w:hAnsi="Calibri"/>
          <w:b/>
          <w:i w:val="0"/>
          <w:color w:val="1D2730"/>
          <w:sz w:val="22"/>
        </w:rPr>
        <w:t>СФЕРА.РЕСУРСЫ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связка проектов с финансами, технологиями, кадрами, данными и площадками;</w:t>
      </w:r>
    </w:p>
    <w:p>
      <w:pPr>
        <w:spacing w:before="0" w:after="100" w:line="264" w:lineRule="auto"/>
      </w:pPr>
      <w:r>
        <w:rPr>
          <w:rFonts w:ascii="Calibri" w:hAnsi="Calibri"/>
          <w:b/>
          <w:i w:val="0"/>
          <w:color w:val="1D2730"/>
          <w:sz w:val="22"/>
        </w:rPr>
        <w:t>СФЕРА.ПИЛОТЫ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реестр пилотных объектов, контроль этапов, сроков, KPI и рисков;</w:t>
      </w:r>
    </w:p>
    <w:p>
      <w:pPr>
        <w:spacing w:before="0" w:after="100" w:line="264" w:lineRule="auto"/>
      </w:pPr>
      <w:r>
        <w:rPr>
          <w:rFonts w:ascii="Calibri" w:hAnsi="Calibri"/>
          <w:b/>
          <w:i w:val="0"/>
          <w:color w:val="1D2730"/>
          <w:sz w:val="22"/>
        </w:rPr>
        <w:t>СФЕРА.ДОКАЗАТЕЛЬСТВА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паспорта показателей, MRV, независимая проверка и реестр подтверждённых результатов;</w:t>
      </w:r>
    </w:p>
    <w:p>
      <w:pPr>
        <w:spacing w:before="0" w:after="100" w:line="264" w:lineRule="auto"/>
      </w:pPr>
      <w:r>
        <w:rPr>
          <w:rFonts w:ascii="Calibri" w:hAnsi="Calibri"/>
          <w:b/>
          <w:i w:val="0"/>
          <w:color w:val="1D2730"/>
          <w:sz w:val="22"/>
        </w:rPr>
        <w:t>СФЕРА.ЗНАНИЯ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библиотека практик, обучение, методики и подготовка участников;</w:t>
      </w:r>
    </w:p>
    <w:p>
      <w:pPr>
        <w:spacing w:before="0" w:after="100" w:line="264" w:lineRule="auto"/>
      </w:pPr>
      <w:r>
        <w:rPr>
          <w:rFonts w:ascii="Calibri" w:hAnsi="Calibri"/>
          <w:b/>
          <w:i w:val="0"/>
          <w:color w:val="1D2730"/>
          <w:sz w:val="22"/>
        </w:rPr>
        <w:t>СФЕРА.СОБЫТИЯ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форумы, стратегические сессии, выставки, общественный диалог;</w:t>
      </w:r>
    </w:p>
    <w:p>
      <w:pPr>
        <w:spacing w:before="0" w:after="100" w:line="264" w:lineRule="auto"/>
      </w:pPr>
      <w:r>
        <w:rPr>
          <w:rFonts w:ascii="Calibri" w:hAnsi="Calibri"/>
          <w:b/>
          <w:i w:val="0"/>
          <w:color w:val="1D2730"/>
          <w:sz w:val="22"/>
        </w:rPr>
        <w:t>СФЕРА.МАСШТАБ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типовые решения, франшизы, портфели проектов и международная кооперация;</w:t>
      </w:r>
    </w:p>
    <w:p>
      <w:pPr>
        <w:spacing w:before="0" w:after="100" w:line="264" w:lineRule="auto"/>
      </w:pPr>
      <w:r>
        <w:rPr>
          <w:rFonts w:ascii="Calibri" w:hAnsi="Calibri"/>
          <w:b/>
          <w:i w:val="0"/>
          <w:color w:val="1D2730"/>
          <w:sz w:val="22"/>
        </w:rPr>
        <w:t>СФЕРА.ОБРАТНАЯ СВЯЗЬ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общественный контроль, обращения, оценка качества и корректировка программ.</w:t>
      </w:r>
    </w:p>
    <w:p>
      <w:pPr>
        <w:pStyle w:val="Heading2"/>
      </w:pPr>
      <w:r>
        <w:t>Тематические направления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Человек и качество жизни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Территории и города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Наука и образование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Промышленность и технологии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Энергетика и экология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Здоровье и реабилитация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Культура, медиа и события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Социальная экономика и занятость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Международная кооперация</w:t>
      </w:r>
    </w:p>
    <w:p>
      <w:r>
        <w:br w:type="page"/>
      </w:r>
    </w:p>
    <w:p>
      <w:pPr>
        <w:pStyle w:val="Heading1"/>
      </w:pPr>
      <w:r>
        <w:t>5. Роли в общей системе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СФЕРА является связующим общественным и коммуникационным контуром. Она работает совместно с другими элементами архитектуры, но не смешивает их функции.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  <w:tblInd w:w="120" w:type="dxa"/>
      </w:tblPr>
      <w:tblGrid>
        <w:gridCol w:w="2200"/>
        <w:gridCol w:w="3480"/>
        <w:gridCol w:w="3680"/>
      </w:tblGrid>
      <w:tr>
        <w:tc>
          <w:tcPr>
            <w:tcW w:type="dxa" w:w="22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02F50"/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Элемент</w:t>
            </w:r>
          </w:p>
        </w:tc>
        <w:tc>
          <w:tcPr>
            <w:tcW w:type="dxa" w:w="34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02F50"/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Основная функция</w:t>
            </w:r>
          </w:p>
        </w:tc>
        <w:tc>
          <w:tcPr>
            <w:tcW w:type="dxa" w:w="3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02F50"/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Связь со СФЕРОЙ</w:t>
            </w:r>
          </w:p>
        </w:tc>
      </w:tr>
      <w:tr>
        <w:tc>
          <w:tcPr>
            <w:tcW w:type="dxa" w:w="220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/>
                <w:i w:val="0"/>
                <w:color w:val="1D2730"/>
                <w:sz w:val="18"/>
              </w:rPr>
              <w:t>ЭКВИЛИБРИУМ</w:t>
            </w:r>
          </w:p>
        </w:tc>
        <w:tc>
          <w:tcPr>
            <w:tcW w:type="dxa" w:w="34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образ будущего, баланс интересов, смысловая и аналитическая архитектура</w:t>
            </w:r>
          </w:p>
        </w:tc>
        <w:tc>
          <w:tcPr>
            <w:tcW w:type="dxa" w:w="36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задаёт принципы и критерии согласованности</w:t>
            </w:r>
          </w:p>
        </w:tc>
      </w:tr>
      <w:tr>
        <w:tc>
          <w:tcPr>
            <w:tcW w:type="dxa" w:w="220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/>
                <w:i w:val="0"/>
                <w:color w:val="1D2730"/>
                <w:sz w:val="18"/>
              </w:rPr>
              <w:t>ECO‑PPA</w:t>
            </w:r>
          </w:p>
        </w:tc>
        <w:tc>
          <w:tcPr>
            <w:tcW w:type="dxa" w:w="34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энергетическая и экологическая модель проектной реализации</w:t>
            </w:r>
          </w:p>
        </w:tc>
        <w:tc>
          <w:tcPr>
            <w:tcW w:type="dxa" w:w="36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предоставляет пилоты, методологию результата и доказанные кейсы</w:t>
            </w:r>
          </w:p>
        </w:tc>
      </w:tr>
      <w:tr>
        <w:tc>
          <w:tcPr>
            <w:tcW w:type="dxa" w:w="220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/>
                <w:i w:val="0"/>
                <w:color w:val="1D2730"/>
                <w:sz w:val="18"/>
              </w:rPr>
              <w:t>СПЕЦЗАЩИТА</w:t>
            </w:r>
          </w:p>
        </w:tc>
        <w:tc>
          <w:tcPr>
            <w:tcW w:type="dxa" w:w="34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производственная и кооперационная сборка исполнителей</w:t>
            </w:r>
          </w:p>
        </w:tc>
        <w:tc>
          <w:tcPr>
            <w:tcW w:type="dxa" w:w="36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обеспечивает переход от проекта к физической реализации</w:t>
            </w:r>
          </w:p>
        </w:tc>
      </w:tr>
      <w:tr>
        <w:tc>
          <w:tcPr>
            <w:tcW w:type="dxa" w:w="220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/>
                <w:i w:val="0"/>
                <w:color w:val="1D2730"/>
                <w:sz w:val="18"/>
              </w:rPr>
              <w:t>Проектный офис</w:t>
            </w:r>
          </w:p>
        </w:tc>
        <w:tc>
          <w:tcPr>
            <w:tcW w:type="dxa" w:w="34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паспорт проекта, stage-gates, сроки, риски, договоры и отчётность</w:t>
            </w:r>
          </w:p>
        </w:tc>
        <w:tc>
          <w:tcPr>
            <w:tcW w:type="dxa" w:w="36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ведёт инициативу после допуска в проектный контур</w:t>
            </w:r>
          </w:p>
        </w:tc>
      </w:tr>
      <w:tr>
        <w:tc>
          <w:tcPr>
            <w:tcW w:type="dxa" w:w="220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/>
                <w:i w:val="0"/>
                <w:color w:val="1D2730"/>
                <w:sz w:val="18"/>
              </w:rPr>
              <w:t>ESG‑IR 1.0</w:t>
            </w:r>
          </w:p>
        </w:tc>
        <w:tc>
          <w:tcPr>
            <w:tcW w:type="dxa" w:w="34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проектируемая методология показателей, MRV и доказательных статусов</w:t>
            </w:r>
          </w:p>
        </w:tc>
        <w:tc>
          <w:tcPr>
            <w:tcW w:type="dxa" w:w="3680"/>
            <w:shd w:fill="FFFFF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формирует единый язык измеримого эффекта</w:t>
            </w:r>
          </w:p>
        </w:tc>
      </w:tr>
      <w:tr>
        <w:tc>
          <w:tcPr>
            <w:tcW w:type="dxa" w:w="2200"/>
            <w:shd w:fill="E9F4E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/>
                <w:i w:val="0"/>
                <w:color w:val="1D2730"/>
                <w:sz w:val="18"/>
              </w:rPr>
              <w:t>СФЕРА</w:t>
            </w:r>
          </w:p>
        </w:tc>
        <w:tc>
          <w:tcPr>
            <w:tcW w:type="dxa" w:w="3480"/>
            <w:shd w:fill="E9F4E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инициативы, сообщества, знания, коммуникация и масштабирование</w:t>
            </w:r>
          </w:p>
        </w:tc>
        <w:tc>
          <w:tcPr>
            <w:tcW w:type="dxa" w:w="3680"/>
            <w:shd w:fill="E9F4EF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D2730"/>
                <w:sz w:val="18"/>
              </w:rPr>
              <w:t>единое окно участия и распространение подтверждённых практик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9F4EF"/>
          </w:tcPr>
          <w:p>
            <w:pPr>
              <w:spacing w:after="0" w:line="259" w:lineRule="auto"/>
            </w:pPr>
            <w:r>
              <w:rPr>
                <w:rFonts w:ascii="Calibri" w:hAnsi="Calibri"/>
                <w:b/>
                <w:i w:val="0"/>
                <w:color w:val="124B3A"/>
                <w:sz w:val="20"/>
              </w:rPr>
              <w:t xml:space="preserve">ПРИНЦИП РАЗДЕЛЕНИЯ  </w:t>
            </w:r>
            <w:r>
              <w:rPr>
                <w:rFonts w:ascii="Calibri" w:hAnsi="Calibri"/>
                <w:b w:val="0"/>
                <w:i w:val="0"/>
                <w:color w:val="1D2730"/>
                <w:sz w:val="21"/>
              </w:rPr>
              <w:t>Все вместе — не означает, что все делают всё. Каждый участник действует по своим полномочиям, вносит определённый вклад и отвечает за принятый риск.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6. Участники и ценность для них</w:t>
      </w:r>
    </w:p>
    <w:p>
      <w:pPr>
        <w:pStyle w:val="Heading2"/>
      </w:pPr>
      <w:r>
        <w:t>Граждане и сообщества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понятный вход для инициатив; обратная связь; участие в обсуждении и контроле; доступ к знаниям и кооперации.</w:t>
      </w:r>
    </w:p>
    <w:p>
      <w:pPr>
        <w:pStyle w:val="Heading2"/>
      </w:pPr>
      <w:r>
        <w:t>Государство и регионы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структурированный поток инициатив; данные о потребностях; подготовленные пилоты; измеримый общественный эффект.</w:t>
      </w:r>
    </w:p>
    <w:p>
      <w:pPr>
        <w:pStyle w:val="Heading2"/>
      </w:pPr>
      <w:r>
        <w:t>Бизнес и промышленность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поиск решений и партнёров; доступ к пилотам; снижение транзакционных издержек; тиражирование проверенных технологий.</w:t>
      </w:r>
    </w:p>
    <w:p>
      <w:pPr>
        <w:pStyle w:val="Heading2"/>
      </w:pPr>
      <w:r>
        <w:t>Наука и образование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задачи для исследований; испытательные площадки; рост TRL; коммерциализация разработок; подготовка кадров.</w:t>
      </w:r>
    </w:p>
    <w:p>
      <w:pPr>
        <w:pStyle w:val="Heading2"/>
      </w:pPr>
      <w:r>
        <w:t>Финансовые институты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стандартизированные проектные данные; прозрачные этапы; распределение рисков; доказательная база для решений.</w:t>
      </w:r>
    </w:p>
    <w:p>
      <w:pPr>
        <w:pStyle w:val="Heading2"/>
      </w:pPr>
      <w:r>
        <w:t>НКО, СМИ и лидеры сообществ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проверенные материалы; участие в общественном диалоге; обучение; распространение практик без подмены фактов обещаниями.</w:t>
      </w:r>
    </w:p>
    <w:p>
      <w:pPr>
        <w:pStyle w:val="Heading2"/>
      </w:pPr>
      <w:r>
        <w:t>Единица учёта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Основной единицей платформы является паспорт инициативы с уникальным идентификатором, историей изменений, владельцем, статусом, доказательствами и связями с участниками, объектами, ресурсами и результатами.</w:t>
      </w:r>
    </w:p>
    <w:p>
      <w:r>
        <w:br w:type="page"/>
      </w:r>
    </w:p>
    <w:p>
      <w:pPr>
        <w:pStyle w:val="Heading1"/>
      </w:pPr>
      <w:r>
        <w:t>7. Управление, данные и доверие</w:t>
      </w:r>
    </w:p>
    <w:p>
      <w:pPr>
        <w:pStyle w:val="Heading2"/>
      </w:pPr>
      <w:r>
        <w:t>Уровни управления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Наблюдательный или стратегический совет — цели, принципы и общественная легитимность;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Экспертные советы — независимая оценка по направлениям;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Проектный комитет — решения по переходам, ресурсам, рискам и изменениям;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Проектный офис — исполнение, реестры, data room, сроки и отчётность;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Независимый верификатор — проверка показателей и итогового результата;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Общественный контур — обратная связь, доступность информации и контроль качества.</w:t>
      </w:r>
    </w:p>
    <w:p>
      <w:pPr>
        <w:pStyle w:val="Heading2"/>
      </w:pPr>
      <w:r>
        <w:t>Цифровые принципы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единый Project ID и прослеживаемость решений;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разделение публичных, служебных и конфиденциальных данных;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законные основания обработки персональных и коммерческих данных;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версионирование методик, документов и показателей;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аудит-трейл: источник → фиксация → расчёт → KPI → заключение;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открытая публикация только подтверждённых результатов.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EF4F8"/>
          </w:tcPr>
          <w:p>
            <w:pPr>
              <w:spacing w:after="0" w:line="259" w:lineRule="auto"/>
            </w:pPr>
            <w:r>
              <w:rPr>
                <w:rFonts w:ascii="Calibri" w:hAnsi="Calibri"/>
                <w:b/>
                <w:i w:val="0"/>
                <w:color w:val="102F50"/>
                <w:sz w:val="20"/>
              </w:rPr>
              <w:t xml:space="preserve">ДОВЕРИЕ  </w:t>
            </w:r>
            <w:r>
              <w:rPr>
                <w:rFonts w:ascii="Calibri" w:hAnsi="Calibri"/>
                <w:b w:val="0"/>
                <w:i w:val="0"/>
                <w:color w:val="1D2730"/>
                <w:sz w:val="21"/>
              </w:rPr>
              <w:t>Рейтинг или красивый отчёт не заменяют доказательство. Доверие создаётся прослеживаемостью данных, независимостью проверки, ясным распределением ответственности и возможностью воспроизвести результат.</w:t>
            </w:r>
          </w:p>
        </w:tc>
      </w:tr>
    </w:tbl>
    <w:p>
      <w:pPr>
        <w:spacing w:after="40"/>
      </w:pPr>
    </w:p>
    <w:p>
      <w:pPr>
        <w:pStyle w:val="Heading2"/>
      </w:pPr>
      <w:r>
        <w:t>Базовые KPI платформы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доля инициатив, прошедших первичную экспертизу;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срок от регистрации до решения о маршруте;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доля инициатив с назначенными владельцами ролей;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число запущенных и завершённых пилотов;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доля KPI, подтверждённых независимой проверкой;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число повторных внедрений доказанных решений;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общественная удовлетворённость и качество обратной связи.</w:t>
      </w:r>
    </w:p>
    <w:p>
      <w:r>
        <w:br w:type="page"/>
      </w:r>
    </w:p>
    <w:p>
      <w:pPr>
        <w:pStyle w:val="Heading1"/>
      </w:pPr>
      <w:r>
        <w:t>8. Модель запуска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D2730"/>
          <w:sz w:val="22"/>
        </w:rPr>
        <w:t>Запуск СФЕРЫ целесообразно начинать не с построения огромной универсальной системы, а с ограниченного контура, одного набора критериев и нескольких инициатив, которые можно провести по полному циклу.</w:t>
      </w:r>
    </w:p>
    <w:p>
      <w:pPr>
        <w:spacing w:before="0" w:after="140" w:line="264" w:lineRule="auto"/>
      </w:pPr>
      <w:r>
        <w:rPr>
          <w:rFonts w:ascii="Calibri" w:hAnsi="Calibri"/>
          <w:b/>
          <w:i w:val="0"/>
          <w:color w:val="1D2730"/>
          <w:sz w:val="22"/>
        </w:rPr>
        <w:t>Этап 1. Мандат и правила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утвердить миссию, область пилота, роли, критерии входа, регламент решений и защиту данных;</w:t>
      </w:r>
    </w:p>
    <w:p>
      <w:pPr>
        <w:spacing w:before="0" w:after="140" w:line="264" w:lineRule="auto"/>
      </w:pPr>
      <w:r>
        <w:rPr>
          <w:rFonts w:ascii="Calibri" w:hAnsi="Calibri"/>
          <w:b/>
          <w:i w:val="0"/>
          <w:color w:val="1D2730"/>
          <w:sz w:val="22"/>
        </w:rPr>
        <w:t>Этап 2. Минимальная платформа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создать паспорт инициативы, реестр статусов, экспертный маршрут, каталог компетенций и кабинет проектного офиса;</w:t>
      </w:r>
    </w:p>
    <w:p>
      <w:pPr>
        <w:spacing w:before="0" w:after="140" w:line="264" w:lineRule="auto"/>
      </w:pPr>
      <w:r>
        <w:rPr>
          <w:rFonts w:ascii="Calibri" w:hAnsi="Calibri"/>
          <w:b/>
          <w:i w:val="0"/>
          <w:color w:val="1D2730"/>
          <w:sz w:val="22"/>
        </w:rPr>
        <w:t>Этап 3. Портфель пилотов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отобрать 3–5 инициатив, сформировать baseline, KPI, команды, ресурсные паспорта и планы реализации;</w:t>
      </w:r>
    </w:p>
    <w:p>
      <w:pPr>
        <w:spacing w:before="0" w:after="140" w:line="264" w:lineRule="auto"/>
      </w:pPr>
      <w:r>
        <w:rPr>
          <w:rFonts w:ascii="Calibri" w:hAnsi="Calibri"/>
          <w:b/>
          <w:i w:val="0"/>
          <w:color w:val="1D2730"/>
          <w:sz w:val="22"/>
        </w:rPr>
        <w:t>Этап 4. Доказательство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получить данные эксплуатации, провести независимую проверку и оформить доказанные кейсы;</w:t>
      </w:r>
    </w:p>
    <w:p>
      <w:pPr>
        <w:spacing w:before="0" w:after="140" w:line="264" w:lineRule="auto"/>
      </w:pPr>
      <w:r>
        <w:rPr>
          <w:rFonts w:ascii="Calibri" w:hAnsi="Calibri"/>
          <w:b/>
          <w:i w:val="0"/>
          <w:color w:val="1D2730"/>
          <w:sz w:val="22"/>
        </w:rPr>
        <w:t>Этап 5. Масштаб</w:t>
      </w:r>
      <w:r>
        <w:rPr>
          <w:rFonts w:ascii="Calibri" w:hAnsi="Calibri"/>
          <w:b w:val="0"/>
          <w:i w:val="0"/>
          <w:color w:val="1D2730"/>
          <w:sz w:val="22"/>
        </w:rPr>
        <w:t xml:space="preserve"> — типизировать решения, подготовить финансовые и организационные модели, обучить региональные команды и запустить повторные внедрения.</w:t>
      </w:r>
    </w:p>
    <w:p>
      <w:pPr>
        <w:pStyle w:val="Heading2"/>
      </w:pPr>
      <w:r>
        <w:t>Результат первого цикла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работающий маршрут инициативы от входа до решения;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согласованный набор ролей, документов и контрольных точек;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несколько завершённых пилотов с измеримыми показателями;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реестр подтверждённых практик;</w:t>
      </w:r>
    </w:p>
    <w:p>
      <w:pPr>
        <w:pStyle w:val="ListBullet"/>
        <w:spacing w:after="80" w:line="264" w:lineRule="auto"/>
      </w:pPr>
      <w:r>
        <w:rPr>
          <w:rFonts w:ascii="Calibri" w:hAnsi="Calibri"/>
          <w:b w:val="0"/>
          <w:i w:val="0"/>
          <w:color w:val="1D2730"/>
          <w:sz w:val="21"/>
        </w:rPr>
        <w:t>основание для масштабирования СФЕРЫ по территориям и направлениям.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9F4EF"/>
          </w:tcPr>
          <w:p>
            <w:pPr>
              <w:spacing w:after="0" w:line="259" w:lineRule="auto"/>
            </w:pPr>
            <w:r>
              <w:rPr>
                <w:rFonts w:ascii="Calibri" w:hAnsi="Calibri"/>
                <w:b/>
                <w:i w:val="0"/>
                <w:color w:val="124B3A"/>
                <w:sz w:val="20"/>
              </w:rPr>
              <w:t xml:space="preserve">ИТОГОВАЯ ФОРМУЛА  </w:t>
            </w:r>
            <w:r>
              <w:rPr>
                <w:rFonts w:ascii="Calibri" w:hAnsi="Calibri"/>
                <w:b w:val="0"/>
                <w:i w:val="0"/>
                <w:color w:val="1D2730"/>
                <w:sz w:val="21"/>
              </w:rPr>
              <w:t>СФЕРА объединяет не организации ради структуры, а людей и институты ради общего результата: полезная инициатива должна получить маршрут, поддержку, проверку и возможность стать частью будущего.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C6873"/>
        <w:sz w:val="17"/>
      </w:rPr>
      <w:t>Единое пространство инициатив для общего будущего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5C6873"/>
        <w:sz w:val="17"/>
      </w:rPr>
      <w:t>СФЕРА  •  КОНЦЕПЦИЯ ПЛАТФОРМЫ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D27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02F5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СФЕРА — единое пространство инициатив для общего будущего</dc:title>
  <dc:subject>Концепция интеграционной платформы инициатив</dc:subject>
  <dc:creator>Соколов Сергей Леонидович</dc:creator>
  <cp:keywords>СФЕРА, инициативы, кооперация, ECO-PPA, ЭКВИЛИБРИУМ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