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Aptos" w:hAnsi="Aptos" w:eastAsia="Aptos"/>
          <w:b/>
          <w:i w:val="0"/>
          <w:color w:val="B58A32"/>
          <w:sz w:val="20"/>
        </w:rPr>
        <w:t>СТРАТЕГИЧЕСКАЯ КОНЦЕПЦИЯ</w:t>
      </w:r>
    </w:p>
    <w:p>
      <w:pPr>
        <w:pStyle w:val="Title"/>
        <w:jc w:val="center"/>
      </w:pPr>
      <w:r>
        <w:t>СОЗДАНИЕ БАНКОВСКОЙ</w:t>
        <w:br/>
        <w:t>И ФИНАНСОВОЙ СИСТЕМЫ</w:t>
      </w:r>
    </w:p>
    <w:p>
      <w:pPr>
        <w:pStyle w:val="Subtitle"/>
        <w:jc w:val="center"/>
      </w:pPr>
      <w:r>
        <w:t>«СФЕРА — мир без границ»</w:t>
      </w:r>
    </w:p>
    <w:p>
      <w:pPr>
        <w:jc w:val="center"/>
      </w:pPr>
      <w:r>
        <w:rPr>
          <w:rFonts w:ascii="Aptos" w:hAnsi="Aptos" w:eastAsia="Aptos"/>
          <w:b w:val="0"/>
          <w:i/>
          <w:color w:val="5B6770"/>
          <w:sz w:val="22"/>
        </w:rPr>
        <w:t>Российское регулируемое ядро • международная партнёрская сеть • кооперативная экономика • социальное развитие</w:t>
      </w:r>
    </w:p>
    <w:p/>
    <w:p/>
    <w:p/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vAlign w:val="center"/>
            <w:tcMar>
              <w:top w:w="180" w:type="dxa"/>
              <w:start w:w="220" w:type="dxa"/>
              <w:bottom w:w="180" w:type="dxa"/>
              <w:end w:w="220" w:type="dxa"/>
            </w:tcMar>
            <w:shd w:fill="DCEEF2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168C8C"/>
                <w:sz w:val="22"/>
              </w:rPr>
              <w:t xml:space="preserve">Ключевая идея  </w:t>
            </w:r>
            <w:r>
              <w:rPr>
                <w:rFonts w:ascii="Aptos" w:hAnsi="Aptos" w:eastAsia="Aptos"/>
                <w:b w:val="0"/>
                <w:i w:val="0"/>
                <w:color w:val="102A43"/>
                <w:sz w:val="22"/>
              </w:rPr>
              <w:t>Единая система по миссии, стандартам, технологиям и доказательности результата; самостоятельные юридические лица по лицензиям, капиталу, клиентским средствам и ответственности.</w:t>
            </w:r>
          </w:p>
        </w:tc>
      </w:tr>
    </w:tbl>
    <w:p>
      <w:pPr>
        <w:spacing w:after="20"/>
      </w:pPr>
    </w:p>
    <w:p>
      <w:pPr>
        <w:keepLines w:val="0"/>
        <w:jc w:val="center"/>
      </w:pPr>
      <w:r>
        <w:rPr>
          <w:rFonts w:ascii="Aptos" w:hAnsi="Aptos" w:eastAsia="Aptos"/>
          <w:b w:val="0"/>
          <w:i w:val="0"/>
          <w:color w:val="5B6770"/>
          <w:sz w:val="22"/>
        </w:rPr>
        <w:t>Рабочая редакция для стратегического обсуждения</w:t>
      </w:r>
    </w:p>
    <w:p>
      <w:r>
        <w:br w:type="page"/>
      </w:r>
    </w:p>
    <w:p>
      <w:pPr>
        <w:pStyle w:val="Heading1"/>
      </w:pPr>
      <w:r>
        <w:t>Резюме концепции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«СФЕРА — мир без границ» предлагается создать как распределённую банковско-финансовую экосистему, соединяющую государственные задачи, частный капитал, кооперативное участие и социальные программы. Система не является попыткой заменить национальные валюты, центральные банки или лицензированные кредитные организации. Её назначение — сформировать совместимую среду, в которой проекты получают капитал, расчётную инфраструктуру, управление рисками и подтверждение общественного результата.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vAlign w:val="center"/>
            <w:tcMar>
              <w:top w:w="180" w:type="dxa"/>
              <w:start w:w="220" w:type="dxa"/>
              <w:bottom w:w="180" w:type="dxa"/>
              <w:end w:w="220" w:type="dxa"/>
            </w:tcMar>
            <w:shd w:fill="DCEEF2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168C8C"/>
                <w:sz w:val="22"/>
              </w:rPr>
              <w:t xml:space="preserve">Стратегический тезис  </w:t>
            </w:r>
            <w:r>
              <w:rPr>
                <w:rFonts w:ascii="Aptos" w:hAnsi="Aptos" w:eastAsia="Aptos"/>
                <w:b w:val="0"/>
                <w:i w:val="0"/>
                <w:color w:val="102A43"/>
                <w:sz w:val="22"/>
              </w:rPr>
              <w:t>СФЕРА превращает разрозненные активы, инициативы и финансовые институты в управляемый контур развития: инициатива → экспертиза → капитал → реализация → верификация → масштабирование.</w:t>
            </w:r>
          </w:p>
        </w:tc>
      </w:tr>
    </w:tbl>
    <w:p>
      <w:pPr>
        <w:spacing w:after="20"/>
      </w:pPr>
    </w:p>
    <w:p>
      <w:pPr>
        <w:pStyle w:val="Heading2"/>
      </w:pPr>
      <w:r>
        <w:t>Целевой результат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сильное российское банковское ядро для ГЧП, инфраструктуры и производственной кооперации;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сеть кооперативных финансовых организаций, обслуживающих участников и территории;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социальная продуктовая линия для семей, ветеранов, предпринимателей и муниципальных программ;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международный контур банков-партнёров, фондов и проектных компаний;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единые стандарты ECO-PPA, ESG-IR, комплаенса, оценки активов и цифровой доказательности;</w:t>
      </w:r>
    </w:p>
    <w:p>
      <w:pPr>
        <w:pStyle w:val="Heading1"/>
      </w:pPr>
      <w:r>
        <w:t>1. Миссия и принципы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Миссия СФЕРЫ — обеспечить доступ к ответственному капиталу для проектов, которые укрепляют человека, семью, территорию, экономику и природную среду, сохраняя финансовую устойчивость и законность в каждой юрисдикции.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2600"/>
        <w:gridCol w:w="6760"/>
      </w:tblGrid>
      <w:tr>
        <w:trPr>
          <w:cantSplit/>
          <w:tblHeader/>
        </w:trPr>
        <w:tc>
          <w:tcPr>
            <w:tcW w:type="dxa" w:w="2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Принцип</w:t>
            </w:r>
          </w:p>
        </w:tc>
        <w:tc>
          <w:tcPr>
            <w:tcW w:type="dxa" w:w="6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Законность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Лицензия и разрешённая организационная форма предшествуют операциям.</w:t>
            </w:r>
          </w:p>
        </w:tc>
      </w:tr>
      <w:tr>
        <w:trPr>
          <w:cantSplit/>
        </w:trPr>
        <w:tc>
          <w:tcPr>
            <w:tcW w:type="dxa" w:w="26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Раздельная ответственность</w:t>
            </w:r>
          </w:p>
        </w:tc>
        <w:tc>
          <w:tcPr>
            <w:tcW w:type="dxa" w:w="67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Клиент всегда знает, какому юридическому лицу передаёт средства и кто несёт риск.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Доказательность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Актив, денежный поток и общественный результат подтверждаются независимыми процедурами.</w:t>
            </w:r>
          </w:p>
        </w:tc>
      </w:tr>
      <w:tr>
        <w:trPr>
          <w:cantSplit/>
        </w:trPr>
        <w:tc>
          <w:tcPr>
            <w:tcW w:type="dxa" w:w="26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Справедливое распределение риска</w:t>
            </w:r>
          </w:p>
        </w:tc>
        <w:tc>
          <w:tcPr>
            <w:tcW w:type="dxa" w:w="67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Доход и ответственность не разрываются; убыток не перекладывается автоматически на государство или граждан.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Открытая кооперация</w:t>
            </w:r>
          </w:p>
        </w:tc>
        <w:tc>
          <w:tcPr>
            <w:tcW w:type="dxa" w:w="6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Участники объединяют ресурсы без смешения паёв, вкладов, инвестиций и благотворительных средств.</w:t>
            </w:r>
          </w:p>
        </w:tc>
      </w:tr>
      <w:tr>
        <w:trPr>
          <w:cantSplit/>
        </w:trPr>
        <w:tc>
          <w:tcPr>
            <w:tcW w:type="dxa" w:w="26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Технологическая устойчивость</w:t>
            </w:r>
          </w:p>
        </w:tc>
        <w:tc>
          <w:tcPr>
            <w:tcW w:type="dxa" w:w="67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Данные, расчёты и критические функции защищены, резервируются и контролируются человеком.</w:t>
            </w:r>
          </w:p>
        </w:tc>
      </w:tr>
    </w:tbl>
    <w:p>
      <w:pPr>
        <w:spacing w:after="40"/>
      </w:pPr>
    </w:p>
    <w:p>
      <w:pPr>
        <w:pStyle w:val="Heading1"/>
      </w:pPr>
      <w:r>
        <w:t>2. Архитектура системы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СФЕРА строится как надсистема координации. Банковские, инвестиционные, платёжные, кооперативные и проектные функции распределяются между специализированными субъектами.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1500"/>
        <w:gridCol w:w="2800"/>
        <w:gridCol w:w="5060"/>
      </w:tblGrid>
      <w:tr>
        <w:trPr>
          <w:cantSplit/>
          <w:tblHeader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Контур</w:t>
            </w:r>
          </w:p>
        </w:tc>
        <w:tc>
          <w:tcPr>
            <w:tcW w:type="dxa" w:w="2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Институт</w:t>
            </w:r>
          </w:p>
        </w:tc>
        <w:tc>
          <w:tcPr>
            <w:tcW w:type="dxa" w:w="5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Функция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Российское ядро</w:t>
            </w:r>
          </w:p>
        </w:tc>
        <w:tc>
          <w:tcPr>
            <w:tcW w:type="dxa" w:w="2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Банк с универсальной лицензией</w:t>
            </w:r>
          </w:p>
        </w:tc>
        <w:tc>
          <w:tcPr>
            <w:tcW w:type="dxa" w:w="5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Счета, расчёты, кредиты, гарантии, проектное финансирование.</w:t>
            </w:r>
          </w:p>
        </w:tc>
      </w:tr>
      <w:tr>
        <w:trPr>
          <w:cantSplit/>
        </w:trPr>
        <w:tc>
          <w:tcPr>
            <w:tcW w:type="dxa" w:w="1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Развитие</w:t>
            </w:r>
          </w:p>
        </w:tc>
        <w:tc>
          <w:tcPr>
            <w:tcW w:type="dxa" w:w="2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Управляющая компания и фонды</w:t>
            </w:r>
          </w:p>
        </w:tc>
        <w:tc>
          <w:tcPr>
            <w:tcW w:type="dxa" w:w="5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Инфраструктурные, производственные и социальные инвестиции.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Кооперация</w:t>
            </w:r>
          </w:p>
        </w:tc>
        <w:tc>
          <w:tcPr>
            <w:tcW w:type="dxa" w:w="2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Кооперативы и союзы</w:t>
            </w:r>
          </w:p>
        </w:tc>
        <w:tc>
          <w:tcPr>
            <w:tcW w:type="dxa" w:w="5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Паи, совместные закупки, сбыт, хозяйственная взаимопомощь.</w:t>
            </w:r>
          </w:p>
        </w:tc>
      </w:tr>
      <w:tr>
        <w:trPr>
          <w:cantSplit/>
        </w:trPr>
        <w:tc>
          <w:tcPr>
            <w:tcW w:type="dxa" w:w="1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Проекты</w:t>
            </w:r>
          </w:p>
        </w:tc>
        <w:tc>
          <w:tcPr>
            <w:tcW w:type="dxa" w:w="2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SPV / концессионные общества</w:t>
            </w:r>
          </w:p>
        </w:tc>
        <w:tc>
          <w:tcPr>
            <w:tcW w:type="dxa" w:w="5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Изоляция рисков и реализация каждого крупного проекта.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Защита</w:t>
            </w:r>
          </w:p>
        </w:tc>
        <w:tc>
          <w:tcPr>
            <w:tcW w:type="dxa" w:w="2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Гарантийный и резервный фонды</w:t>
            </w:r>
          </w:p>
        </w:tc>
        <w:tc>
          <w:tcPr>
            <w:tcW w:type="dxa" w:w="5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Поручительства, покрытие первых потерь, антикризисная поддержка.</w:t>
            </w:r>
          </w:p>
        </w:tc>
      </w:tr>
      <w:tr>
        <w:trPr>
          <w:cantSplit/>
        </w:trPr>
        <w:tc>
          <w:tcPr>
            <w:tcW w:type="dxa" w:w="1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Доказательность</w:t>
            </w:r>
          </w:p>
        </w:tc>
        <w:tc>
          <w:tcPr>
            <w:tcW w:type="dxa" w:w="2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Центр ECO-PPA / ESG-IR</w:t>
            </w:r>
          </w:p>
        </w:tc>
        <w:tc>
          <w:tcPr>
            <w:tcW w:type="dxa" w:w="5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Экспертиза, верификация воздействия, реестр результатов.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Технологии</w:t>
            </w:r>
          </w:p>
        </w:tc>
        <w:tc>
          <w:tcPr>
            <w:tcW w:type="dxa" w:w="2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Оператор платформы СФЕРА</w:t>
            </w:r>
          </w:p>
        </w:tc>
        <w:tc>
          <w:tcPr>
            <w:tcW w:type="dxa" w:w="5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Данные, интеграции, реестры, отчётность и цифровой аудит.</w:t>
            </w:r>
          </w:p>
        </w:tc>
      </w:tr>
      <w:tr>
        <w:trPr>
          <w:cantSplit/>
        </w:trPr>
        <w:tc>
          <w:tcPr>
            <w:tcW w:type="dxa" w:w="1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Международный пояс</w:t>
            </w:r>
          </w:p>
        </w:tc>
        <w:tc>
          <w:tcPr>
            <w:tcW w:type="dxa" w:w="2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Национальные банки и фонды-партнёры</w:t>
            </w:r>
          </w:p>
        </w:tc>
        <w:tc>
          <w:tcPr>
            <w:tcW w:type="dxa" w:w="5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Трансграничные расчёты и совместное финансирование в рамках местного права.</w:t>
            </w:r>
          </w:p>
        </w:tc>
      </w:tr>
    </w:tbl>
    <w:p>
      <w:pPr>
        <w:spacing w:after="40"/>
      </w:pPr>
    </w:p>
    <w:p>
      <w:pPr>
        <w:pStyle w:val="Heading1"/>
      </w:pPr>
      <w:r>
        <w:t>3. Российское регулируемое ядро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В России «банк ГЧП», «кооперативный банк» и «социальный банк» следует рассматривать как функциональные специализации, а не как отдельные виды банковской лицензии. Банковские операции осуществляет лицензированная кредитная организация; остальные участники выполняют только законно разрешённые им функции.</w:t>
      </w:r>
    </w:p>
    <w:p>
      <w:pPr>
        <w:pStyle w:val="Heading2"/>
      </w:pPr>
      <w:r>
        <w:t>Три продуктовые линии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1.  Банк ГЧП и развития. Финансирование энергетики, экологии, транспорта, строительства, реабилитации, цифровой и муниципальной инфраструктуры.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2.  Кооперативный контур. Обслуживание производственных цепочек, локальных экономик, пайщиков, снабжения, сбыта и взаимного обеспечения.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3.  Социальная линия. Доступные финансовые продукты для граждан, семей, ветеранов, людей с инвалидностью, социальных предприятий и малых территорий.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vAlign w:val="center"/>
            <w:tcMar>
              <w:top w:w="180" w:type="dxa"/>
              <w:start w:w="220" w:type="dxa"/>
              <w:bottom w:w="180" w:type="dxa"/>
              <w:end w:w="220" w:type="dxa"/>
            </w:tcMar>
            <w:shd w:fill="FFF3D8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168C8C"/>
                <w:sz w:val="22"/>
              </w:rPr>
              <w:t xml:space="preserve">Правовая граница  </w:t>
            </w:r>
            <w:r>
              <w:rPr>
                <w:rFonts w:ascii="Aptos" w:hAnsi="Aptos" w:eastAsia="Aptos"/>
                <w:b w:val="0"/>
                <w:i w:val="0"/>
                <w:color w:val="102A43"/>
                <w:sz w:val="22"/>
              </w:rPr>
              <w:t>Пай, инвестиционная доля, цифровое право, благотворительный взнос и банковский вклад — разные правовые инструменты. Они не должны смешиваться в договоре, учёте или рекламе.</w:t>
            </w:r>
          </w:p>
        </w:tc>
      </w:tr>
    </w:tbl>
    <w:p>
      <w:pPr>
        <w:spacing w:after="20"/>
      </w:pPr>
    </w:p>
    <w:p>
      <w:pPr>
        <w:pStyle w:val="Heading1"/>
      </w:pPr>
      <w:r>
        <w:t>4. Международная система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Международный уровень формируется не одной универсальной лицензией, а сетью национально регулируемых институтов, объединённых договорами, стандартами и совместимой технологической платформой.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1700"/>
        <w:gridCol w:w="3100"/>
        <w:gridCol w:w="4560"/>
      </w:tblGrid>
      <w:tr>
        <w:trPr>
          <w:cantSplit/>
          <w:tblHeader/>
        </w:trPr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3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Роль</w:t>
            </w:r>
          </w:p>
        </w:tc>
        <w:tc>
          <w:tcPr>
            <w:tcW w:type="dxa" w:w="4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Модель входа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Россия</w:t>
            </w:r>
          </w:p>
        </w:tc>
        <w:tc>
          <w:tcPr>
            <w:tcW w:type="dxa" w:w="3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Регулируемое, методологическое и технологическое ядро</w:t>
            </w:r>
          </w:p>
        </w:tc>
        <w:tc>
          <w:tcPr>
            <w:tcW w:type="dxa" w:w="4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Собственный банк или приобретение действующего банка после комплексной проверки.</w:t>
            </w:r>
          </w:p>
        </w:tc>
      </w:tr>
      <w:tr>
        <w:trPr>
          <w:cantSplit/>
        </w:trPr>
        <w:tc>
          <w:tcPr>
            <w:tcW w:type="dxa" w:w="17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ЕАЭС / Союзное государство</w:t>
            </w:r>
          </w:p>
        </w:tc>
        <w:tc>
          <w:tcPr>
            <w:tcW w:type="dxa" w:w="31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Первый пояс совместимости</w:t>
            </w:r>
          </w:p>
        </w:tc>
        <w:tc>
          <w:tcPr>
            <w:tcW w:type="dxa" w:w="45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Банки-партнёры, национальные валюты, совместные фонды и проектные стандарты.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БРИКС+</w:t>
            </w:r>
          </w:p>
        </w:tc>
        <w:tc>
          <w:tcPr>
            <w:tcW w:type="dxa" w:w="3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Инвестиционный и расчётный пояс</w:t>
            </w:r>
          </w:p>
        </w:tc>
        <w:tc>
          <w:tcPr>
            <w:tcW w:type="dxa" w:w="4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Консорциумы, корреспондентские отношения, фонды, проектные офисы.</w:t>
            </w:r>
          </w:p>
        </w:tc>
      </w:tr>
      <w:tr>
        <w:trPr>
          <w:cantSplit/>
        </w:trPr>
        <w:tc>
          <w:tcPr>
            <w:tcW w:type="dxa" w:w="17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Глобальные проекты</w:t>
            </w:r>
          </w:p>
        </w:tc>
        <w:tc>
          <w:tcPr>
            <w:tcW w:type="dxa" w:w="31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Энергия, вода, продовольствие, экология, территория</w:t>
            </w:r>
          </w:p>
        </w:tc>
        <w:tc>
          <w:tcPr>
            <w:tcW w:type="dxa" w:w="45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Национальные операторы, SPV, банки развития и независимая верификация.</w:t>
            </w:r>
          </w:p>
        </w:tc>
      </w:tr>
    </w:tbl>
    <w:p>
      <w:pPr>
        <w:spacing w:after="40"/>
      </w:pPr>
    </w:p>
    <w:p>
      <w:pPr>
        <w:pStyle w:val="Heading2"/>
      </w:pPr>
      <w:r>
        <w:t>Общее и раздельное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Общее для сети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Раздельное по юрисдикциям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Миссия, бренд, стандарты, технологический протокол, классификатор рисков, реестр проектов, ECO-PPA, ESG-IR.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Лицензии, балансы, капитал, клиентские деньги, страхование вкладов, резервы, отчётность, банкротство.</w:t>
            </w:r>
          </w:p>
        </w:tc>
      </w:tr>
    </w:tbl>
    <w:p>
      <w:pPr>
        <w:spacing w:after="40"/>
      </w:pPr>
    </w:p>
    <w:p>
      <w:pPr>
        <w:pStyle w:val="Heading1"/>
      </w:pPr>
      <w:r>
        <w:t>5. Финансовая модель и инструменты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Система использует многоканальную модель капитала. Источник финансирования подбирается под срок, риск и денежный поток проекта; краткосрочные средства населения не направляются напрямую в долгосрочные неликвидные активы.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2100"/>
        <w:gridCol w:w="3300"/>
        <w:gridCol w:w="3960"/>
      </w:tblGrid>
      <w:tr>
        <w:trPr>
          <w:cantSplit/>
          <w:tblHeader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Инструмент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Назначение</w:t>
            </w:r>
          </w:p>
        </w:tc>
        <w:tc>
          <w:tcPr>
            <w:tcW w:type="dxa" w:w="3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Ключевое условие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Банковский кредит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Оборотный капитал и этапы проекта</w:t>
            </w:r>
          </w:p>
        </w:tc>
        <w:tc>
          <w:tcPr>
            <w:tcW w:type="dxa" w:w="3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Платёжеспособность, обеспечение, лимиты риска.</w:t>
            </w:r>
          </w:p>
        </w:tc>
      </w:tr>
      <w:tr>
        <w:trPr>
          <w:cantSplit/>
        </w:trPr>
        <w:tc>
          <w:tcPr>
            <w:tcW w:type="dxa" w:w="21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Проектное финансирование</w:t>
            </w:r>
          </w:p>
        </w:tc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Инфраструктура и ГЧП</w:t>
            </w:r>
          </w:p>
        </w:tc>
        <w:tc>
          <w:tcPr>
            <w:tcW w:type="dxa" w:w="39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Изолированный SPV и прогнозируемый денежный поток.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Облигации / ЦФА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Долгосрочное привлечение капитала</w:t>
            </w:r>
          </w:p>
        </w:tc>
        <w:tc>
          <w:tcPr>
            <w:tcW w:type="dxa" w:w="3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Раскрытие рисков, законный выпуск, обслуживание долга.</w:t>
            </w:r>
          </w:p>
        </w:tc>
      </w:tr>
      <w:tr>
        <w:trPr>
          <w:cantSplit/>
        </w:trPr>
        <w:tc>
          <w:tcPr>
            <w:tcW w:type="dxa" w:w="21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Паи</w:t>
            </w:r>
          </w:p>
        </w:tc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Кооперативное участие</w:t>
            </w:r>
          </w:p>
        </w:tc>
        <w:tc>
          <w:tcPr>
            <w:tcW w:type="dxa" w:w="39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Права пайщика отделены от банковского вклада.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Фонды и долевое участие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Рост и инновации</w:t>
            </w:r>
          </w:p>
        </w:tc>
        <w:tc>
          <w:tcPr>
            <w:tcW w:type="dxa" w:w="3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Инвестор принимает предпринимательский риск.</w:t>
            </w:r>
          </w:p>
        </w:tc>
      </w:tr>
      <w:tr>
        <w:trPr>
          <w:cantSplit/>
        </w:trPr>
        <w:tc>
          <w:tcPr>
            <w:tcW w:type="dxa" w:w="21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Гарантии и первые потери</w:t>
            </w:r>
          </w:p>
        </w:tc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Снижение риска для старших инвесторов</w:t>
            </w:r>
          </w:p>
        </w:tc>
        <w:tc>
          <w:tcPr>
            <w:tcW w:type="dxa" w:w="39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Заранее определены предел, цена и источник покрытия.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ECO-PPA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Долгосрочный договор результата и поставки</w:t>
            </w:r>
          </w:p>
        </w:tc>
        <w:tc>
          <w:tcPr>
            <w:tcW w:type="dxa" w:w="3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Измеримый эффект, верификация, понятный плательщик.</w:t>
            </w:r>
          </w:p>
        </w:tc>
      </w:tr>
    </w:tbl>
    <w:p>
      <w:pPr>
        <w:spacing w:after="40"/>
      </w:pPr>
    </w:p>
    <w:p>
      <w:pPr>
        <w:pStyle w:val="Heading2"/>
      </w:pPr>
      <w:r>
        <w:t>Расчётные единицы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Внутренние единицы СФЕРЫ, МУРДЕ или SUR на первом этапе целесообразно применять как индекс, меру стоимости, учётную единицу, цифровое право либо показатель социально-экологического воздействия. Они не объявляются законным средством платежа и не подменяют национальные валюты.</w:t>
      </w:r>
    </w:p>
    <w:p>
      <w:pPr>
        <w:pStyle w:val="Heading1"/>
      </w:pPr>
      <w:r>
        <w:t>6. Экономический цикл СФЕРЫ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1.  Инициатива — заявитель формулирует проблему, решение, территорию и ожидаемый результат.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2.  Экспертиза — проверяются право, технология, рынок, команда, активы и воздействие.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3.  Структурирование — выбираются юридическая модель, SPV, договоры и источники капитала.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4.  Риск-решение — независимый риск-центр устанавливает лимиты, ковенанты и резервы.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5.  Финансирование — капитал поступает по этапам при выполнении условий.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6.  Реализация — цифровой контур фиксирует расходы, результаты и отклонения.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7.  Верификация — подтверждаются денежный поток и общественно-экологический эффект.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8.  Масштабирование — успешная модель тиражируется через сеть партнёров.</w:t>
      </w:r>
    </w:p>
    <w:p>
      <w:pPr>
        <w:pStyle w:val="Heading1"/>
      </w:pPr>
      <w:r>
        <w:t>7. Управление, риск и защита участников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3300"/>
        <w:gridCol w:w="6060"/>
      </w:tblGrid>
      <w:tr>
        <w:trPr>
          <w:cantSplit/>
          <w:tblHeader/>
        </w:trPr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Орган</w:t>
            </w:r>
          </w:p>
        </w:tc>
        <w:tc>
          <w:tcPr>
            <w:tcW w:type="dxa" w:w="6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Полномочия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Совет системы СФЕРА</w:t>
            </w:r>
          </w:p>
        </w:tc>
        <w:tc>
          <w:tcPr>
            <w:tcW w:type="dxa" w:w="6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Миссия, стратегия, стандарты и допуск партнёров.</w:t>
            </w:r>
          </w:p>
        </w:tc>
      </w:tr>
      <w:tr>
        <w:trPr>
          <w:cantSplit/>
        </w:trPr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Совет директоров банка</w:t>
            </w:r>
          </w:p>
        </w:tc>
        <w:tc>
          <w:tcPr>
            <w:tcW w:type="dxa" w:w="6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Капитал, риск-аппетит, руководство и защита клиентов.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Кредитный / инвестиционный комитет</w:t>
            </w:r>
          </w:p>
        </w:tc>
        <w:tc>
          <w:tcPr>
            <w:tcW w:type="dxa" w:w="6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Решения по сделкам в пределах утверждённых лимитов.</w:t>
            </w:r>
          </w:p>
        </w:tc>
      </w:tr>
      <w:tr>
        <w:trPr>
          <w:cantSplit/>
        </w:trPr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Независимый риск-центр</w:t>
            </w:r>
          </w:p>
        </w:tc>
        <w:tc>
          <w:tcPr>
            <w:tcW w:type="dxa" w:w="6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Кредитный, рыночный, операционный, страновой и модельный риск.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Комплаенс и AML/CFT</w:t>
            </w:r>
          </w:p>
        </w:tc>
        <w:tc>
          <w:tcPr>
            <w:tcW w:type="dxa" w:w="6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Клиенты, бенефициары, источники средств, санкционные и коррупционные риски.</w:t>
            </w:r>
          </w:p>
        </w:tc>
      </w:tr>
      <w:tr>
        <w:trPr>
          <w:cantSplit/>
        </w:trPr>
        <w:tc>
          <w:tcPr>
            <w:tcW w:type="dxa" w:w="33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Внутренний аудит</w:t>
            </w:r>
          </w:p>
        </w:tc>
        <w:tc>
          <w:tcPr>
            <w:tcW w:type="dxa" w:w="60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Независимая оценка управления, контроля и соблюдения процедур.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Общественно-экспертный совет</w:t>
            </w:r>
          </w:p>
        </w:tc>
        <w:tc>
          <w:tcPr>
            <w:tcW w:type="dxa" w:w="60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Контроль миссии, социальной направленности и конфликтов интересов.</w:t>
            </w:r>
          </w:p>
        </w:tc>
      </w:tr>
    </w:tbl>
    <w:p>
      <w:pPr>
        <w:spacing w:after="40"/>
      </w:pPr>
    </w:p>
    <w:p>
      <w:pPr>
        <w:pStyle w:val="Heading2"/>
      </w:pPr>
      <w:r>
        <w:t>Три линии защиты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1.  Бизнес и операционные подразделения владеют риском и отвечают за первичный контроль.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2.  Риск-менеджмент, комплаенс и внутренний контроль независимо устанавливают правила и ограничения.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3.  Внутренний аудит проверяет обе линии и докладывает совету директоров.</w:t>
      </w:r>
    </w:p>
    <w:p>
      <w:pPr>
        <w:pStyle w:val="Heading1"/>
      </w:pPr>
      <w:r>
        <w:t>8. Цифровая платформа СФЕРА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Платформа обеспечивает единый информационный язык системы, но не становится неограниченным держателем клиентских средств. Финансовые операции исполняют лицензированные участники, а платформа связывает их через безопасные интерфейсы.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единый паспорт проекта и актива;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реестр прав, обязательств, залогов и ограничений;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KYC/KYB и установление бенефициаров;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проектный скоринг и мониторинг ковенант;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разграничение доступа и неизменяемый журнал решений;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отчётность ECO-PPA / ESG-IR и вклад в ЦУР;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резервирование, восстановление и возможность смены оператора;</w:t>
      </w:r>
    </w:p>
    <w:p>
      <w:pPr>
        <w:pStyle w:val="BulletSFERA"/>
      </w:pPr>
      <w:r>
        <w:rPr>
          <w:rFonts w:ascii="Aptos" w:hAnsi="Aptos" w:eastAsia="Aptos"/>
          <w:b w:val="0"/>
          <w:i w:val="0"/>
          <w:color w:val="102A43"/>
          <w:sz w:val="22"/>
        </w:rPr>
        <w:t>•  ответственное применение ИИ с обязательной ответственностью человека;</w:t>
      </w:r>
    </w:p>
    <w:p>
      <w:pPr>
        <w:pStyle w:val="Heading1"/>
      </w:pPr>
      <w:r>
        <w:t>9. Критерии отбора проектов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2500"/>
        <w:gridCol w:w="6860"/>
      </w:tblGrid>
      <w:tr>
        <w:trPr>
          <w:cantSplit/>
          <w:tblHeader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Блок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Вопрос допуска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Право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Оформлены ли права на актив, землю, технологию, выручку и обеспечение?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Экономика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Существует ли подтверждаемый спрос и достаточный денежный поток?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Команда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Есть ли компетенции, ответственность и прозрачные бенефициары?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Риск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Определены ли стресс-сценарии, лимиты потерь и план выхода?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Воздействие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Измеримы ли социальный, территориальный и экологический результаты?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Масштабирование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Можно ли повторить модель в других регионах без потери качества?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vAlign w:val="center"/>
            <w:tcMar>
              <w:top w:w="180" w:type="dxa"/>
              <w:start w:w="220" w:type="dxa"/>
              <w:bottom w:w="180" w:type="dxa"/>
              <w:end w:w="220" w:type="dxa"/>
            </w:tcMar>
            <w:shd w:fill="DCEEF2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168C8C"/>
                <w:sz w:val="22"/>
              </w:rPr>
              <w:t xml:space="preserve">Правило допуска  </w:t>
            </w:r>
            <w:r>
              <w:rPr>
                <w:rFonts w:ascii="Aptos" w:hAnsi="Aptos" w:eastAsia="Aptos"/>
                <w:b w:val="0"/>
                <w:i w:val="0"/>
                <w:color w:val="102A43"/>
                <w:sz w:val="22"/>
              </w:rPr>
              <w:t>Высокая заявленная стоимость актива не заменяет ликвидность, юридическую чистоту, денежный поток и способность проекта обслуживать обязательства.</w:t>
            </w:r>
          </w:p>
        </w:tc>
      </w:tr>
    </w:tbl>
    <w:p>
      <w:pPr>
        <w:spacing w:after="20"/>
      </w:pPr>
    </w:p>
    <w:p>
      <w:pPr>
        <w:pStyle w:val="Heading1"/>
      </w:pPr>
      <w:r>
        <w:t>10. Дорожная карта создания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1800"/>
        <w:gridCol w:w="1400"/>
        <w:gridCol w:w="6160"/>
      </w:tblGrid>
      <w:tr>
        <w:trPr>
          <w:cantSplit/>
          <w:tblHeader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Этап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Срок</w:t>
            </w:r>
          </w:p>
        </w:tc>
        <w:tc>
          <w:tcPr>
            <w:tcW w:type="dxa" w:w="6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I. Доктрина и аудит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0–3 месяца</w:t>
            </w:r>
          </w:p>
        </w:tc>
        <w:tc>
          <w:tcPr>
            <w:tcW w:type="dxa" w:w="6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Миссия, учредители, карта активов, правовая модель, пятилетняя экономика, регуляторная позиция.</w:t>
            </w:r>
          </w:p>
        </w:tc>
      </w:tr>
      <w:tr>
        <w:trPr>
          <w:cantSplit/>
        </w:trPr>
        <w:tc>
          <w:tcPr>
            <w:tcW w:type="dxa" w:w="1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II. Проектирование ядра</w:t>
            </w:r>
          </w:p>
        </w:tc>
        <w:tc>
          <w:tcPr>
            <w:tcW w:type="dxa" w:w="14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3–6 месяцев</w:t>
            </w:r>
          </w:p>
        </w:tc>
        <w:tc>
          <w:tcPr>
            <w:tcW w:type="dxa" w:w="61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Выбор банка/партнёра, целевая архитектура, риск-политики, прототип цифрового реестра.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III. Российский пилот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6–12 месяцев</w:t>
            </w:r>
          </w:p>
        </w:tc>
        <w:tc>
          <w:tcPr>
            <w:tcW w:type="dxa" w:w="6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Один регион или продуктовая линия, 3–5 проектов, независимый аудит и стресс-тест.</w:t>
            </w:r>
          </w:p>
        </w:tc>
      </w:tr>
      <w:tr>
        <w:trPr>
          <w:cantSplit/>
        </w:trPr>
        <w:tc>
          <w:tcPr>
            <w:tcW w:type="dxa" w:w="1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IV. ЕАЭС</w:t>
            </w:r>
          </w:p>
        </w:tc>
        <w:tc>
          <w:tcPr>
            <w:tcW w:type="dxa" w:w="14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12–24 месяца</w:t>
            </w:r>
          </w:p>
        </w:tc>
        <w:tc>
          <w:tcPr>
            <w:tcW w:type="dxa" w:w="61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Банки-партнёры, расчёты в национальных валютах, совместный фонд и первый трансграничный пилот.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V. БРИКС+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24–36 месяцев</w:t>
            </w:r>
          </w:p>
        </w:tc>
        <w:tc>
          <w:tcPr>
            <w:tcW w:type="dxa" w:w="6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Консорциумы, проектные офисы, инвестиционная платформа, внешняя верификация.</w:t>
            </w:r>
          </w:p>
        </w:tc>
      </w:tr>
      <w:tr>
        <w:trPr>
          <w:cantSplit/>
        </w:trPr>
        <w:tc>
          <w:tcPr>
            <w:tcW w:type="dxa" w:w="18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VI. Международная сеть</w:t>
            </w:r>
          </w:p>
        </w:tc>
        <w:tc>
          <w:tcPr>
            <w:tcW w:type="dxa" w:w="14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36–60 месяцев</w:t>
            </w:r>
          </w:p>
        </w:tc>
        <w:tc>
          <w:tcPr>
            <w:tcW w:type="dxa" w:w="61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Национальные операторы, стандарт ECO-PPA, многосторонний гарантийный механизм.</w:t>
            </w:r>
          </w:p>
        </w:tc>
      </w:tr>
    </w:tbl>
    <w:p>
      <w:pPr>
        <w:spacing w:after="40"/>
      </w:pPr>
    </w:p>
    <w:p>
      <w:pPr>
        <w:pStyle w:val="Heading1"/>
      </w:pPr>
      <w:r>
        <w:t>11. Показатели эффективности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jc w:val="center"/>
        <w:tblInd w:w="120" w:type="dxa"/>
        <w:tblW w:w="9360" w:type="dxa"/>
        <w:tblInd w:w="120" w:type="dxa"/>
      </w:tblPr>
      <w:tblGrid>
        <w:gridCol w:w="2500"/>
        <w:gridCol w:w="6860"/>
      </w:tblGrid>
      <w:tr>
        <w:trPr>
          <w:cantSplit/>
          <w:tblHeader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Измерение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5A7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20"/>
              </w:rPr>
              <w:t>Показатели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Финансовая устойчивость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Капитал, ликвидность, качество активов, просрочка, концентрация, покрытие резервами.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Проектный результат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Срок, бюджет, ввод мощности, денежный поток, выполнение ковенант.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Кооперация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Число участников, оборот внутри сети, доля локальных поставщиков, доход пайщиков.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Социальный эффект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Рабочие места, доступность услуг, снижение затрат семей, реабилитация и инклюзия.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Экология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Энергосбережение, вода, отходы, выбросы, восстановленные территории и биоразнообразие.</w:t>
            </w:r>
          </w:p>
        </w:tc>
      </w:tr>
      <w:tr>
        <w:trPr>
          <w:cantSplit/>
        </w:trPr>
        <w:tc>
          <w:tcPr>
            <w:tcW w:type="dxa" w:w="250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Доверие</w:t>
            </w:r>
          </w:p>
        </w:tc>
        <w:tc>
          <w:tcPr>
            <w:tcW w:type="dxa" w:w="6860"/>
            <w:shd w:fill="F3F7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color w:val="102A43"/>
                <w:sz w:val="19"/>
              </w:rPr>
              <w:t>Жалобы, сроки урегулирования, прозрачность комиссий, удовлетворённость участников.</w:t>
            </w:r>
          </w:p>
        </w:tc>
      </w:tr>
    </w:tbl>
    <w:p>
      <w:pPr>
        <w:spacing w:after="40"/>
      </w:pPr>
    </w:p>
    <w:p>
      <w:pPr>
        <w:pStyle w:val="Heading1"/>
      </w:pPr>
      <w:r>
        <w:t>12. Решения первого стратегического совета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1.  Утвердить миссию и границы системы «СФЕРА — мир без границ».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2.  Определить российскую якорную организацию и состав инициаторов.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3.  Провести юридический, финансовый и технический аудит активов, заявляемых в капитал или обеспечение.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4.  Выбрать модель: учреждение нового банка, приобретение действующего либо стратегическое партнёрство.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5.  Сформировать риск-центр, проектный офис и центр ECO-PPA / ESG-IR.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6.  Отобрать 3–5 пилотных проектов с подтверждаемым денежным потоком.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7.  Подготовить регуляторный меморандум и начать предварительные консультации.</w:t>
      </w:r>
    </w:p>
    <w:p>
      <w:pPr>
        <w:pStyle w:val="NumberSFERA"/>
      </w:pPr>
      <w:r>
        <w:rPr>
          <w:rFonts w:ascii="Aptos" w:hAnsi="Aptos" w:eastAsia="Aptos"/>
          <w:b w:val="0"/>
          <w:i w:val="0"/>
          <w:color w:val="102A43"/>
          <w:sz w:val="22"/>
        </w:rPr>
        <w:t>8.  Утвердить бюджет первого этапа, ответственных и контрольные точки на 12 месяцев.</w:t>
      </w:r>
    </w:p>
    <w:p>
      <w:pPr>
        <w:pStyle w:val="Heading1"/>
      </w:pPr>
      <w:r>
        <w:t>Заключение</w:t>
      </w:r>
    </w:p>
    <w:p>
      <w:pPr>
        <w:keepLines w:val="0"/>
      </w:pPr>
      <w:r>
        <w:rPr>
          <w:rFonts w:ascii="Aptos" w:hAnsi="Aptos" w:eastAsia="Aptos"/>
          <w:b w:val="0"/>
          <w:i w:val="0"/>
          <w:color w:val="102A43"/>
          <w:sz w:val="22"/>
        </w:rPr>
        <w:t>«СФЕРА — мир без границ» может стать финансовой инфраструктурой созидательного развития, если доверие будет основано не на декларациях, а на праве, капитале, ликвидности, прозрачном управлении и доказуемом результате. Российское регулируемое ядро обеспечивает устойчивость; кооперативный контур вовлекает людей и территории; социальная линия направляет продукты на человеческое развитие; международная сеть открывает доступ к партнёрам и капиталу без размывания национальной ответственности.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vAlign w:val="center"/>
            <w:tcMar>
              <w:top w:w="180" w:type="dxa"/>
              <w:start w:w="220" w:type="dxa"/>
              <w:bottom w:w="180" w:type="dxa"/>
              <w:end w:w="220" w:type="dxa"/>
            </w:tcMar>
            <w:shd w:fill="DCEEF2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168C8C"/>
                <w:sz w:val="22"/>
              </w:rPr>
              <w:t xml:space="preserve">Формула СФЕРЫ  </w:t>
            </w:r>
            <w:r>
              <w:rPr>
                <w:rFonts w:ascii="Aptos" w:hAnsi="Aptos" w:eastAsia="Aptos"/>
                <w:b w:val="0"/>
                <w:i w:val="0"/>
                <w:color w:val="102A43"/>
                <w:sz w:val="22"/>
              </w:rPr>
              <w:t>Суверенное ядро + кооперация + социальная миссия + международная совместимость + доказательность = финансовая система развития.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b w:val="0"/>
        <w:i w:val="0"/>
        <w:color w:val="5B6770"/>
        <w:sz w:val="17"/>
      </w:rPr>
      <w:t>Стратегическая концепция •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 w:eastAsia="Aptos"/>
        <w:b/>
        <w:i w:val="0"/>
        <w:color w:val="5B6770"/>
        <w:sz w:val="17"/>
      </w:rPr>
      <w:t>СФЕРА — МИР БЕЗ ГРАНИЦ  |  КОНЦЕПЦИЯ ФИНАНСОВОЙ СИСТЕМЫ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19" w:lineRule="auto"/>
    </w:pPr>
    <w:rPr>
      <w:rFonts w:ascii="Aptos" w:hAnsi="Aptos"/>
      <w:color w:val="102A4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5A7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02A4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02A4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Aptos" w:hAnsi="Aptos"/>
      <w:b w:val="0"/>
      <w:i/>
      <w:iCs/>
      <w:color w:val="1F5A7A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ulletSFERA">
    <w:name w:val="Bullet SFERA"/>
    <w:basedOn w:val="Normal"/>
    <w:pPr>
      <w:spacing w:after="80" w:line="288" w:lineRule="auto"/>
      <w:ind w:left="540" w:hanging="274"/>
    </w:pPr>
  </w:style>
  <w:style w:type="paragraph" w:customStyle="1" w:styleId="NumberSFERA">
    <w:name w:val="Number SFERA"/>
    <w:basedOn w:val="Normal"/>
    <w:pPr>
      <w:spacing w:after="80" w:line="288" w:lineRule="auto"/>
      <w:ind w:left="540" w:hanging="274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банковской и финансовой системы СФЕРА — мир без границ</dc:title>
  <dc:subject>Стратегическая концепция российской и международной финансовой системы</dc:subject>
  <dc:creator>Соколов Сергей Леонидович</dc:creator>
  <cp:keywords>СФЕРА, банк ГЧП, кооперативные банки, социальный банк, ECO-PPA, ЭКВИЛИБРИУМ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