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  <w:spacing w:after="600"/>
      </w:pPr>
      <w:r>
        <w:t>СТРАТЕГИЧЕСКАЯ КОНЦЕПЦИЯ  /  РЕДАКЦИЯ 1.0</w:t>
      </w:r>
    </w:p>
    <w:p>
      <w:pPr>
        <w:pStyle w:val="Title"/>
        <w:jc w:val="left"/>
      </w:pPr>
      <w:r>
        <w:t>СЧЁТНАЯ СИСТЕМА</w:t>
        <w:br/>
        <w:t>ЭКВИЛИБРИУМ</w:t>
      </w:r>
    </w:p>
    <w:p>
      <w:pPr>
        <w:pStyle w:val="Subtitle"/>
        <w:spacing w:after="280"/>
      </w:pPr>
      <w:r>
        <w:t>Единая архитектура учёта прав, ресурсов, обязательств, действий и доказанных результатов</w:t>
      </w:r>
    </w:p>
    <w:p>
      <w:pPr>
        <w:spacing w:before="40" w:after="200"/>
      </w:pPr>
      <w:r>
        <w:drawing>
          <wp:inline xmlns:a="http://schemas.openxmlformats.org/drawingml/2006/main" xmlns:pic="http://schemas.openxmlformats.org/drawingml/2006/picture">
            <wp:extent cx="5943600" cy="3345052"/>
            <wp:docPr id="1" name="Picture 1" descr="Человек и территория в центре прозрачных слоёв прав, ресурсов, обязательств, действий и доказательств." title="Счётная система ЭКВИЛИБРИУ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44824ea2-4374-4a9d-b3cb-6d681f7bc9a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Eyebrow"/>
        <w:spacing w:before="60"/>
      </w:pPr>
      <w:r>
        <w:t>СЧЁТНАЯ КНИГА  •  19 БАЛАНСОВ  •  13 ФАЗ  •  741 КОНТРОЛЬ</w:t>
      </w:r>
    </w:p>
    <w:p>
      <w:pPr>
        <w:pStyle w:val="Small"/>
        <w:spacing w:before="240"/>
      </w:pPr>
      <w:r>
        <w:t>Концепция: Сергей Леонидович Соколов</w:t>
        <w:br/>
        <w:t>Август 2026</w:t>
      </w:r>
    </w:p>
    <w:p>
      <w:r>
        <w:br w:type="page"/>
      </w:r>
    </w:p>
    <w:p>
      <w:pPr>
        <w:pStyle w:val="Eyebrow"/>
        <w:keepLines/>
        <w:widowControl/>
        <w:keepNext/>
      </w:pPr>
      <w:r>
        <w:t>02  /  РЕЗЮМЕ</w:t>
      </w:r>
    </w:p>
    <w:p>
      <w:pPr>
        <w:pStyle w:val="Heading1"/>
        <w:keepLines/>
        <w:widowControl/>
        <w:keepNext/>
      </w:pPr>
      <w:r>
        <w:t>Учёт становится контуром управления развитием</w:t>
      </w:r>
    </w:p>
    <w:p>
      <w:pPr>
        <w:pStyle w:val="Lead"/>
        <w:spacing w:after="240"/>
      </w:pPr>
      <w:r>
        <w:t>Не бухгалтерская программа, а общий язык, связывающий право, ресурс, решение, действие и доказанный результат.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59BDE7"/>
              <w:left w:val="single" w:sz="6" w:color="59BDE7"/>
              <w:bottom w:val="single" w:sz="6" w:color="59BDE7"/>
              <w:right w:val="single" w:sz="6" w:color="59BDE7"/>
            </w:tcBorders>
          </w:tcPr>
          <w:p>
            <w:pPr>
              <w:pStyle w:val="Callout"/>
            </w:pPr>
            <w:r>
              <w:t>Ключевой тезис</w:t>
            </w:r>
          </w:p>
          <w:p>
            <w:pPr>
              <w:spacing w:after="0"/>
              <w:jc w:val="left"/>
            </w:pPr>
            <w:r>
              <w:t>Каждый объект и каждое событие имеют владельца, основание, единицу измерения, стоимость или ценность, срок, риск, доказательство и влияние на 19 балансов. Изменение состояния допускается только через проверяемое событие Счётной книги.</w:t>
            </w:r>
          </w:p>
        </w:tc>
      </w:tr>
    </w:tbl>
    <w:p>
      <w:pPr>
        <w:pStyle w:val="Heading2"/>
      </w:pPr>
      <w:r>
        <w:t>Система решает пять задач</w:t>
      </w:r>
    </w:p>
    <w:p>
      <w:pPr>
        <w:spacing w:after="80" w:line="290" w:lineRule="auto"/>
        <w:jc w:val="left"/>
        <w:numPr>
          <w:ilvl w:val="0"/>
          <w:numId w:val="41"/>
        </w:numPr>
      </w:pPr>
      <w:r>
        <w:t>Создаёт единую картину прав, активов, обязательств, рисков и результатов на трёх масштабах: человек, государство, планета.</w:t>
      </w:r>
    </w:p>
    <w:p>
      <w:pPr>
        <w:spacing w:after="80" w:line="290" w:lineRule="auto"/>
        <w:jc w:val="left"/>
        <w:numPr>
          <w:ilvl w:val="0"/>
          <w:numId w:val="41"/>
        </w:numPr>
      </w:pPr>
      <w:r>
        <w:t>Не позволяет подменять факт обещанием: проектный результат отделён от заявки, финансирования и отчётности.</w:t>
      </w:r>
    </w:p>
    <w:p>
      <w:pPr>
        <w:spacing w:after="80" w:line="290" w:lineRule="auto"/>
        <w:jc w:val="left"/>
        <w:numPr>
          <w:ilvl w:val="0"/>
          <w:numId w:val="41"/>
        </w:numPr>
      </w:pPr>
      <w:r>
        <w:t>Соединяет 13 фаз жизненного цикла с 19 балансами; матрица 3 × 13 × 19 = 741 служит картой полноты контроля.</w:t>
      </w:r>
    </w:p>
    <w:p>
      <w:pPr>
        <w:spacing w:after="80" w:line="290" w:lineRule="auto"/>
        <w:jc w:val="left"/>
        <w:numPr>
          <w:ilvl w:val="0"/>
          <w:numId w:val="41"/>
        </w:numPr>
      </w:pPr>
      <w:r>
        <w:t>Разделяет роли: ЭКВИЛИБРИУМ анализирует, ИАЦ готовит варианты, ECO‑PPA проектирует, СПЕЦЗАЩИТА исполняет, СФЕРА собирает инициативы и масштабирует, ESG‑IR подтверждает.</w:t>
      </w:r>
    </w:p>
    <w:p>
      <w:pPr>
        <w:spacing w:after="80" w:line="290" w:lineRule="auto"/>
        <w:jc w:val="left"/>
        <w:numPr>
          <w:ilvl w:val="0"/>
          <w:numId w:val="41"/>
        </w:numPr>
      </w:pPr>
      <w:r>
        <w:t>Делает корректировку штатной функцией: ошибочная запись не стирается, а исправляется новым связанным событием.</w:t>
      </w:r>
    </w:p>
    <w:p>
      <w:pPr>
        <w:pStyle w:val="Source"/>
      </w:pPr>
      <w:r>
        <w:t>Статус: авторская системная концепция. Термины, правовые режимы, набор показателей и интеграции подлежат отдельной юридической, метрологической и технической верификации.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03  /  СМЕНА МОДЕЛИ</w:t>
      </w:r>
    </w:p>
    <w:p>
      <w:pPr>
        <w:pStyle w:val="Heading1"/>
        <w:keepLines/>
        <w:widowControl/>
        <w:keepNext/>
      </w:pPr>
      <w:r>
        <w:t>Обычный учёт отвечает «сколько», новая система — «почему и с каким эффектом»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3110"/>
        <w:gridCol w:w="4700"/>
      </w:tblGrid>
      <w:tr>
        <w:trPr>
          <w:tblHeader w:val="true"/>
        </w:trPr>
        <w:tc>
          <w:tcPr>
            <w:tcW w:type="dxa" w:w="155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  <w:t>Контур</w:t>
            </w:r>
          </w:p>
        </w:tc>
        <w:tc>
          <w:tcPr>
            <w:tcW w:type="dxa" w:w="311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  <w:t>Традиционная модель</w:t>
            </w:r>
          </w:p>
        </w:tc>
        <w:tc>
          <w:tcPr>
            <w:tcW w:type="dxa" w:w="47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  <w:t>Счётная система ЭКВИЛИБРИУМ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Объект</w:t>
            </w:r>
          </w:p>
        </w:tc>
        <w:tc>
          <w:tcPr>
            <w:tcW w:type="dxa" w:w="3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Деньги, имущество, проводка.</w:t>
            </w:r>
          </w:p>
        </w:tc>
        <w:tc>
          <w:tcPr>
            <w:tcW w:type="dxa" w:w="4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Права, ресурсы, обязательства, решения, действия, риски, результаты, знания.</w:t>
            </w:r>
          </w:p>
        </w:tc>
      </w:tr>
      <w:tr>
        <w:tc>
          <w:tcPr>
            <w:tcW w:type="dxa" w:w="1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Основание</w:t>
            </w:r>
          </w:p>
        </w:tc>
        <w:tc>
          <w:tcPr>
            <w:tcW w:type="dxa" w:w="31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Первичный документ.</w:t>
            </w:r>
          </w:p>
        </w:tc>
        <w:tc>
          <w:tcPr>
            <w:tcW w:type="dxa" w:w="4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Правовой мандат + согласие + версия методики + цифровое доказательство.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Момент</w:t>
            </w:r>
          </w:p>
        </w:tc>
        <w:tc>
          <w:tcPr>
            <w:tcW w:type="dxa" w:w="3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Факт операции.</w:t>
            </w:r>
          </w:p>
        </w:tc>
        <w:tc>
          <w:tcPr>
            <w:tcW w:type="dxa" w:w="4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Полный жизненный цикл: от сигнала до корректировки.</w:t>
            </w:r>
          </w:p>
        </w:tc>
      </w:tr>
      <w:tr>
        <w:tc>
          <w:tcPr>
            <w:tcW w:type="dxa" w:w="1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Ценность</w:t>
            </w:r>
          </w:p>
        </w:tc>
        <w:tc>
          <w:tcPr>
            <w:tcW w:type="dxa" w:w="31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Стоимость в денежной единице.</w:t>
            </w:r>
          </w:p>
        </w:tc>
        <w:tc>
          <w:tcPr>
            <w:tcW w:type="dxa" w:w="4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Денежная стоимость + физические показатели + общественная и природная ценность.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Контроль</w:t>
            </w:r>
          </w:p>
        </w:tc>
        <w:tc>
          <w:tcPr>
            <w:tcW w:type="dxa" w:w="3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Сверка и аудит постфактум.</w:t>
            </w:r>
          </w:p>
        </w:tc>
        <w:tc>
          <w:tcPr>
            <w:tcW w:type="dxa" w:w="4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Предварительные лимиты, наблюдение, верификация, независимый аудит, обратная связь.</w:t>
            </w:r>
          </w:p>
        </w:tc>
      </w:tr>
      <w:tr>
        <w:tc>
          <w:tcPr>
            <w:tcW w:type="dxa" w:w="1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Результат</w:t>
            </w:r>
          </w:p>
        </w:tc>
        <w:tc>
          <w:tcPr>
            <w:tcW w:type="dxa" w:w="31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Баланс и отчётность.</w:t>
            </w:r>
          </w:p>
        </w:tc>
        <w:tc>
          <w:tcPr>
            <w:tcW w:type="dxa" w:w="4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Изменение 19 балансов с доказанной причинной связью и ответственностью.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AF4F0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2F7D68"/>
              <w:left w:val="single" w:sz="6" w:color="2F7D68"/>
              <w:bottom w:val="single" w:sz="6" w:color="2F7D68"/>
              <w:right w:val="single" w:sz="6" w:color="2F7D68"/>
            </w:tcBorders>
          </w:tcPr>
          <w:p>
            <w:pPr>
              <w:pStyle w:val="Callout"/>
            </w:pPr>
            <w:r>
              <w:t>Принцип расширенной двойной записи</w:t>
            </w:r>
          </w:p>
          <w:p>
            <w:pPr>
              <w:spacing w:after="0"/>
              <w:jc w:val="left"/>
            </w:pPr>
            <w:r>
              <w:t>Каждое использование имеет источник; каждое право — обязанную сторону; каждое действие — владельца риска; каждый заявленный результат — доказательство и контрфактическую базу. Сумма эффектов не может превышать подтверждённый вклад.</w:t>
            </w:r>
          </w:p>
        </w:tc>
      </w:tr>
    </w:tbl>
    <w:p>
      <w:r>
        <w:br w:type="page"/>
      </w:r>
    </w:p>
    <w:p>
      <w:pPr>
        <w:pStyle w:val="Eyebrow"/>
        <w:keepLines/>
        <w:widowControl/>
        <w:keepNext/>
      </w:pPr>
      <w:r>
        <w:t>04  /  ОБЪЕКТЫ</w:t>
      </w:r>
    </w:p>
    <w:p>
      <w:pPr>
        <w:pStyle w:val="Heading1"/>
        <w:keepLines/>
        <w:widowControl/>
        <w:keepNext/>
      </w:pPr>
      <w:r>
        <w:t>Девять объектов образуют предметную модель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4920"/>
        <w:gridCol w:w="2890"/>
      </w:tblGrid>
      <w:tr>
        <w:trPr>
          <w:tblHeader w:val="true"/>
        </w:trPr>
        <w:tc>
          <w:tcPr>
            <w:tcW w:type="dxa" w:w="155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Объект</w:t>
            </w:r>
          </w:p>
        </w:tc>
        <w:tc>
          <w:tcPr>
            <w:tcW w:type="dxa" w:w="492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Что учитывается</w:t>
            </w:r>
          </w:p>
        </w:tc>
        <w:tc>
          <w:tcPr>
            <w:tcW w:type="dxa" w:w="289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Обязательный идентификатор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Смысл / цель</w:t>
            </w:r>
          </w:p>
        </w:tc>
        <w:tc>
          <w:tcPr>
            <w:tcW w:type="dxa" w:w="4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Желаемое изменение и общественный мандат.</w:t>
            </w:r>
          </w:p>
        </w:tc>
        <w:tc>
          <w:tcPr>
            <w:tcW w:type="dxa" w:w="28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цель, автор, версия, срок</w:t>
            </w:r>
          </w:p>
        </w:tc>
      </w:tr>
      <w:tr>
        <w:tc>
          <w:tcPr>
            <w:tcW w:type="dxa" w:w="1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Субъект</w:t>
            </w:r>
          </w:p>
        </w:tc>
        <w:tc>
          <w:tcPr>
            <w:tcW w:type="dxa" w:w="49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Человек, организация, территория, государство, природный объект.</w:t>
            </w:r>
          </w:p>
        </w:tc>
        <w:tc>
          <w:tcPr>
            <w:tcW w:type="dxa" w:w="289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устойчивый ID, полномочия, роль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Право</w:t>
            </w:r>
          </w:p>
        </w:tc>
        <w:tc>
          <w:tcPr>
            <w:tcW w:type="dxa" w:w="4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Доступ, собственность, требование, лицензия, согласие.</w:t>
            </w:r>
          </w:p>
        </w:tc>
        <w:tc>
          <w:tcPr>
            <w:tcW w:type="dxa" w:w="28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основание, обязанная сторона, срок</w:t>
            </w:r>
          </w:p>
        </w:tc>
      </w:tr>
      <w:tr>
        <w:tc>
          <w:tcPr>
            <w:tcW w:type="dxa" w:w="1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Ресурс</w:t>
            </w:r>
          </w:p>
        </w:tc>
        <w:tc>
          <w:tcPr>
            <w:tcW w:type="dxa" w:w="49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Деньги, время, труд, данные, энергия, вода, земля, инфраструктура.</w:t>
            </w:r>
          </w:p>
        </w:tc>
        <w:tc>
          <w:tcPr>
            <w:tcW w:type="dxa" w:w="289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владелец, единица, качество, ограничение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Обязательство</w:t>
            </w:r>
          </w:p>
        </w:tc>
        <w:tc>
          <w:tcPr>
            <w:tcW w:type="dxa" w:w="4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Долг, контракт, норматив, гарантия, обещанный результат.</w:t>
            </w:r>
          </w:p>
        </w:tc>
        <w:tc>
          <w:tcPr>
            <w:tcW w:type="dxa" w:w="28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кредитор, должник, срок, обеспеченность</w:t>
            </w:r>
          </w:p>
        </w:tc>
      </w:tr>
      <w:tr>
        <w:tc>
          <w:tcPr>
            <w:tcW w:type="dxa" w:w="1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Проект</w:t>
            </w:r>
          </w:p>
        </w:tc>
        <w:tc>
          <w:tcPr>
            <w:tcW w:type="dxa" w:w="49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Ограниченный контур преобразования ресурсов в результат.</w:t>
            </w:r>
          </w:p>
        </w:tc>
        <w:tc>
          <w:tcPr>
            <w:tcW w:type="dxa" w:w="289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мандат, бюджет, план, ответственный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Действие</w:t>
            </w:r>
          </w:p>
        </w:tc>
        <w:tc>
          <w:tcPr>
            <w:tcW w:type="dxa" w:w="4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Авторизованное изменение состояния.</w:t>
            </w:r>
          </w:p>
        </w:tc>
        <w:tc>
          <w:tcPr>
            <w:tcW w:type="dxa" w:w="28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исполнитель, время, вход, выход</w:t>
            </w:r>
          </w:p>
        </w:tc>
      </w:tr>
      <w:tr>
        <w:tc>
          <w:tcPr>
            <w:tcW w:type="dxa" w:w="1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Риск</w:t>
            </w:r>
          </w:p>
        </w:tc>
        <w:tc>
          <w:tcPr>
            <w:tcW w:type="dxa" w:w="49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Возможное отклонение и ущерб.</w:t>
            </w:r>
          </w:p>
        </w:tc>
        <w:tc>
          <w:tcPr>
            <w:tcW w:type="dxa" w:w="289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владелец, вероятность, лимит, покрытие</w:t>
            </w:r>
          </w:p>
        </w:tc>
      </w:tr>
      <w:tr>
        <w:tc>
          <w:tcPr>
            <w:tcW w:type="dxa" w:w="1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Результат / знание</w:t>
            </w:r>
          </w:p>
        </w:tc>
        <w:tc>
          <w:tcPr>
            <w:tcW w:type="dxa" w:w="49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Проверенное изменение и извлечённый урок.</w:t>
            </w:r>
          </w:p>
        </w:tc>
        <w:tc>
          <w:tcPr>
            <w:tcW w:type="dxa" w:w="28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метрика, baseline, доказательство, версия</w:t>
            </w:r>
          </w:p>
        </w:tc>
      </w:tr>
    </w:tbl>
    <w:p>
      <w:pPr>
        <w:pStyle w:val="Lead"/>
      </w:pPr>
      <w:r>
        <w:t>Архетипы используются как классификатор устойчивых ролей и моделей поведения. Они не заменяют юридический статус и не создают автоматических прав или обязанностей.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05  /  СОБЫТИЕ</w:t>
      </w:r>
    </w:p>
    <w:p>
      <w:pPr>
        <w:pStyle w:val="Heading1"/>
        <w:keepLines/>
        <w:widowControl/>
        <w:keepNext/>
      </w:pPr>
      <w:r>
        <w:t>Универсальный паспорт события — атом системы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700"/>
        <w:gridCol w:w="3160"/>
      </w:tblGrid>
      <w:tr>
        <w:trPr>
          <w:tblHeader w:val="true"/>
        </w:trPr>
        <w:tc>
          <w:tcPr>
            <w:tcW w:type="dxa" w:w="15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Блок</w:t>
            </w:r>
          </w:p>
        </w:tc>
        <w:tc>
          <w:tcPr>
            <w:tcW w:type="dxa" w:w="47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Поля</w:t>
            </w:r>
          </w:p>
        </w:tc>
        <w:tc>
          <w:tcPr>
            <w:tcW w:type="dxa" w:w="316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Контроль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Идентичность</w:t>
            </w:r>
          </w:p>
        </w:tc>
        <w:tc>
          <w:tcPr>
            <w:tcW w:type="dxa" w:w="4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ID, тип, время, место, версия.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уникальность, синхронизация, неизменность</w:t>
            </w:r>
          </w:p>
        </w:tc>
      </w:tr>
      <w:t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Основание</w:t>
            </w:r>
          </w:p>
        </w:tc>
        <w:tc>
          <w:tcPr>
            <w:tcW w:type="dxa" w:w="4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закон, мандат, договор, согласие, лимит.</w:t>
            </w:r>
          </w:p>
        </w:tc>
        <w:tc>
          <w:tcPr>
            <w:tcW w:type="dxa" w:w="3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полномочие, срок, непротиворечивость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Субъекты</w:t>
            </w:r>
          </w:p>
        </w:tc>
        <w:tc>
          <w:tcPr>
            <w:tcW w:type="dxa" w:w="4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инициатор, владелец, исполнитель, бенефициар, валидатор.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разделение ролей, конфликт интересов</w:t>
            </w:r>
          </w:p>
        </w:tc>
      </w:tr>
      <w:t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Вход</w:t>
            </w:r>
          </w:p>
        </w:tc>
        <w:tc>
          <w:tcPr>
            <w:tcW w:type="dxa" w:w="4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право, ресурс, обязательство, данные, риск.</w:t>
            </w:r>
          </w:p>
        </w:tc>
        <w:tc>
          <w:tcPr>
            <w:tcW w:type="dxa" w:w="3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владение, качество, доступность, обременение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Действие</w:t>
            </w:r>
          </w:p>
        </w:tc>
        <w:tc>
          <w:tcPr>
            <w:tcW w:type="dxa" w:w="4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решение, резервирование, перевод, поставка, изменение.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авторизация, последовательность, финальность</w:t>
            </w:r>
          </w:p>
        </w:tc>
      </w:tr>
      <w:t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Выход</w:t>
            </w:r>
          </w:p>
        </w:tc>
        <w:tc>
          <w:tcPr>
            <w:tcW w:type="dxa" w:w="4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новое состояние, результат, остаток, побочный эффект.</w:t>
            </w:r>
          </w:p>
        </w:tc>
        <w:tc>
          <w:tcPr>
            <w:tcW w:type="dxa" w:w="3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балансовая связность, двойной счёт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Доказательство</w:t>
            </w:r>
          </w:p>
        </w:tc>
        <w:tc>
          <w:tcPr>
            <w:tcW w:type="dxa" w:w="4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подпись, документ, измерение, фото/сенсор, экспертное заключение.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происхождение, целостность, независимость</w:t>
            </w:r>
          </w:p>
        </w:tc>
      </w:tr>
      <w:t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Ответственность</w:t>
            </w:r>
          </w:p>
        </w:tc>
        <w:tc>
          <w:tcPr>
            <w:tcW w:type="dxa" w:w="4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владелец риска, SLA, страхование, спор, корректировка.</w:t>
            </w:r>
          </w:p>
        </w:tc>
        <w:tc>
          <w:tcPr>
            <w:tcW w:type="dxa" w:w="3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лимит, эскалация, восстановление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BF5E7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B8913D"/>
              <w:left w:val="single" w:sz="6" w:color="B8913D"/>
              <w:bottom w:val="single" w:sz="6" w:color="B8913D"/>
              <w:right w:val="single" w:sz="6" w:color="B8913D"/>
            </w:tcBorders>
          </w:tcPr>
          <w:p>
            <w:pPr>
              <w:pStyle w:val="Callout"/>
            </w:pPr>
            <w:r>
              <w:t>Правило неизменности</w:t>
            </w:r>
          </w:p>
          <w:p>
            <w:pPr>
              <w:spacing w:after="0"/>
              <w:jc w:val="left"/>
            </w:pPr>
            <w:r>
              <w:t>Исходная запись не удаляется и не переписывается. Ошибка исправляется компенсирующим событием со ссылкой на причину, автора, время и утверждённую версию методики.</w:t>
            </w:r>
          </w:p>
        </w:tc>
      </w:tr>
    </w:tbl>
    <w:p>
      <w:r>
        <w:br w:type="page"/>
      </w:r>
    </w:p>
    <w:p>
      <w:pPr>
        <w:pStyle w:val="Eyebrow"/>
        <w:keepLines/>
        <w:widowControl/>
        <w:keepNext/>
      </w:pPr>
      <w:r>
        <w:t>06  /  РЕГИСТРЫ</w:t>
      </w:r>
    </w:p>
    <w:p>
      <w:pPr>
        <w:pStyle w:val="Heading1"/>
        <w:keepLines/>
        <w:widowControl/>
        <w:keepNext/>
      </w:pPr>
      <w:r>
        <w:t>Шесть связанных регистров дают целостную картину</w:t>
      </w:r>
    </w:p>
    <w:p>
      <w:pPr>
        <w:pStyle w:val="Register"/>
      </w:pPr>
      <w:r>
        <w:rPr>
          <w:rFonts w:ascii="Calibri" w:hAnsi="Calibri"/>
          <w:b/>
          <w:color w:val="2F7D68"/>
          <w:sz w:val="24"/>
        </w:rPr>
        <w:t xml:space="preserve">R1  </w:t>
      </w:r>
      <w:r>
        <w:t>Субъекты и полномочия</w:t>
      </w:r>
    </w:p>
    <w:p>
      <w:pPr>
        <w:spacing w:after="100"/>
      </w:pPr>
      <w:r>
        <w:t>кто может инициировать, согласовывать, исполнять, владеть, проверять и оспаривать</w:t>
      </w:r>
    </w:p>
    <w:p>
      <w:pPr>
        <w:pStyle w:val="Register"/>
      </w:pPr>
      <w:r>
        <w:rPr>
          <w:rFonts w:ascii="Calibri" w:hAnsi="Calibri"/>
          <w:b/>
          <w:color w:val="2F7D68"/>
          <w:sz w:val="24"/>
        </w:rPr>
        <w:t xml:space="preserve">R2  </w:t>
      </w:r>
      <w:r>
        <w:t>Права и активы</w:t>
      </w:r>
    </w:p>
    <w:p>
      <w:pPr>
        <w:spacing w:after="100"/>
      </w:pPr>
      <w:r>
        <w:t>что принадлежит, доступно, передано, ограничено или находится под обременением</w:t>
      </w:r>
    </w:p>
    <w:p>
      <w:pPr>
        <w:pStyle w:val="Register"/>
      </w:pPr>
      <w:r>
        <w:rPr>
          <w:rFonts w:ascii="Calibri" w:hAnsi="Calibri"/>
          <w:b/>
          <w:color w:val="2F7D68"/>
          <w:sz w:val="24"/>
        </w:rPr>
        <w:t xml:space="preserve">R3  </w:t>
      </w:r>
      <w:r>
        <w:t>Обязательства и риски</w:t>
      </w:r>
    </w:p>
    <w:p>
      <w:pPr>
        <w:spacing w:after="100"/>
      </w:pPr>
      <w:r>
        <w:t>кто, что, кому и к какому сроку должен; что может сорвать исполнение</w:t>
      </w:r>
    </w:p>
    <w:p>
      <w:pPr>
        <w:pStyle w:val="Register"/>
      </w:pPr>
      <w:r>
        <w:rPr>
          <w:rFonts w:ascii="Calibri" w:hAnsi="Calibri"/>
          <w:b/>
          <w:color w:val="2F7D68"/>
          <w:sz w:val="24"/>
        </w:rPr>
        <w:t xml:space="preserve">R4  </w:t>
      </w:r>
      <w:r>
        <w:t>Ресурсы и финансирование</w:t>
      </w:r>
    </w:p>
    <w:p>
      <w:pPr>
        <w:spacing w:after="100"/>
      </w:pPr>
      <w:r>
        <w:t>денежные и неденежные источники, резервы, лимиты, фактическое использование</w:t>
      </w:r>
    </w:p>
    <w:p>
      <w:pPr>
        <w:pStyle w:val="Register"/>
      </w:pPr>
      <w:r>
        <w:rPr>
          <w:rFonts w:ascii="Calibri" w:hAnsi="Calibri"/>
          <w:b/>
          <w:color w:val="2F7D68"/>
          <w:sz w:val="24"/>
        </w:rPr>
        <w:t xml:space="preserve">R5  </w:t>
      </w:r>
      <w:r>
        <w:t>Проекты и действия</w:t>
      </w:r>
    </w:p>
    <w:p>
      <w:pPr>
        <w:spacing w:after="100"/>
      </w:pPr>
      <w:r>
        <w:t>планы, решения, контракты, рабочие пакеты, исполнители, зависимости</w:t>
      </w:r>
    </w:p>
    <w:p>
      <w:pPr>
        <w:pStyle w:val="Register"/>
      </w:pPr>
      <w:r>
        <w:rPr>
          <w:rFonts w:ascii="Calibri" w:hAnsi="Calibri"/>
          <w:b/>
          <w:color w:val="2F7D68"/>
          <w:sz w:val="24"/>
        </w:rPr>
        <w:t xml:space="preserve">R6  </w:t>
      </w:r>
      <w:r>
        <w:t>Результаты и доказательства</w:t>
      </w:r>
    </w:p>
    <w:p>
      <w:pPr>
        <w:spacing w:after="100"/>
      </w:pPr>
      <w:r>
        <w:t>измерения до/после, атрибуция, аудит, уроки, основания для выплаты и корректировки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59BDE7"/>
              <w:left w:val="single" w:sz="6" w:color="59BDE7"/>
              <w:bottom w:val="single" w:sz="6" w:color="59BDE7"/>
              <w:right w:val="single" w:sz="6" w:color="59BDE7"/>
            </w:tcBorders>
          </w:tcPr>
          <w:p>
            <w:pPr>
              <w:pStyle w:val="Callout"/>
            </w:pPr>
            <w:r>
              <w:t>Сквозной ключ</w:t>
            </w:r>
          </w:p>
          <w:p>
            <w:pPr>
              <w:spacing w:after="0"/>
              <w:jc w:val="left"/>
            </w:pPr>
            <w:r>
              <w:t>Один идентификатор события связывает запись во всех затронутых регистрах. Несвязанные записи считаются неполными и не могут служить основанием для окончательного расчёта.</w:t>
            </w:r>
          </w:p>
        </w:tc>
      </w:tr>
    </w:tbl>
    <w:p>
      <w:r>
        <w:br w:type="page"/>
      </w:r>
    </w:p>
    <w:p>
      <w:pPr>
        <w:pStyle w:val="Eyebrow"/>
        <w:keepLines/>
        <w:widowControl/>
        <w:keepNext/>
      </w:pPr>
      <w:r>
        <w:t>07  /  МАСШТАБЫ</w:t>
      </w:r>
    </w:p>
    <w:p>
      <w:pPr>
        <w:pStyle w:val="Heading1"/>
        <w:keepLines/>
        <w:widowControl/>
        <w:keepNext/>
      </w:pPr>
      <w:r>
        <w:t>Три масштаба учёта не смешиваются, но сверяются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2770"/>
        <w:gridCol w:w="2780"/>
        <w:gridCol w:w="2610"/>
      </w:tblGrid>
      <w:tr>
        <w:trPr>
          <w:tblHeader w:val="true"/>
        </w:trPr>
        <w:tc>
          <w:tcPr>
            <w:tcW w:type="dxa" w:w="12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Масштаб</w:t>
            </w:r>
          </w:p>
        </w:tc>
        <w:tc>
          <w:tcPr>
            <w:tcW w:type="dxa" w:w="277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Центр учёта</w:t>
            </w:r>
          </w:p>
        </w:tc>
        <w:tc>
          <w:tcPr>
            <w:tcW w:type="dxa" w:w="278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Что нельзя потерять</w:t>
            </w:r>
          </w:p>
        </w:tc>
        <w:tc>
          <w:tcPr>
            <w:tcW w:type="dxa" w:w="261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Форма консолидации</w:t>
            </w:r>
          </w:p>
        </w:tc>
      </w:tr>
      <w:tr>
        <w:tc>
          <w:tcPr>
            <w:tcW w:type="dxa" w:w="1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Человек</w:t>
            </w:r>
          </w:p>
        </w:tc>
        <w:tc>
          <w:tcPr>
            <w:tcW w:type="dxa" w:w="27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личный контур прав, возможностей, обязательств и результатов; при необходимости — именной фонд.</w:t>
            </w:r>
          </w:p>
        </w:tc>
        <w:tc>
          <w:tcPr>
            <w:tcW w:type="dxa" w:w="27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достоинство, согласие, приватность, право на объяснение и обжалование.</w:t>
            </w:r>
          </w:p>
        </w:tc>
        <w:tc>
          <w:tcPr>
            <w:tcW w:type="dxa" w:w="26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агрегирование без раскрытия лишних персональных данных.</w:t>
            </w:r>
          </w:p>
        </w:tc>
      </w:tr>
      <w:tr>
        <w:tc>
          <w:tcPr>
            <w:tcW w:type="dxa" w:w="1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Государство</w:t>
            </w:r>
          </w:p>
        </w:tc>
        <w:tc>
          <w:tcPr>
            <w:tcW w:type="dxa" w:w="277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население, территории, отрасли, инфраструктура, финансы, суверенные полномочия.</w:t>
            </w:r>
          </w:p>
        </w:tc>
        <w:tc>
          <w:tcPr>
            <w:tcW w:type="dxa" w:w="27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право, бюджетная ответственность, национальная безопасность, автономия решений.</w:t>
            </w:r>
          </w:p>
        </w:tc>
        <w:tc>
          <w:tcPr>
            <w:tcW w:type="dxa" w:w="26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официальная статистика, реестры и проектные паспорта с версионностью.</w:t>
            </w:r>
          </w:p>
        </w:tc>
      </w:tr>
      <w:tr>
        <w:tc>
          <w:tcPr>
            <w:tcW w:type="dxa" w:w="1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Планета</w:t>
            </w:r>
          </w:p>
        </w:tc>
        <w:tc>
          <w:tcPr>
            <w:tcW w:type="dxa" w:w="27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глобальные потоки и общие природные системы.</w:t>
            </w:r>
          </w:p>
        </w:tc>
        <w:tc>
          <w:tcPr>
            <w:tcW w:type="dxa" w:w="27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отсутствие двойного счёта, трансграничные эффекты, справедливое распределение.</w:t>
            </w:r>
          </w:p>
        </w:tc>
        <w:tc>
          <w:tcPr>
            <w:tcW w:type="dxa" w:w="26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совместимые методики и независимые доказательства без мирового монополиста.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AF4F0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2F7D68"/>
              <w:left w:val="single" w:sz="6" w:color="2F7D68"/>
              <w:bottom w:val="single" w:sz="6" w:color="2F7D68"/>
              <w:right w:val="single" w:sz="6" w:color="2F7D68"/>
            </w:tcBorders>
          </w:tcPr>
          <w:p>
            <w:pPr>
              <w:pStyle w:val="Callout"/>
            </w:pPr>
            <w:r>
              <w:t>Правило субсидиарности</w:t>
            </w:r>
          </w:p>
          <w:p>
            <w:pPr>
              <w:spacing w:after="0"/>
              <w:jc w:val="left"/>
            </w:pPr>
            <w:r>
              <w:t>Решение принимается на минимальном достаточном уровне. Верхний масштаб устанавливает совместимость и пределы риска, но не подменяет законные полномочия нижнего.</w:t>
            </w:r>
          </w:p>
        </w:tc>
      </w:tr>
    </w:tbl>
    <w:p>
      <w:pPr>
        <w:pStyle w:val="Small"/>
      </w:pPr>
      <w:r>
        <w:t>Проектный контур и организация могут выступать промежуточными уровнями, однако при расчёте матрицы 741 сводятся к одному из трёх базовых масштабов.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08  /  ДВОЙНАЯ ЗАПИСЬ</w:t>
      </w:r>
    </w:p>
    <w:p>
      <w:pPr>
        <w:pStyle w:val="Heading1"/>
        <w:keepLines/>
        <w:widowControl/>
        <w:keepNext/>
      </w:pPr>
      <w:r>
        <w:t>Расширенная проводка связывает источник, использование и балансовый эффект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50"/>
        <w:gridCol w:w="3860"/>
        <w:gridCol w:w="3850"/>
      </w:tblGrid>
      <w:tr>
        <w:trPr>
          <w:tblHeader w:val="true"/>
        </w:trPr>
        <w:tc>
          <w:tcPr>
            <w:tcW w:type="dxa" w:w="165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Сторона записи</w:t>
            </w:r>
          </w:p>
        </w:tc>
        <w:tc>
          <w:tcPr>
            <w:tcW w:type="dxa" w:w="386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Содержание</w:t>
            </w:r>
          </w:p>
        </w:tc>
        <w:tc>
          <w:tcPr>
            <w:tcW w:type="dxa" w:w="385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Пример</w:t>
            </w:r>
          </w:p>
        </w:tc>
      </w:tr>
      <w:tr>
        <w:tc>
          <w:tcPr>
            <w:tcW w:type="dxa" w:w="16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Источник</w:t>
            </w:r>
          </w:p>
        </w:tc>
        <w:tc>
          <w:tcPr>
            <w:tcW w:type="dxa" w:w="3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Право, бюджет, актив, время, компетенция, природный лимит.</w:t>
            </w:r>
          </w:p>
        </w:tc>
        <w:tc>
          <w:tcPr>
            <w:tcW w:type="dxa" w:w="3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Именной фонд резервирует образовательный лимит.</w:t>
            </w:r>
          </w:p>
        </w:tc>
      </w:tr>
      <w:tr>
        <w:tc>
          <w:tcPr>
            <w:tcW w:type="dxa" w:w="16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Использование</w:t>
            </w:r>
          </w:p>
        </w:tc>
        <w:tc>
          <w:tcPr>
            <w:tcW w:type="dxa" w:w="38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Контракт, действие, поставка, изменение состояния.</w:t>
            </w:r>
          </w:p>
        </w:tc>
        <w:tc>
          <w:tcPr>
            <w:tcW w:type="dxa" w:w="38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Учебная программа оказана аккредитованным провайдером.</w:t>
            </w:r>
          </w:p>
        </w:tc>
      </w:tr>
      <w:tr>
        <w:tc>
          <w:tcPr>
            <w:tcW w:type="dxa" w:w="16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Обязательство</w:t>
            </w:r>
          </w:p>
        </w:tc>
        <w:tc>
          <w:tcPr>
            <w:tcW w:type="dxa" w:w="3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Кто отвечает за срок, качество, возврат или исправление.</w:t>
            </w:r>
          </w:p>
        </w:tc>
        <w:tc>
          <w:tcPr>
            <w:tcW w:type="dxa" w:w="3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Провайдер отвечает за результат и раскрытие методики.</w:t>
            </w:r>
          </w:p>
        </w:tc>
      </w:tr>
      <w:tr>
        <w:tc>
          <w:tcPr>
            <w:tcW w:type="dxa" w:w="16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Доказательство</w:t>
            </w:r>
          </w:p>
        </w:tc>
        <w:tc>
          <w:tcPr>
            <w:tcW w:type="dxa" w:w="38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Что подтверждает факт и причинную связь.</w:t>
            </w:r>
          </w:p>
        </w:tc>
        <w:tc>
          <w:tcPr>
            <w:tcW w:type="dxa" w:w="38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Подписанный акт, измерение навыка до/после, независимая выборка.</w:t>
            </w:r>
          </w:p>
        </w:tc>
      </w:tr>
      <w:tr>
        <w:tc>
          <w:tcPr>
            <w:tcW w:type="dxa" w:w="16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Балансовый вектор</w:t>
            </w:r>
          </w:p>
        </w:tc>
        <w:tc>
          <w:tcPr>
            <w:tcW w:type="dxa" w:w="3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Положительные, нейтральные и отрицательные изменения по 19 контурам.</w:t>
            </w:r>
          </w:p>
        </w:tc>
        <w:tc>
          <w:tcPr>
            <w:tcW w:type="dxa" w:w="38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Рост знания при контроле времени, финансов и доступности.</w:t>
            </w:r>
          </w:p>
        </w:tc>
      </w:tr>
      <w:tr>
        <w:tc>
          <w:tcPr>
            <w:tcW w:type="dxa" w:w="16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Корректировка</w:t>
            </w:r>
          </w:p>
        </w:tc>
        <w:tc>
          <w:tcPr>
            <w:tcW w:type="dxa" w:w="38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Новое событие при ошибке, отклонении или смене условий.</w:t>
            </w:r>
          </w:p>
        </w:tc>
        <w:tc>
          <w:tcPr>
            <w:tcW w:type="dxa" w:w="38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Часть оплаты возвращается; методика получает новую версию.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BF5E7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B8913D"/>
              <w:left w:val="single" w:sz="6" w:color="B8913D"/>
              <w:bottom w:val="single" w:sz="6" w:color="B8913D"/>
              <w:right w:val="single" w:sz="6" w:color="B8913D"/>
            </w:tcBorders>
          </w:tcPr>
          <w:p>
            <w:pPr>
              <w:pStyle w:val="Callout"/>
            </w:pPr>
            <w:r>
              <w:t>Условие финальности</w:t>
            </w:r>
          </w:p>
          <w:p>
            <w:pPr>
              <w:spacing w:after="0"/>
              <w:jc w:val="left"/>
            </w:pPr>
            <w:r>
              <w:t>Событие становится окончательным для расчёта после проверки полномочий, доступности ресурса, исполнения обязательных контролей и получения минимального набора доказательств. Финансовая финальность и финальность результата могут наступать в разные моменты.</w:t>
            </w:r>
          </w:p>
        </w:tc>
      </w:tr>
    </w:tbl>
    <w:p>
      <w:r>
        <w:br w:type="page"/>
      </w:r>
    </w:p>
    <w:p>
      <w:pPr>
        <w:pStyle w:val="Eyebrow"/>
        <w:keepLines/>
        <w:widowControl/>
        <w:keepNext/>
      </w:pPr>
      <w:r>
        <w:t>09  /  БАЛАНСЫ</w:t>
      </w:r>
    </w:p>
    <w:p>
      <w:pPr>
        <w:pStyle w:val="Heading1"/>
        <w:keepLines/>
        <w:widowControl/>
        <w:keepNext/>
      </w:pPr>
      <w:r>
        <w:t>19 балансов — рабочая номенклатура управления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rPr>
          <w:tblHeader w:val="true"/>
        </w:trPr>
        <w:tc>
          <w:tcPr>
            <w:tcW w:type="dxa" w:w="18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  <w:t>Группа</w:t>
            </w:r>
          </w:p>
        </w:tc>
        <w:tc>
          <w:tcPr>
            <w:tcW w:type="dxa" w:w="756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6"/>
              </w:rPr>
              <w:t>Балансы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Человек</w:t>
            </w:r>
          </w:p>
        </w:tc>
        <w:tc>
          <w:tcPr>
            <w:tcW w:type="dxa" w:w="7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1 Достоинство и права; 2 Демография и семья; 3 Здоровье; 4 Знание и образование; 5 Культура и смыслы.</w:t>
            </w:r>
          </w:p>
        </w:tc>
      </w:tr>
      <w:t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Общество</w:t>
            </w:r>
          </w:p>
        </w:tc>
        <w:tc>
          <w:tcPr>
            <w:tcW w:type="dxa" w:w="75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6 Доверие и социальная связность; 7 Право и управление; 8 Безопасность; 9 Труд и занятость.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Экономика</w:t>
            </w:r>
          </w:p>
        </w:tc>
        <w:tc>
          <w:tcPr>
            <w:tcW w:type="dxa" w:w="7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10 Производство и предпринимательство; 11 Финансы; 12 Технологии и данные; 13 Инфраструктура и логистика.</w:t>
            </w:r>
          </w:p>
        </w:tc>
      </w:tr>
      <w:t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Природа</w:t>
            </w:r>
          </w:p>
        </w:tc>
        <w:tc>
          <w:tcPr>
            <w:tcW w:type="dxa" w:w="75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14 Энергия; 15 Вода; 16 Почва и продовольствие; 17 Климат и атмосфера; 18 Биоразнообразие.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Воспроизводство</w:t>
            </w:r>
          </w:p>
        </w:tc>
        <w:tc>
          <w:tcPr>
            <w:tcW w:type="dxa" w:w="75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6"/>
              </w:rPr>
              <w:t>19 Время и стратегическая устойчивость: способность сохранять достигнутое и действовать в будущем.</w:t>
            </w:r>
          </w:p>
        </w:tc>
      </w:tr>
    </w:tbl>
    <w:p>
      <w:pPr>
        <w:pStyle w:val="Lead"/>
      </w:pPr>
      <w:r>
        <w:t>Для каждого баланса утверждаются паспорт, метрики состояния, допустимый коридор, порог угрозы, владелец, источники данных, периодичность, правило агрегации и сценарий корректировки.</w:t>
      </w:r>
    </w:p>
    <w:p>
      <w:pPr>
        <w:spacing w:after="80" w:line="290" w:lineRule="auto"/>
        <w:jc w:val="left"/>
        <w:numPr>
          <w:ilvl w:val="0"/>
          <w:numId w:val="41"/>
        </w:numPr>
      </w:pPr>
      <w:r>
        <w:t>Положительный эффект в одном балансе не оправдывает скрытый ущерб в другом.</w:t>
      </w:r>
    </w:p>
    <w:p>
      <w:pPr>
        <w:spacing w:after="80" w:line="290" w:lineRule="auto"/>
        <w:jc w:val="left"/>
        <w:numPr>
          <w:ilvl w:val="0"/>
          <w:numId w:val="41"/>
        </w:numPr>
      </w:pPr>
      <w:r>
        <w:t>Денежная оценка применяется там, где она уместна; физические, правовые и качественные показатели сохраняют самостоятельность.</w:t>
      </w:r>
    </w:p>
    <w:p>
      <w:pPr>
        <w:spacing w:after="80" w:line="290" w:lineRule="auto"/>
        <w:jc w:val="left"/>
        <w:numPr>
          <w:ilvl w:val="0"/>
          <w:numId w:val="41"/>
        </w:numPr>
      </w:pPr>
      <w:r>
        <w:t>Номенклатура является рабочей и должна быть закреплена отдельным словарём версий.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10  /  ЦИКЛ</w:t>
      </w:r>
    </w:p>
    <w:p>
      <w:pPr>
        <w:pStyle w:val="Heading1"/>
        <w:keepLines/>
        <w:widowControl/>
        <w:keepNext/>
      </w:pPr>
      <w:r>
        <w:t>13 фаз превращают сигнал в управляемую корректировку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2050"/>
        <w:gridCol w:w="6710"/>
      </w:tblGrid>
      <w:tr>
        <w:trPr>
          <w:tblHeader w:val="true"/>
        </w:trPr>
        <w:tc>
          <w:tcPr>
            <w:tcW w:type="dxa" w:w="6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05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Фаза</w:t>
            </w:r>
          </w:p>
        </w:tc>
        <w:tc>
          <w:tcPr>
            <w:tcW w:type="dxa" w:w="671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Управленческий результат</w:t>
            </w:r>
          </w:p>
        </w:tc>
      </w:tr>
      <w:tr>
        <w:tc>
          <w:tcPr>
            <w:tcW w:type="dxa" w:w="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1</w:t>
            </w:r>
          </w:p>
        </w:tc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Сигнал</w:t>
            </w:r>
          </w:p>
        </w:tc>
        <w:tc>
          <w:tcPr>
            <w:tcW w:type="dxa" w:w="6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зафиксировать изменение или инициативу</w:t>
            </w:r>
          </w:p>
        </w:tc>
      </w:tr>
      <w:tr>
        <w:tc>
          <w:tcPr>
            <w:tcW w:type="dxa" w:w="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2</w:t>
            </w:r>
          </w:p>
        </w:tc>
        <w:tc>
          <w:tcPr>
            <w:tcW w:type="dxa" w:w="20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Атрибуция</w:t>
            </w:r>
          </w:p>
        </w:tc>
        <w:tc>
          <w:tcPr>
            <w:tcW w:type="dxa" w:w="67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определить источник, субъект и затронутый контур</w:t>
            </w:r>
          </w:p>
        </w:tc>
      </w:tr>
      <w:tr>
        <w:tc>
          <w:tcPr>
            <w:tcW w:type="dxa" w:w="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3</w:t>
            </w:r>
          </w:p>
        </w:tc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Базовая линия</w:t>
            </w:r>
          </w:p>
        </w:tc>
        <w:tc>
          <w:tcPr>
            <w:tcW w:type="dxa" w:w="6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измерить исходное состояние</w:t>
            </w:r>
          </w:p>
        </w:tc>
      </w:tr>
      <w:tr>
        <w:tc>
          <w:tcPr>
            <w:tcW w:type="dxa" w:w="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4</w:t>
            </w:r>
          </w:p>
        </w:tc>
        <w:tc>
          <w:tcPr>
            <w:tcW w:type="dxa" w:w="20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Цель</w:t>
            </w:r>
          </w:p>
        </w:tc>
        <w:tc>
          <w:tcPr>
            <w:tcW w:type="dxa" w:w="67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задать желаемый результат и пределы</w:t>
            </w:r>
          </w:p>
        </w:tc>
      </w:tr>
      <w:tr>
        <w:tc>
          <w:tcPr>
            <w:tcW w:type="dxa" w:w="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5</w:t>
            </w:r>
          </w:p>
        </w:tc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Сценарий</w:t>
            </w:r>
          </w:p>
        </w:tc>
        <w:tc>
          <w:tcPr>
            <w:tcW w:type="dxa" w:w="6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сравнить варианты и побочные эффекты</w:t>
            </w:r>
          </w:p>
        </w:tc>
      </w:tr>
      <w:tr>
        <w:tc>
          <w:tcPr>
            <w:tcW w:type="dxa" w:w="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6</w:t>
            </w:r>
          </w:p>
        </w:tc>
        <w:tc>
          <w:tcPr>
            <w:tcW w:type="dxa" w:w="20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Решение</w:t>
            </w:r>
          </w:p>
        </w:tc>
        <w:tc>
          <w:tcPr>
            <w:tcW w:type="dxa" w:w="67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утвердить мандат, владельца и критерии</w:t>
            </w:r>
          </w:p>
        </w:tc>
      </w:tr>
      <w:tr>
        <w:tc>
          <w:tcPr>
            <w:tcW w:type="dxa" w:w="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7</w:t>
            </w:r>
          </w:p>
        </w:tc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Ресурс</w:t>
            </w:r>
          </w:p>
        </w:tc>
        <w:tc>
          <w:tcPr>
            <w:tcW w:type="dxa" w:w="6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зарезервировать деньги, время, данные и мощности</w:t>
            </w:r>
          </w:p>
        </w:tc>
      </w:tr>
      <w:tr>
        <w:tc>
          <w:tcPr>
            <w:tcW w:type="dxa" w:w="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8</w:t>
            </w:r>
          </w:p>
        </w:tc>
        <w:tc>
          <w:tcPr>
            <w:tcW w:type="dxa" w:w="20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Контракт</w:t>
            </w:r>
          </w:p>
        </w:tc>
        <w:tc>
          <w:tcPr>
            <w:tcW w:type="dxa" w:w="67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закрепить обязательства, риск и доказательства</w:t>
            </w:r>
          </w:p>
        </w:tc>
      </w:tr>
      <w:tr>
        <w:tc>
          <w:tcPr>
            <w:tcW w:type="dxa" w:w="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9</w:t>
            </w:r>
          </w:p>
        </w:tc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Действие</w:t>
            </w:r>
          </w:p>
        </w:tc>
        <w:tc>
          <w:tcPr>
            <w:tcW w:type="dxa" w:w="6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исполнить проектный пакет</w:t>
            </w:r>
          </w:p>
        </w:tc>
      </w:tr>
      <w:tr>
        <w:tc>
          <w:tcPr>
            <w:tcW w:type="dxa" w:w="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10</w:t>
            </w:r>
          </w:p>
        </w:tc>
        <w:tc>
          <w:tcPr>
            <w:tcW w:type="dxa" w:w="20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Наблюдение</w:t>
            </w:r>
          </w:p>
        </w:tc>
        <w:tc>
          <w:tcPr>
            <w:tcW w:type="dxa" w:w="67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собирать фактические события и отклонения</w:t>
            </w:r>
          </w:p>
        </w:tc>
      </w:tr>
      <w:tr>
        <w:tc>
          <w:tcPr>
            <w:tcW w:type="dxa" w:w="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11</w:t>
            </w:r>
          </w:p>
        </w:tc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Верификация</w:t>
            </w:r>
          </w:p>
        </w:tc>
        <w:tc>
          <w:tcPr>
            <w:tcW w:type="dxa" w:w="6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проверить факт, качество и причинную связь</w:t>
            </w:r>
          </w:p>
        </w:tc>
      </w:tr>
      <w:tr>
        <w:tc>
          <w:tcPr>
            <w:tcW w:type="dxa" w:w="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12</w:t>
            </w:r>
          </w:p>
        </w:tc>
        <w:tc>
          <w:tcPr>
            <w:tcW w:type="dxa" w:w="20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Расчёт</w:t>
            </w:r>
          </w:p>
        </w:tc>
        <w:tc>
          <w:tcPr>
            <w:tcW w:type="dxa" w:w="67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признать права, выплаты, обязательства и остатки</w:t>
            </w:r>
          </w:p>
        </w:tc>
      </w:tr>
      <w:tr>
        <w:tc>
          <w:tcPr>
            <w:tcW w:type="dxa" w:w="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13</w:t>
            </w:r>
          </w:p>
        </w:tc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Корректировка</w:t>
            </w:r>
          </w:p>
        </w:tc>
        <w:tc>
          <w:tcPr>
            <w:tcW w:type="dxa" w:w="67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изменить правило, ресурс, проект или цель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AF4F0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2F7D68"/>
              <w:left w:val="single" w:sz="6" w:color="2F7D68"/>
              <w:bottom w:val="single" w:sz="6" w:color="2F7D68"/>
              <w:right w:val="single" w:sz="6" w:color="2F7D68"/>
            </w:tcBorders>
          </w:tcPr>
          <w:p>
            <w:pPr>
              <w:pStyle w:val="Callout"/>
            </w:pPr>
            <w:r>
              <w:t>Цикл не линейный</w:t>
            </w:r>
          </w:p>
          <w:p>
            <w:pPr>
              <w:spacing w:after="0"/>
              <w:jc w:val="left"/>
            </w:pPr>
            <w:r>
              <w:t>При появлении существенного риска система возвращается к нужной фазе, но не теряет историю. Полный цикл образует доказуемую цепочку причин и решений.</w:t>
            </w:r>
          </w:p>
        </w:tc>
      </w:tr>
    </w:tbl>
    <w:p>
      <w:r>
        <w:br w:type="page"/>
      </w:r>
    </w:p>
    <w:p>
      <w:pPr>
        <w:pStyle w:val="Eyebrow"/>
        <w:keepLines/>
        <w:widowControl/>
        <w:keepNext/>
      </w:pPr>
      <w:r>
        <w:t>11  /  МАТРИЦА 741</w:t>
      </w:r>
    </w:p>
    <w:p>
      <w:pPr>
        <w:pStyle w:val="Heading1"/>
        <w:keepLines/>
        <w:widowControl/>
        <w:keepNext/>
      </w:pPr>
      <w:r>
        <w:t>3 × 13 × 19 = 741 — карта полноты, а не мистическое число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59BDE7"/>
              <w:left w:val="single" w:sz="6" w:color="59BDE7"/>
              <w:bottom w:val="single" w:sz="6" w:color="59BDE7"/>
              <w:right w:val="single" w:sz="6" w:color="59BDE7"/>
            </w:tcBorders>
          </w:tcPr>
          <w:p>
            <w:pPr>
              <w:pStyle w:val="Callout"/>
            </w:pPr>
            <w:r>
              <w:t>Формула</w:t>
            </w:r>
          </w:p>
          <w:p>
            <w:pPr>
              <w:spacing w:after="0"/>
              <w:jc w:val="left"/>
            </w:pPr>
            <w:r>
              <w:t>Три масштаба × тринадцать фаз × девятнадцать балансов образуют 741 контрольную ячейку. Каждая ячейка отвечает на один вопрос: что известно, кто отвечает, какое решение принято, чем подтверждено и требуется ли корректировка?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400"/>
        <w:gridCol w:w="3260"/>
      </w:tblGrid>
      <w:tr>
        <w:trPr>
          <w:tblHeader w:val="true"/>
        </w:trPr>
        <w:tc>
          <w:tcPr>
            <w:tcW w:type="dxa" w:w="17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Статус ячейки</w:t>
            </w:r>
          </w:p>
        </w:tc>
        <w:tc>
          <w:tcPr>
            <w:tcW w:type="dxa" w:w="44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Значение</w:t>
            </w:r>
          </w:p>
        </w:tc>
        <w:tc>
          <w:tcPr>
            <w:tcW w:type="dxa" w:w="326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Действие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0 — нет данных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сигнал или измерение отсутствует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назначить источник и срок</w:t>
            </w:r>
          </w:p>
        </w:tc>
      </w:tr>
      <w:t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1 — наблюдение</w:t>
            </w:r>
          </w:p>
        </w:tc>
        <w:tc>
          <w:tcPr>
            <w:tcW w:type="dxa" w:w="4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данные есть, но решение не требуется/не принято</w:t>
            </w:r>
          </w:p>
        </w:tc>
        <w:tc>
          <w:tcPr>
            <w:tcW w:type="dxa" w:w="3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проверить качество и порог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2 — риск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коридор нарушен или доказательность недостаточна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эскалация владельцу риска</w:t>
            </w:r>
          </w:p>
        </w:tc>
      </w:tr>
      <w:t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3 — управление</w:t>
            </w:r>
          </w:p>
        </w:tc>
        <w:tc>
          <w:tcPr>
            <w:tcW w:type="dxa" w:w="4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мандат, ресурс и действие зафиксированы</w:t>
            </w:r>
          </w:p>
        </w:tc>
        <w:tc>
          <w:tcPr>
            <w:tcW w:type="dxa" w:w="3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контроль исполнения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4 — доказано</w:t>
            </w:r>
          </w:p>
        </w:tc>
        <w:tc>
          <w:tcPr>
            <w:tcW w:type="dxa" w:w="4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результат верифицирован и учтён</w:t>
            </w:r>
          </w:p>
        </w:tc>
        <w:tc>
          <w:tcPr>
            <w:tcW w:type="dxa" w:w="32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расчёт и тиражирование</w:t>
            </w:r>
          </w:p>
        </w:tc>
      </w:tr>
      <w:t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5 — корректировка</w:t>
            </w:r>
          </w:p>
        </w:tc>
        <w:tc>
          <w:tcPr>
            <w:tcW w:type="dxa" w:w="4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условия изменились или выявлена ошибка</w:t>
            </w:r>
          </w:p>
        </w:tc>
        <w:tc>
          <w:tcPr>
            <w:tcW w:type="dxa" w:w="3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создать связанное событие новой версии</w:t>
            </w:r>
          </w:p>
        </w:tc>
      </w:tr>
    </w:tbl>
    <w:p>
      <w:pPr>
        <w:pStyle w:val="Lead"/>
      </w:pPr>
      <w:r>
        <w:t>Матрица может заполняться постепенно. Признак зрелости — не «741 зелёная ячейка», а отсутствие неизвестных критических зон, прозрачная ответственность и своевременное движение статусов.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12  /  АРХЕТИПЫ</w:t>
      </w:r>
    </w:p>
    <w:p>
      <w:pPr>
        <w:pStyle w:val="Heading1"/>
        <w:keepLines/>
        <w:widowControl/>
        <w:keepNext/>
      </w:pPr>
      <w:r>
        <w:t>20 архетипов × 13 тонов = 260 — семантический слой Счётной книги</w:t>
      </w:r>
    </w:p>
    <w:p>
      <w:pPr>
        <w:pStyle w:val="Lead"/>
      </w:pPr>
      <w:r>
        <w:t>Модель 260 используется как карта типовых ролей и ритмов преобразования. Единица «кин» обозначает завершённое смысловое событие в 13-фазном цикле. Этот слой помогает классифицировать инициативы и согласовывать язык участников, но не заменяет измерения, право и финансовый учёт.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4150"/>
        <w:gridCol w:w="3460"/>
      </w:tblGrid>
      <w:tr>
        <w:trPr>
          <w:tblHeader w:val="true"/>
        </w:trPr>
        <w:tc>
          <w:tcPr>
            <w:tcW w:type="dxa" w:w="175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Связь</w:t>
            </w:r>
          </w:p>
        </w:tc>
        <w:tc>
          <w:tcPr>
            <w:tcW w:type="dxa" w:w="415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Назначение</w:t>
            </w:r>
          </w:p>
        </w:tc>
        <w:tc>
          <w:tcPr>
            <w:tcW w:type="dxa" w:w="346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1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Архетип → роль</w:t>
            </w:r>
          </w:p>
        </w:tc>
        <w:tc>
          <w:tcPr>
            <w:tcW w:type="dxa" w:w="4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описывает устойчивый способ участия: инициатор, хранитель, преобразователь, связующий и др.</w:t>
            </w:r>
          </w:p>
        </w:tc>
        <w:tc>
          <w:tcPr>
            <w:tcW w:type="dxa" w:w="3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не присваивается человеку как неизменный ярлык</w:t>
            </w:r>
          </w:p>
        </w:tc>
      </w:tr>
      <w:tr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Тон → фаза</w:t>
            </w:r>
          </w:p>
        </w:tc>
        <w:tc>
          <w:tcPr>
            <w:tcW w:type="dxa" w:w="41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указывает характер шага: постановка, согласование, действие, проверка, завершение.</w:t>
            </w:r>
          </w:p>
        </w:tc>
        <w:tc>
          <w:tcPr>
            <w:tcW w:type="dxa" w:w="34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не отменяет фактическую последовательность события</w:t>
            </w:r>
          </w:p>
        </w:tc>
      </w:tr>
      <w:tr>
        <w:tc>
          <w:tcPr>
            <w:tcW w:type="dxa" w:w="17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Кин → событие</w:t>
            </w:r>
          </w:p>
        </w:tc>
        <w:tc>
          <w:tcPr>
            <w:tcW w:type="dxa" w:w="4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объединяет цель, субъект, действие и результат в одной смысловой единице.</w:t>
            </w:r>
          </w:p>
        </w:tc>
        <w:tc>
          <w:tcPr>
            <w:tcW w:type="dxa" w:w="34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получает юридическую силу только через подтверждённые основания</w:t>
            </w:r>
          </w:p>
        </w:tc>
      </w:tr>
      <w:tr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260 → библиотека</w:t>
            </w:r>
          </w:p>
        </w:tc>
        <w:tc>
          <w:tcPr>
            <w:tcW w:type="dxa" w:w="41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даёт повторяемые сценарии и шаблоны проектирования.</w:t>
            </w:r>
          </w:p>
        </w:tc>
        <w:tc>
          <w:tcPr>
            <w:tcW w:type="dxa" w:w="34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не используется как автоматический прогноз или рейтинг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BF5E7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B8913D"/>
              <w:left w:val="single" w:sz="6" w:color="B8913D"/>
              <w:bottom w:val="single" w:sz="6" w:color="B8913D"/>
              <w:right w:val="single" w:sz="6" w:color="B8913D"/>
            </w:tcBorders>
          </w:tcPr>
          <w:p>
            <w:pPr>
              <w:pStyle w:val="Callout"/>
            </w:pPr>
            <w:r>
              <w:t>Разделение слоёв</w:t>
            </w:r>
          </w:p>
          <w:p>
            <w:pPr>
              <w:spacing w:after="0"/>
              <w:jc w:val="left"/>
            </w:pPr>
            <w:r>
              <w:t>Архетипический слой отвечает за смысл и навигацию; матрица 741 — за полноту управленческого контроля; Счётная книга — за доказуемую историю событий.</w:t>
            </w:r>
          </w:p>
        </w:tc>
      </w:tr>
    </w:tbl>
    <w:p>
      <w:r>
        <w:br w:type="page"/>
      </w:r>
    </w:p>
    <w:p>
      <w:pPr>
        <w:pStyle w:val="Eyebrow"/>
        <w:keepLines/>
        <w:widowControl/>
        <w:keepNext/>
      </w:pPr>
      <w:r>
        <w:t>13  /  АРХИТЕКТУРА</w:t>
      </w:r>
    </w:p>
    <w:p>
      <w:pPr>
        <w:pStyle w:val="Heading1"/>
        <w:keepLines/>
        <w:widowControl/>
        <w:keepNext/>
      </w:pPr>
      <w:r>
        <w:t>Контуры системы разделены по полномочиям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00"/>
        <w:gridCol w:w="4800"/>
        <w:gridCol w:w="3160"/>
      </w:tblGrid>
      <w:tr>
        <w:trPr>
          <w:tblHeader w:val="true"/>
        </w:trPr>
        <w:tc>
          <w:tcPr>
            <w:tcW w:type="dxa" w:w="14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  <w:t>Контур</w:t>
            </w:r>
          </w:p>
        </w:tc>
        <w:tc>
          <w:tcPr>
            <w:tcW w:type="dxa" w:w="48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316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  <w:t>Не делает</w:t>
            </w:r>
          </w:p>
        </w:tc>
      </w:tr>
      <w:tr>
        <w:tc>
          <w:tcPr>
            <w:tcW w:type="dxa" w:w="1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СФЕРА</w:t>
            </w:r>
          </w:p>
        </w:tc>
        <w:tc>
          <w:tcPr>
            <w:tcW w:type="dxa" w:w="4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собирает инициативы, формирует сообщества, обеспечивает доступ и масштабирование.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не подтверждает эффект и не распоряжается чужими полномочиями</w:t>
            </w:r>
          </w:p>
        </w:tc>
      </w:tr>
      <w:tr>
        <w:tc>
          <w:tcPr>
            <w:tcW w:type="dxa" w:w="1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ЭКВИЛИБРИУМ</w:t>
            </w:r>
          </w:p>
        </w:tc>
        <w:tc>
          <w:tcPr>
            <w:tcW w:type="dxa" w:w="4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наблюдает 19 балансов, анализирует сценарии, ведёт матрицу 741 и контур корректировки.</w:t>
            </w:r>
          </w:p>
        </w:tc>
        <w:tc>
          <w:tcPr>
            <w:tcW w:type="dxa" w:w="3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не подменяет законного субъекта решения</w:t>
            </w:r>
          </w:p>
        </w:tc>
      </w:tr>
      <w:tr>
        <w:tc>
          <w:tcPr>
            <w:tcW w:type="dxa" w:w="1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ИАЦ</w:t>
            </w:r>
          </w:p>
        </w:tc>
        <w:tc>
          <w:tcPr>
            <w:tcW w:type="dxa" w:w="4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готовит варианты решений, прогнозы, модели и аналитические записки.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не принимает властных решений</w:t>
            </w:r>
          </w:p>
        </w:tc>
      </w:tr>
      <w:tr>
        <w:tc>
          <w:tcPr>
            <w:tcW w:type="dxa" w:w="1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ECO‑PPA</w:t>
            </w:r>
          </w:p>
        </w:tc>
        <w:tc>
          <w:tcPr>
            <w:tcW w:type="dxa" w:w="4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переводит сценарий в юридически, финансово и технологически проверяемый проект.</w:t>
            </w:r>
          </w:p>
        </w:tc>
        <w:tc>
          <w:tcPr>
            <w:tcW w:type="dxa" w:w="3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не исполняет работы без отдельного мандата</w:t>
            </w:r>
          </w:p>
        </w:tc>
      </w:tr>
      <w:tr>
        <w:tc>
          <w:tcPr>
            <w:tcW w:type="dxa" w:w="1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СПЕЦЗАЩИТА</w:t>
            </w:r>
          </w:p>
        </w:tc>
        <w:tc>
          <w:tcPr>
            <w:tcW w:type="dxa" w:w="4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организует кооперационное исполнение, защиту, поставки и оперативную дисциплину.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не подтверждает собственный результат единолично</w:t>
            </w:r>
          </w:p>
        </w:tc>
      </w:tr>
      <w:tr>
        <w:tc>
          <w:tcPr>
            <w:tcW w:type="dxa" w:w="1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ESG‑IR</w:t>
            </w:r>
          </w:p>
        </w:tc>
        <w:tc>
          <w:tcPr>
            <w:tcW w:type="dxa" w:w="4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обеспечивает независимую доказательность и методический контроль результата.</w:t>
            </w:r>
          </w:p>
        </w:tc>
        <w:tc>
          <w:tcPr>
            <w:tcW w:type="dxa" w:w="3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не финансирует и не выбирает проект вместо заказчика</w:t>
            </w:r>
          </w:p>
        </w:tc>
      </w:tr>
      <w:tr>
        <w:tc>
          <w:tcPr>
            <w:tcW w:type="dxa" w:w="14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Счётная книга</w:t>
            </w:r>
          </w:p>
        </w:tc>
        <w:tc>
          <w:tcPr>
            <w:tcW w:type="dxa" w:w="4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связывает события, версии, подписи, доказательства и балансовые эффекты.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не является единой базой всех исходных данных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AF4F0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2F7D68"/>
              <w:left w:val="single" w:sz="6" w:color="2F7D68"/>
              <w:bottom w:val="single" w:sz="6" w:color="2F7D68"/>
              <w:right w:val="single" w:sz="6" w:color="2F7D68"/>
            </w:tcBorders>
          </w:tcPr>
          <w:p>
            <w:pPr>
              <w:pStyle w:val="Callout"/>
            </w:pPr>
            <w:r>
              <w:t>Сквозной поток</w:t>
            </w:r>
          </w:p>
          <w:p>
            <w:pPr>
              <w:spacing w:after="0"/>
              <w:jc w:val="left"/>
            </w:pPr>
            <w:r>
              <w:t>Инициатива → наблюдение → вариант решения → проект → исполнение → независимая верификация → запись результата → корректировка.</w:t>
            </w:r>
          </w:p>
        </w:tc>
      </w:tr>
    </w:tbl>
    <w:p>
      <w:r>
        <w:br w:type="page"/>
      </w:r>
    </w:p>
    <w:p>
      <w:pPr>
        <w:pStyle w:val="Eyebrow"/>
        <w:keepLines/>
        <w:widowControl/>
        <w:keepNext/>
      </w:pPr>
      <w:r>
        <w:t>14  /  СЧЁТНАЯ КНИГА</w:t>
      </w:r>
    </w:p>
    <w:p>
      <w:pPr>
        <w:pStyle w:val="Heading1"/>
        <w:keepLines/>
        <w:widowControl/>
        <w:keepNext/>
      </w:pPr>
      <w:r>
        <w:t>Счётная книга хранит доказательства, а не собирает всё в одном месте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4900"/>
        <w:gridCol w:w="2860"/>
      </w:tblGrid>
      <w:tr>
        <w:trPr>
          <w:tblHeader w:val="true"/>
        </w:trPr>
        <w:tc>
          <w:tcPr>
            <w:tcW w:type="dxa" w:w="16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Слой</w:t>
            </w:r>
          </w:p>
        </w:tc>
        <w:tc>
          <w:tcPr>
            <w:tcW w:type="dxa" w:w="49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Содержимое</w:t>
            </w:r>
          </w:p>
        </w:tc>
        <w:tc>
          <w:tcPr>
            <w:tcW w:type="dxa" w:w="286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Режим доступа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Открытый</w:t>
            </w:r>
          </w:p>
        </w:tc>
        <w:tc>
          <w:tcPr>
            <w:tcW w:type="dxa" w:w="4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словари, методики, агрегаты, версии правил, публичные решения и показатели.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общедоступный, машинно-читаемый</w:t>
            </w:r>
          </w:p>
        </w:tc>
      </w:tr>
      <w:tr>
        <w:tc>
          <w:tcPr>
            <w:tcW w:type="dxa" w:w="1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Доказательный</w:t>
            </w:r>
          </w:p>
        </w:tc>
        <w:tc>
          <w:tcPr>
            <w:tcW w:type="dxa" w:w="4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идентификаторы, временные метки, подписи, хэши, ссылки на источники, статус проверки.</w:t>
            </w:r>
          </w:p>
        </w:tc>
        <w:tc>
          <w:tcPr>
            <w:tcW w:type="dxa" w:w="28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по роли и правовому основанию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Операционный</w:t>
            </w:r>
          </w:p>
        </w:tc>
        <w:tc>
          <w:tcPr>
            <w:tcW w:type="dxa" w:w="4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договоры, бюджеты, рабочие пакеты, измерения, журналы исполнения.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участники процесса и контрольные органы</w:t>
            </w:r>
          </w:p>
        </w:tc>
      </w:tr>
      <w:tr>
        <w:tc>
          <w:tcPr>
            <w:tcW w:type="dxa" w:w="1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Защищённый</w:t>
            </w:r>
          </w:p>
        </w:tc>
        <w:tc>
          <w:tcPr>
            <w:tcW w:type="dxa" w:w="4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персональные данные, коммерческая тайна, чувствительная инфраструктура.</w:t>
            </w:r>
          </w:p>
        </w:tc>
        <w:tc>
          <w:tcPr>
            <w:tcW w:type="dxa" w:w="28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минимально необходимый доступ, журналирование</w:t>
            </w:r>
          </w:p>
        </w:tc>
      </w:tr>
      <w:tr>
        <w:tc>
          <w:tcPr>
            <w:tcW w:type="dxa" w:w="16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Архивный</w:t>
            </w:r>
          </w:p>
        </w:tc>
        <w:tc>
          <w:tcPr>
            <w:tcW w:type="dxa" w:w="4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исходные версии, доказательства финальности, решения по спорам, журналы миграции.</w:t>
            </w:r>
          </w:p>
        </w:tc>
        <w:tc>
          <w:tcPr>
            <w:tcW w:type="dxa" w:w="28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долгосрочная сохранность и проверка целостности</w:t>
            </w:r>
          </w:p>
        </w:tc>
      </w:tr>
    </w:tbl>
    <w:p>
      <w:pPr>
        <w:spacing w:after="80" w:line="290" w:lineRule="auto"/>
        <w:jc w:val="left"/>
        <w:numPr>
          <w:ilvl w:val="0"/>
          <w:numId w:val="41"/>
        </w:numPr>
      </w:pPr>
      <w:r>
        <w:t>Данные остаются у законных владельцев; общий слой хранит проверяемые ссылки и статусы.</w:t>
      </w:r>
    </w:p>
    <w:p>
      <w:pPr>
        <w:spacing w:after="80" w:line="290" w:lineRule="auto"/>
        <w:jc w:val="left"/>
        <w:numPr>
          <w:ilvl w:val="0"/>
          <w:numId w:val="41"/>
        </w:numPr>
      </w:pPr>
      <w:r>
        <w:t>Каждое чтение и изменение чувствительных данных фиксируется как событие.</w:t>
      </w:r>
    </w:p>
    <w:p>
      <w:pPr>
        <w:spacing w:after="80" w:line="290" w:lineRule="auto"/>
        <w:jc w:val="left"/>
        <w:numPr>
          <w:ilvl w:val="0"/>
          <w:numId w:val="41"/>
        </w:numPr>
      </w:pPr>
      <w:r>
        <w:t>Алгоритмическое решение должно быть объяснимо, оспоримо и воспроизводимо по версии модели.</w:t>
      </w:r>
    </w:p>
    <w:p>
      <w:pPr>
        <w:spacing w:after="80" w:line="290" w:lineRule="auto"/>
        <w:jc w:val="left"/>
        <w:numPr>
          <w:ilvl w:val="0"/>
          <w:numId w:val="41"/>
        </w:numPr>
      </w:pPr>
      <w:r>
        <w:t>Публичная прозрачность достигается агрегированием, а не раскрытием персональных записей.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15  /  ФИНАНСЫ</w:t>
      </w:r>
    </w:p>
    <w:p>
      <w:pPr>
        <w:pStyle w:val="Heading1"/>
        <w:keepLines/>
        <w:widowControl/>
        <w:keepNext/>
      </w:pPr>
      <w:r>
        <w:t>Финансирование следует за мандатом, риском и доказуемым результатом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800"/>
        <w:gridCol w:w="3660"/>
      </w:tblGrid>
      <w:tr>
        <w:trPr>
          <w:tblHeader w:val="true"/>
        </w:trPr>
        <w:tc>
          <w:tcPr>
            <w:tcW w:type="dxa" w:w="19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Контур</w:t>
            </w:r>
          </w:p>
        </w:tc>
        <w:tc>
          <w:tcPr>
            <w:tcW w:type="dxa" w:w="38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Назначение</w:t>
            </w:r>
          </w:p>
        </w:tc>
        <w:tc>
          <w:tcPr>
            <w:tcW w:type="dxa" w:w="366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Учётное правило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Именной фонд</w:t>
            </w:r>
          </w:p>
        </w:tc>
        <w:tc>
          <w:tcPr>
            <w:tcW w:type="dxa" w:w="3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целевые права и ресурсы развития человека.</w:t>
            </w:r>
          </w:p>
        </w:tc>
        <w:tc>
          <w:tcPr>
            <w:tcW w:type="dxa" w:w="3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источник, назначение, лимит, выбор поставщика, результат, обжалование</w:t>
            </w:r>
          </w:p>
        </w:tc>
      </w:tr>
      <w:t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Проектный фонд / SPV</w:t>
            </w:r>
          </w:p>
        </w:tc>
        <w:tc>
          <w:tcPr>
            <w:tcW w:type="dxa" w:w="3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изоляция бюджета, активов, обязательств и риска проекта.</w:t>
            </w:r>
          </w:p>
        </w:tc>
        <w:tc>
          <w:tcPr>
            <w:tcW w:type="dxa" w:w="36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сегрегация средств, waterfall, резервы, ковенанты, аудит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Территориальный фонд</w:t>
            </w:r>
          </w:p>
        </w:tc>
        <w:tc>
          <w:tcPr>
            <w:tcW w:type="dxa" w:w="3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портфель инфраструктурных и природных программ.</w:t>
            </w:r>
          </w:p>
        </w:tc>
        <w:tc>
          <w:tcPr>
            <w:tcW w:type="dxa" w:w="3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эффекты и обязательства не смешиваются между территориями без мандата</w:t>
            </w:r>
          </w:p>
        </w:tc>
      </w:tr>
      <w:t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ECO‑PPA</w:t>
            </w:r>
          </w:p>
        </w:tc>
        <w:tc>
          <w:tcPr>
            <w:tcW w:type="dxa" w:w="3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долгосрочный договор мобилизации ресурсов до реализации угрозы.</w:t>
            </w:r>
          </w:p>
        </w:tc>
        <w:tc>
          <w:tcPr>
            <w:tcW w:type="dxa" w:w="36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baseline, гарантированный результат, цена, риск, верификатор, корректировка</w:t>
            </w:r>
          </w:p>
        </w:tc>
      </w:tr>
      <w:tr>
        <w:tc>
          <w:tcPr>
            <w:tcW w:type="dxa" w:w="19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Оплата за результат</w:t>
            </w:r>
          </w:p>
        </w:tc>
        <w:tc>
          <w:tcPr>
            <w:tcW w:type="dxa" w:w="3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часть расчёта наступает после независимого подтверждения.</w:t>
            </w:r>
          </w:p>
        </w:tc>
        <w:tc>
          <w:tcPr>
            <w:tcW w:type="dxa" w:w="36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неподтверждённый эффект не признаётся окончательным активом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BF5E7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B8913D"/>
              <w:left w:val="single" w:sz="6" w:color="B8913D"/>
              <w:bottom w:val="single" w:sz="6" w:color="B8913D"/>
              <w:right w:val="single" w:sz="6" w:color="B8913D"/>
            </w:tcBorders>
          </w:tcPr>
          <w:p>
            <w:pPr>
              <w:pStyle w:val="Callout"/>
            </w:pPr>
            <w:r>
              <w:t>Непереходимая граница</w:t>
            </w:r>
          </w:p>
          <w:p>
            <w:pPr>
              <w:spacing w:after="0"/>
              <w:jc w:val="left"/>
            </w:pPr>
            <w:r>
              <w:t>Счётная система не создаёт неконтролируемое обязательное к приёму платёжное средство. Любой финансовый инструмент имеет определённого эмитента, правовую природу, обеспечение, порядок погашения, надзор и владельца убытка.</w:t>
            </w:r>
          </w:p>
        </w:tc>
      </w:tr>
    </w:tbl>
    <w:p>
      <w:r>
        <w:br w:type="page"/>
      </w:r>
    </w:p>
    <w:p>
      <w:pPr>
        <w:pStyle w:val="Eyebrow"/>
        <w:keepLines/>
        <w:widowControl/>
        <w:keepNext/>
      </w:pPr>
      <w:r>
        <w:t>16  /  УПРАВЛЕНИЕ</w:t>
      </w:r>
    </w:p>
    <w:p>
      <w:pPr>
        <w:pStyle w:val="Heading1"/>
        <w:keepLines/>
        <w:widowControl/>
        <w:keepNext/>
      </w:pPr>
      <w:r>
        <w:t>Решение, исполнение и проверка не должны принадлежать одной стороне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500"/>
        <w:gridCol w:w="3060"/>
      </w:tblGrid>
      <w:tr>
        <w:trPr>
          <w:tblHeader w:val="true"/>
        </w:trPr>
        <w:tc>
          <w:tcPr>
            <w:tcW w:type="dxa" w:w="18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Роль</w:t>
            </w:r>
          </w:p>
        </w:tc>
        <w:tc>
          <w:tcPr>
            <w:tcW w:type="dxa" w:w="45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Полномочие</w:t>
            </w:r>
          </w:p>
        </w:tc>
        <w:tc>
          <w:tcPr>
            <w:tcW w:type="dxa" w:w="306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Контроль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Владелец баланса</w:t>
            </w:r>
          </w:p>
        </w:tc>
        <w:tc>
          <w:tcPr>
            <w:tcW w:type="dxa" w:w="4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утверждает коридор, пороги, KPI и корректирующие меры.</w:t>
            </w:r>
          </w:p>
        </w:tc>
        <w:tc>
          <w:tcPr>
            <w:tcW w:type="dxa" w:w="3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публичный мандат, конфликт интересов, отчётность</w:t>
            </w:r>
          </w:p>
        </w:tc>
      </w:tr>
      <w:t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Владелец данных</w:t>
            </w:r>
          </w:p>
        </w:tc>
        <w:tc>
          <w:tcPr>
            <w:tcW w:type="dxa" w:w="4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обеспечивает качество, происхождение и законность доступа.</w:t>
            </w:r>
          </w:p>
        </w:tc>
        <w:tc>
          <w:tcPr>
            <w:tcW w:type="dxa" w:w="3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версионность, журнал доступа, независимая выборка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Проектный заказчик</w:t>
            </w:r>
          </w:p>
        </w:tc>
        <w:tc>
          <w:tcPr>
            <w:tcW w:type="dxa" w:w="4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принимает цель, бюджет, контракт и риск-аппетит.</w:t>
            </w:r>
          </w:p>
        </w:tc>
        <w:tc>
          <w:tcPr>
            <w:tcW w:type="dxa" w:w="3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экспертиза, лимиты, контроль изменений</w:t>
            </w:r>
          </w:p>
        </w:tc>
      </w:tr>
      <w:t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Исполнитель</w:t>
            </w:r>
          </w:p>
        </w:tc>
        <w:tc>
          <w:tcPr>
            <w:tcW w:type="dxa" w:w="4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выполняет действие и предоставляет первичные доказательства.</w:t>
            </w:r>
          </w:p>
        </w:tc>
        <w:tc>
          <w:tcPr>
            <w:tcW w:type="dxa" w:w="3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SLA, приёмка, страхование, ответственность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Валидатор</w:t>
            </w:r>
          </w:p>
        </w:tc>
        <w:tc>
          <w:tcPr>
            <w:tcW w:type="dxa" w:w="4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проверяет методику, факт и причинную связь.</w:t>
            </w:r>
          </w:p>
        </w:tc>
        <w:tc>
          <w:tcPr>
            <w:tcW w:type="dxa" w:w="3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аккредитация, ротация, запрет самопроверки</w:t>
            </w:r>
          </w:p>
        </w:tc>
      </w:tr>
      <w:t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Аудитор / омбудсмен</w:t>
            </w:r>
          </w:p>
        </w:tc>
        <w:tc>
          <w:tcPr>
            <w:tcW w:type="dxa" w:w="4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проверяет систему и рассматривает жалобы.</w:t>
            </w:r>
          </w:p>
        </w:tc>
        <w:tc>
          <w:tcPr>
            <w:tcW w:type="dxa" w:w="3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доступ к истории версий, независимое назначение</w:t>
            </w:r>
          </w:p>
        </w:tc>
      </w:tr>
      <w:tr>
        <w:tc>
          <w:tcPr>
            <w:tcW w:type="dxa" w:w="18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Коллегиальный совет</w:t>
            </w:r>
          </w:p>
        </w:tc>
        <w:tc>
          <w:tcPr>
            <w:tcW w:type="dxa" w:w="4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меняет словари, правила и пороги системы.</w:t>
            </w:r>
          </w:p>
        </w:tc>
        <w:tc>
          <w:tcPr>
            <w:tcW w:type="dxa" w:w="30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кворум, протокол, публичное обоснование, дата вступления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AF4F0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2F7D68"/>
              <w:left w:val="single" w:sz="6" w:color="2F7D68"/>
              <w:bottom w:val="single" w:sz="6" w:color="2F7D68"/>
              <w:right w:val="single" w:sz="6" w:color="2F7D68"/>
            </w:tcBorders>
          </w:tcPr>
          <w:p>
            <w:pPr>
              <w:pStyle w:val="Callout"/>
            </w:pPr>
            <w:r>
              <w:t>Человеческое право</w:t>
            </w:r>
          </w:p>
          <w:p>
            <w:pPr>
              <w:spacing w:after="0"/>
              <w:jc w:val="left"/>
            </w:pPr>
            <w:r>
              <w:t>Участник может узнать, какие данные и правила повлияли на его положение, получить понятное объяснение, оспорить запись и потребовать корректирующее событие при подтверждённой ошибке.</w:t>
            </w:r>
          </w:p>
        </w:tc>
      </w:tr>
    </w:tbl>
    <w:p>
      <w:r>
        <w:br w:type="page"/>
      </w:r>
    </w:p>
    <w:p>
      <w:pPr>
        <w:pStyle w:val="Eyebrow"/>
        <w:keepLines/>
        <w:widowControl/>
        <w:keepNext/>
      </w:pPr>
      <w:r>
        <w:t>17  /  ЗАЩИТА</w:t>
      </w:r>
    </w:p>
    <w:p>
      <w:pPr>
        <w:pStyle w:val="Heading1"/>
        <w:keepLines/>
        <w:widowControl/>
        <w:keepNext/>
      </w:pPr>
      <w:r>
        <w:t>Антиманипуляционный контур встроен в саму запись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550"/>
        <w:gridCol w:w="4110"/>
      </w:tblGrid>
      <w:tr>
        <w:trPr>
          <w:tblHeader w:val="true"/>
        </w:trPr>
        <w:tc>
          <w:tcPr>
            <w:tcW w:type="dxa" w:w="17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  <w:t>Угроза</w:t>
            </w:r>
          </w:p>
        </w:tc>
        <w:tc>
          <w:tcPr>
            <w:tcW w:type="dxa" w:w="355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  <w:t>Как проявляется</w:t>
            </w:r>
          </w:p>
        </w:tc>
        <w:tc>
          <w:tcPr>
            <w:tcW w:type="dxa" w:w="411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4"/>
              </w:rPr>
              <w:t>Обязательный предохранитель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Двойной счёт</w:t>
            </w:r>
          </w:p>
        </w:tc>
        <w:tc>
          <w:tcPr>
            <w:tcW w:type="dxa" w:w="3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один результат заявлен несколькими проектами.</w:t>
            </w:r>
          </w:p>
        </w:tc>
        <w:tc>
          <w:tcPr>
            <w:tcW w:type="dxa" w:w="4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уникальный ID эффекта, границы атрибуции, общий реестр погашения</w:t>
            </w:r>
          </w:p>
        </w:tc>
      </w:tr>
      <w:t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Подмена baseline</w:t>
            </w:r>
          </w:p>
        </w:tc>
        <w:tc>
          <w:tcPr>
            <w:tcW w:type="dxa" w:w="3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исходная точка меняется после результата.</w:t>
            </w:r>
          </w:p>
        </w:tc>
        <w:tc>
          <w:tcPr>
            <w:tcW w:type="dxa" w:w="41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предварительная фиксация и версия методики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Самопроверка</w:t>
            </w:r>
          </w:p>
        </w:tc>
        <w:tc>
          <w:tcPr>
            <w:tcW w:type="dxa" w:w="3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исполнитель подтверждает собственный эффект.</w:t>
            </w:r>
          </w:p>
        </w:tc>
        <w:tc>
          <w:tcPr>
            <w:tcW w:type="dxa" w:w="4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независимый валидатор, ротация и ответственность</w:t>
            </w:r>
          </w:p>
        </w:tc>
      </w:tr>
      <w:t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Захват управления</w:t>
            </w:r>
          </w:p>
        </w:tc>
        <w:tc>
          <w:tcPr>
            <w:tcW w:type="dxa" w:w="3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правила меняются в пользу связанной группы.</w:t>
            </w:r>
          </w:p>
        </w:tc>
        <w:tc>
          <w:tcPr>
            <w:tcW w:type="dxa" w:w="41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публичные протоколы, конфликт интересов, право вето по критическому риску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Скрытая слежка</w:t>
            </w:r>
          </w:p>
        </w:tc>
        <w:tc>
          <w:tcPr>
            <w:tcW w:type="dxa" w:w="3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данные используются вне первоначальной цели.</w:t>
            </w:r>
          </w:p>
        </w:tc>
        <w:tc>
          <w:tcPr>
            <w:tcW w:type="dxa" w:w="4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минимизация, целевое согласие, журнал доступа, санкции</w:t>
            </w:r>
          </w:p>
        </w:tc>
      </w:tr>
      <w:t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Модельный риск</w:t>
            </w:r>
          </w:p>
        </w:tc>
        <w:tc>
          <w:tcPr>
            <w:tcW w:type="dxa" w:w="3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ошибка алгоритма становится массовым решением.</w:t>
            </w:r>
          </w:p>
        </w:tc>
        <w:tc>
          <w:tcPr>
            <w:tcW w:type="dxa" w:w="41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версия модели, тесты дрейфа, ручная остановка, право на объяснение</w:t>
            </w:r>
          </w:p>
        </w:tc>
      </w:tr>
      <w:tr>
        <w:tc>
          <w:tcPr>
            <w:tcW w:type="dxa" w:w="17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Удаление истории</w:t>
            </w:r>
          </w:p>
        </w:tc>
        <w:tc>
          <w:tcPr>
            <w:tcW w:type="dxa" w:w="35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неудобная запись исчезает или переписывается.</w:t>
            </w:r>
          </w:p>
        </w:tc>
        <w:tc>
          <w:tcPr>
            <w:tcW w:type="dxa" w:w="41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неизменяемый журнал и компенсирующие события</w:t>
            </w:r>
          </w:p>
        </w:tc>
      </w:tr>
      <w:t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Перенос ущерба</w:t>
            </w:r>
          </w:p>
        </w:tc>
        <w:tc>
          <w:tcPr>
            <w:tcW w:type="dxa" w:w="3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рост одного баланса создаёт скрытый минус в другом.</w:t>
            </w:r>
          </w:p>
        </w:tc>
        <w:tc>
          <w:tcPr>
            <w:tcW w:type="dxa" w:w="41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4"/>
              </w:rPr>
              <w:t>балансовый вектор 19 контуров и совокупный лимит вреда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CEEEE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A64040"/>
              <w:left w:val="single" w:sz="6" w:color="A64040"/>
              <w:bottom w:val="single" w:sz="6" w:color="A64040"/>
              <w:right w:val="single" w:sz="6" w:color="A64040"/>
            </w:tcBorders>
          </w:tcPr>
          <w:p>
            <w:pPr>
              <w:pStyle w:val="Callout"/>
            </w:pPr>
            <w:r>
              <w:t>Стоп-условие</w:t>
            </w:r>
          </w:p>
          <w:p>
            <w:pPr>
              <w:spacing w:after="0"/>
              <w:jc w:val="left"/>
            </w:pPr>
            <w:r>
              <w:t>Проект не переходит к финальному расчёту, если критический риск не имеет владельца, лимита, источника покрытия и сценария восстановления.</w:t>
            </w:r>
          </w:p>
        </w:tc>
      </w:tr>
    </w:tbl>
    <w:p>
      <w:r>
        <w:br w:type="page"/>
      </w:r>
    </w:p>
    <w:p>
      <w:pPr>
        <w:pStyle w:val="Eyebrow"/>
        <w:keepLines/>
        <w:widowControl/>
        <w:keepNext/>
      </w:pPr>
      <w:r>
        <w:t>18  /  ПИЛОТ</w:t>
      </w:r>
    </w:p>
    <w:p>
      <w:pPr>
        <w:pStyle w:val="Heading1"/>
        <w:keepLines/>
        <w:widowControl/>
        <w:keepNext/>
      </w:pPr>
      <w:r>
        <w:t>Пилот строится вокруг одного реального цикла, а не всей платформы</w:t>
      </w:r>
    </w:p>
    <w:p>
      <w:pPr>
        <w:pStyle w:val="Lead"/>
      </w:pPr>
      <w:r>
        <w:t>Рекомендуемый первый контур: территориальная программа «вода — почва — здоровье» с участием жителей, государства, научных организаций, бизнеса и независимого валидатора. Он одновременно проверяет права, физические показатели, проектное финансирование и доказательный расчёт.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740"/>
        <w:gridCol w:w="3120"/>
      </w:tblGrid>
      <w:tr>
        <w:trPr>
          <w:tblHeader w:val="true"/>
        </w:trPr>
        <w:tc>
          <w:tcPr>
            <w:tcW w:type="dxa" w:w="15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Период</w:t>
            </w:r>
          </w:p>
        </w:tc>
        <w:tc>
          <w:tcPr>
            <w:tcW w:type="dxa" w:w="47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312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5"/>
              </w:rPr>
              <w:t>Критерий перехода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0–30 дней</w:t>
            </w:r>
          </w:p>
        </w:tc>
        <w:tc>
          <w:tcPr>
            <w:tcW w:type="dxa" w:w="47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мандат, границы пилота, словарь объектов, 19 балансов, владельцы и стоп-условия.</w:t>
            </w:r>
          </w:p>
        </w:tc>
        <w:tc>
          <w:tcPr>
            <w:tcW w:type="dxa" w:w="31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утверждены роли, источники данных и правовые основания</w:t>
            </w:r>
          </w:p>
        </w:tc>
      </w:tr>
      <w:t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31–60 дней</w:t>
            </w:r>
          </w:p>
        </w:tc>
        <w:tc>
          <w:tcPr>
            <w:tcW w:type="dxa" w:w="47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паспорт события, шесть регистров, baseline, методика эффекта, модель угроз.</w:t>
            </w:r>
          </w:p>
        </w:tc>
        <w:tc>
          <w:tcPr>
            <w:tcW w:type="dxa" w:w="31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воспроизводимый тест записи и независимая проверка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61–100 дней</w:t>
            </w:r>
          </w:p>
        </w:tc>
        <w:tc>
          <w:tcPr>
            <w:tcW w:type="dxa" w:w="47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цифровой двойник цикла из 13 фаз и заполнение критических ячеек 741.</w:t>
            </w:r>
          </w:p>
        </w:tc>
        <w:tc>
          <w:tcPr>
            <w:tcW w:type="dxa" w:w="31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сквозная трассировка от сигнала до корректировки</w:t>
            </w:r>
          </w:p>
        </w:tc>
      </w:tr>
      <w:t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4–12 месяцев</w:t>
            </w:r>
          </w:p>
        </w:tc>
        <w:tc>
          <w:tcPr>
            <w:tcW w:type="dxa" w:w="47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ограниченный реальный проект с ECO‑PPA и СПЕЦЗАЩИТОЙ.</w:t>
            </w:r>
          </w:p>
        </w:tc>
        <w:tc>
          <w:tcPr>
            <w:tcW w:type="dxa" w:w="31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результат, спор и восстановление проходят контроль</w:t>
            </w:r>
          </w:p>
        </w:tc>
      </w:tr>
      <w:tr>
        <w:tc>
          <w:tcPr>
            <w:tcW w:type="dxa" w:w="15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12–24 месяца</w:t>
            </w:r>
          </w:p>
        </w:tc>
        <w:tc>
          <w:tcPr>
            <w:tcW w:type="dxa" w:w="47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портфель проектов и межрегиональная совместимость.</w:t>
            </w:r>
          </w:p>
        </w:tc>
        <w:tc>
          <w:tcPr>
            <w:tcW w:type="dxa" w:w="31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снижение ручных сверок и отсутствие двойного счёта</w:t>
            </w:r>
          </w:p>
        </w:tc>
      </w:tr>
      <w:t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24–36 месяцев</w:t>
            </w:r>
          </w:p>
        </w:tc>
        <w:tc>
          <w:tcPr>
            <w:tcW w:type="dxa" w:w="47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пакет стандартизации и трансграничный sandbox.</w:t>
            </w:r>
          </w:p>
        </w:tc>
        <w:tc>
          <w:tcPr>
            <w:tcW w:type="dxa" w:w="31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3" w:color="D7E2EA"/>
              <w:left w:val="single" w:sz="3" w:color="D7E2EA"/>
              <w:bottom w:val="single" w:sz="3" w:color="D7E2EA"/>
              <w:right w:val="single" w:sz="3" w:color="D7E2EA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/>
                <w:color w:val="172033"/>
                <w:sz w:val="15"/>
              </w:rPr>
              <w:t>решения регуляторов и независимая оценка устойчивости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AF4F0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2F7D68"/>
              <w:left w:val="single" w:sz="6" w:color="2F7D68"/>
              <w:bottom w:val="single" w:sz="6" w:color="2F7D68"/>
              <w:right w:val="single" w:sz="6" w:color="2F7D68"/>
            </w:tcBorders>
          </w:tcPr>
          <w:p>
            <w:pPr>
              <w:pStyle w:val="Callout"/>
            </w:pPr>
            <w:r>
              <w:t>Критерий успеха первых 100 дней</w:t>
            </w:r>
          </w:p>
          <w:p>
            <w:pPr>
              <w:spacing w:after="0"/>
              <w:jc w:val="left"/>
            </w:pPr>
            <w:r>
              <w:t>Не количество функций, а один воспроизводимый маршрут: событие → полномочие → ресурс → действие → доказательство → изменение балансов → расчёт → корректировка.</w:t>
            </w:r>
          </w:p>
        </w:tc>
      </w:tr>
    </w:tbl>
    <w:p>
      <w:r>
        <w:br w:type="page"/>
      </w:r>
    </w:p>
    <w:p>
      <w:pPr>
        <w:pStyle w:val="Eyebrow"/>
        <w:keepLines/>
        <w:widowControl/>
        <w:keepNext/>
      </w:pPr>
      <w:r>
        <w:t>19  /  РЕШЕНИЕ</w:t>
      </w:r>
    </w:p>
    <w:p>
      <w:pPr>
        <w:pStyle w:val="Heading1"/>
        <w:keepLines/>
        <w:widowControl/>
        <w:keepNext/>
      </w:pPr>
      <w:r>
        <w:t>Первое решение запускает стандарт, пилот и независимую проверку</w:t>
      </w:r>
    </w:p>
    <w:p>
      <w:pPr>
        <w:pStyle w:val="Lead"/>
      </w:pPr>
      <w:r>
        <w:t>Для старта необходимо утвердить пакет из восьми документов:</w:t>
      </w:r>
    </w:p>
    <w:p>
      <w:pPr>
        <w:spacing w:after="80" w:line="290" w:lineRule="auto"/>
        <w:jc w:val="left"/>
        <w:numPr>
          <w:ilvl w:val="0"/>
          <w:numId w:val="42"/>
        </w:numPr>
      </w:pPr>
      <w:r>
        <w:t>Доктрина Счётной системы: цель, ценности, пределы допустимого и права участника.</w:t>
      </w:r>
    </w:p>
    <w:p>
      <w:pPr>
        <w:spacing w:after="80" w:line="290" w:lineRule="auto"/>
        <w:jc w:val="left"/>
        <w:numPr>
          <w:ilvl w:val="0"/>
          <w:numId w:val="42"/>
        </w:numPr>
      </w:pPr>
      <w:r>
        <w:t>Словарь объектов, событий, 19 балансов, 13 фаз и статусов матрицы 741.</w:t>
      </w:r>
    </w:p>
    <w:p>
      <w:pPr>
        <w:spacing w:after="80" w:line="290" w:lineRule="auto"/>
        <w:jc w:val="left"/>
        <w:numPr>
          <w:ilvl w:val="0"/>
          <w:numId w:val="42"/>
        </w:numPr>
      </w:pPr>
      <w:r>
        <w:t>Модель полномочий и разделения ролей между СФЕРОЙ, ЭКВИЛИБРИУМОМ, ИАЦ, ECO‑PPA, СПЕЦЗАЩИТОЙ и ESG‑IR.</w:t>
      </w:r>
    </w:p>
    <w:p>
      <w:pPr>
        <w:spacing w:after="80" w:line="290" w:lineRule="auto"/>
        <w:jc w:val="left"/>
        <w:numPr>
          <w:ilvl w:val="0"/>
          <w:numId w:val="42"/>
        </w:numPr>
      </w:pPr>
      <w:r>
        <w:t>Паспорт универсального события и схема шести связанных регистров.</w:t>
      </w:r>
    </w:p>
    <w:p>
      <w:pPr>
        <w:spacing w:after="80" w:line="290" w:lineRule="auto"/>
        <w:jc w:val="left"/>
        <w:numPr>
          <w:ilvl w:val="0"/>
          <w:numId w:val="42"/>
        </w:numPr>
      </w:pPr>
      <w:r>
        <w:t>Правила доказательности, версии методик, независимой верификации и корректирующих записей.</w:t>
      </w:r>
    </w:p>
    <w:p>
      <w:pPr>
        <w:spacing w:after="80" w:line="290" w:lineRule="auto"/>
        <w:jc w:val="left"/>
        <w:numPr>
          <w:ilvl w:val="0"/>
          <w:numId w:val="42"/>
        </w:numPr>
      </w:pPr>
      <w:r>
        <w:t>Архитектура данных, приватности, киберустойчивости, архивного хранения и интеграций.</w:t>
      </w:r>
    </w:p>
    <w:p>
      <w:pPr>
        <w:spacing w:after="80" w:line="290" w:lineRule="auto"/>
        <w:jc w:val="left"/>
        <w:numPr>
          <w:ilvl w:val="0"/>
          <w:numId w:val="42"/>
        </w:numPr>
      </w:pPr>
      <w:r>
        <w:t>Мандат 100-дневного пилота: территория, бюджет, владельцы рисков, KPI и стоп-условия.</w:t>
      </w:r>
    </w:p>
    <w:p>
      <w:pPr>
        <w:spacing w:after="80" w:line="290" w:lineRule="auto"/>
        <w:jc w:val="left"/>
        <w:numPr>
          <w:ilvl w:val="0"/>
          <w:numId w:val="42"/>
        </w:numPr>
      </w:pPr>
      <w:r>
        <w:t>Положение о независимой юридической, метрологической, технической, этической и общественной экспертизе.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AF5FB"/>
            <w:tcMar>
              <w:top w:w="120" w:type="dxa"/>
              <w:start w:w="180" w:type="dxa"/>
              <w:bottom w:w="120" w:type="dxa"/>
              <w:end w:w="180" w:type="dxa"/>
            </w:tcMar>
            <w:tcBorders>
              <w:top w:val="single" w:sz="6" w:color="59BDE7"/>
              <w:left w:val="single" w:sz="6" w:color="59BDE7"/>
              <w:bottom w:val="single" w:sz="6" w:color="59BDE7"/>
              <w:right w:val="single" w:sz="6" w:color="59BDE7"/>
            </w:tcBorders>
          </w:tcPr>
          <w:p>
            <w:pPr>
              <w:pStyle w:val="Callout"/>
            </w:pPr>
            <w:r>
              <w:t>Итоговая формула</w:t>
            </w:r>
          </w:p>
          <w:p>
            <w:pPr>
              <w:spacing w:after="0"/>
              <w:jc w:val="left"/>
            </w:pPr>
            <w:r>
              <w:t>Смысл → право → ресурс → обязательство → решение → действие → доказанный результат → расчёт → корректировка. Система считается рабочей, когда эту цепочку можно восстановить, проверить и оспорить на каждом масштабе.</w:t>
            </w:r>
          </w:p>
        </w:tc>
      </w:tr>
    </w:tbl>
    <w:p>
      <w:pPr>
        <w:pStyle w:val="Source"/>
      </w:pPr>
      <w:r>
        <w:t>Концепция: Сергей Леонидович Соколов • ЭКВИЛИБРИУМ • редакция 1.0 • август 2026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E6878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jc w:val="left"/>
    </w:pPr>
    <w:r>
      <w:t>ЭКВИЛИБРИУМ  /  СЧЁТНАЯ СИСТЕМА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41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80"/>
        <w:spacing w:after="80" w:line="290" w:lineRule="auto"/>
      </w:pPr>
      <w:rPr>
        <w:color w:val="2E74B5"/>
      </w:rPr>
    </w:lvl>
  </w:abstractNum>
  <w:num w:numId="41">
    <w:abstractNumId w:val="41"/>
  </w:num>
  <w:abstractNum w:abstractNumId="42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80"/>
        <w:spacing w:after="80" w:line="290" w:lineRule="auto"/>
      </w:pPr>
      <w:rPr>
        <w:color w:val="2E74B5"/>
      </w:rPr>
    </w:lvl>
  </w:abstractNum>
  <w:num w:numId="4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both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jc w:val="left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80" w:line="276" w:lineRule="auto" w:before="0"/>
      <w:contextualSpacing/>
      <w:jc w:val="left"/>
    </w:pPr>
    <w:rPr>
      <w:rFonts w:asciiTheme="majorHAnsi" w:eastAsiaTheme="majorEastAsia" w:hAnsiTheme="majorHAnsi" w:cstheme="majorBidi" w:ascii="Calibri" w:hAnsi="Calibri"/>
      <w:b/>
      <w:i w:val="0"/>
      <w:color w:val="17365D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 w:line="276" w:lineRule="auto"/>
      <w:jc w:val="left"/>
    </w:pPr>
    <w:rPr>
      <w:rFonts w:asciiTheme="majorHAnsi" w:eastAsiaTheme="majorEastAsia" w:hAnsiTheme="majorHAnsi" w:cstheme="majorBidi" w:ascii="Calibri" w:hAnsi="Calibri"/>
      <w:b w:val="0"/>
      <w:i w:val="0"/>
      <w:iCs/>
      <w:color w:val="5E687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spacing w:after="120" w:line="276" w:lineRule="auto"/>
      <w:jc w:val="left"/>
    </w:pPr>
    <w:rPr>
      <w:rFonts w:ascii="Calibri" w:hAnsi="Calibri"/>
      <w:b/>
      <w:i w:val="0"/>
      <w:color w:val="2E74B5"/>
      <w:sz w:val="18"/>
    </w:rPr>
  </w:style>
  <w:style w:type="paragraph" w:customStyle="1" w:styleId="Lead">
    <w:name w:val="Lead"/>
    <w:pPr>
      <w:spacing w:after="120" w:line="276" w:lineRule="auto"/>
      <w:jc w:val="left"/>
    </w:pPr>
    <w:rPr>
      <w:rFonts w:ascii="Calibri" w:hAnsi="Calibri"/>
      <w:b w:val="0"/>
      <w:i w:val="0"/>
      <w:color w:val="172033"/>
      <w:sz w:val="26"/>
    </w:rPr>
  </w:style>
  <w:style w:type="paragraph" w:customStyle="1" w:styleId="Callout">
    <w:name w:val="Callout"/>
    <w:pPr>
      <w:spacing w:after="120" w:line="276" w:lineRule="auto"/>
      <w:jc w:val="left"/>
    </w:pPr>
    <w:rPr>
      <w:rFonts w:ascii="Calibri" w:hAnsi="Calibri"/>
      <w:b/>
      <w:i w:val="0"/>
      <w:color w:val="17365D"/>
      <w:sz w:val="22"/>
    </w:rPr>
  </w:style>
  <w:style w:type="paragraph" w:customStyle="1" w:styleId="Small">
    <w:name w:val="Small"/>
    <w:pPr>
      <w:spacing w:after="120" w:line="276" w:lineRule="auto"/>
      <w:jc w:val="left"/>
    </w:pPr>
    <w:rPr>
      <w:rFonts w:ascii="Calibri" w:hAnsi="Calibri"/>
      <w:b w:val="0"/>
      <w:i w:val="0"/>
      <w:color w:val="5E6878"/>
      <w:sz w:val="17"/>
    </w:rPr>
  </w:style>
  <w:style w:type="paragraph" w:customStyle="1" w:styleId="Source">
    <w:name w:val="Source"/>
    <w:pPr>
      <w:spacing w:after="120" w:line="276" w:lineRule="auto"/>
      <w:jc w:val="left"/>
    </w:pPr>
    <w:rPr>
      <w:rFonts w:ascii="Calibri" w:hAnsi="Calibri"/>
      <w:b w:val="0"/>
      <w:i w:val="0"/>
      <w:color w:val="5E6878"/>
      <w:sz w:val="16"/>
    </w:rPr>
  </w:style>
  <w:style w:type="paragraph" w:customStyle="1" w:styleId="Register">
    <w:name w:val="Register"/>
    <w:pPr>
      <w:keepNext/>
      <w:spacing w:before="160" w:after="80"/>
      <w:jc w:val="left"/>
    </w:pPr>
    <w:rPr>
      <w:rFonts w:ascii="Calibri" w:hAnsi="Calibri"/>
      <w:b/>
      <w:color w:val="1F4D78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Счётная система ЭКВИЛИБРИУМ</dc:title>
  <dc:subject>Архитектура учёта прав, ресурсов, обязательств, действий и доказанных результатов</dc:subject>
  <dc:creator>Сергей Леонидович Соколов</dc:creator>
  <cp:keywords>ЭКВИЛИБРИУМ, Счётная книга, 19 балансов, 13 фаз, 741, ECO-PPA, СПЕЦЗАЩИТА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