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20" w:after="360"/>
        <w:jc w:val="center"/>
      </w:pPr>
      <w:r>
        <w:rPr>
          <w:rFonts w:ascii="Aptos" w:hAnsi="Aptos"/>
          <w:b/>
          <w:color w:val="2E74B5"/>
          <w:sz w:val="20"/>
        </w:rPr>
        <w:t>ЭКВИЛИБРИУМ · КНИГА КИНОВ</w:t>
      </w:r>
    </w:p>
    <w:p>
      <w:pPr>
        <w:pStyle w:val="Title"/>
        <w:jc w:val="center"/>
      </w:pPr>
      <w:r>
        <w:t>СЧЁТНАЯ КНИГА</w:t>
      </w:r>
    </w:p>
    <w:p>
      <w:pPr>
        <w:pStyle w:val="Subtitle"/>
        <w:jc w:val="center"/>
      </w:pPr>
      <w:r>
        <w:rPr>
          <w:rFonts w:ascii="Aptos" w:hAnsi="Aptos"/>
          <w:color w:val="2E74B5"/>
          <w:sz w:val="34"/>
        </w:rPr>
        <w:t>Архетипы · Циклы · Реестр 260 кинов</w:t>
      </w:r>
    </w:p>
    <w:p>
      <w:pPr>
        <w:spacing w:before="400"/>
        <w:jc w:val="center"/>
      </w:pPr>
      <w:r>
        <w:rPr>
          <w:rFonts w:ascii="Aptos" w:hAnsi="Aptos"/>
          <w:b/>
          <w:color w:val="0B2545"/>
          <w:sz w:val="24"/>
        </w:rPr>
        <w:t>20 архетипов × 13 тонов = 260 уникальных координат смысла и времени</w:t>
      </w:r>
    </w:p>
    <w:p>
      <w:pPr>
        <w:spacing w:before="2400"/>
        <w:jc w:val="center"/>
      </w:pPr>
      <w:r>
        <w:rPr>
          <w:rFonts w:ascii="Aptos" w:hAnsi="Aptos"/>
          <w:color w:val="5C6773"/>
          <w:sz w:val="21"/>
        </w:rPr>
        <w:t>Концепция: Сергей Леонидович Соколов</w:t>
        <w:br/>
        <w:t>Редакция 1.0 · 2026</w:t>
      </w:r>
    </w:p>
    <w:p>
      <w:r>
        <w:br w:type="page"/>
      </w:r>
    </w:p>
    <w:p>
      <w:pPr>
        <w:pStyle w:val="Heading1"/>
      </w:pPr>
      <w:r>
        <w:t>1. Назначение Счётной книги</w:t>
      </w:r>
    </w:p>
    <w:p>
      <w:pPr>
        <w:spacing w:before="80" w:after="160"/>
        <w:ind w:left="173" w:right="173"/>
        <w:shd w:fill="DDF3FC"/>
        <w:pBdr>
          <w:left w:val="single" w:sz="18" w:space="8" w:color="2E74B5"/>
        </w:pBdr>
      </w:pPr>
      <w:r>
        <w:rPr>
          <w:rFonts w:ascii="Aptos" w:hAnsi="Aptos"/>
          <w:b/>
          <w:color w:val="2E74B5"/>
          <w:sz w:val="18"/>
        </w:rPr>
        <w:t>ГЛАВНОЕ ОПРЕДЕЛЕНИЕ</w:t>
        <w:br/>
      </w:r>
      <w:r>
        <w:rPr>
          <w:rFonts w:ascii="Aptos" w:hAnsi="Aptos"/>
          <w:b/>
          <w:color w:val="0B2545"/>
          <w:sz w:val="22"/>
        </w:rPr>
        <w:t>Счётная книга — это реестр движения времени, смыслов, решений, ресурсов, действий и доказанных результатов.</w:t>
      </w:r>
    </w:p>
    <w:p>
      <w:pPr/>
      <w:r>
        <w:rPr>
          <w:rFonts w:ascii="Aptos" w:hAnsi="Aptos"/>
          <w:color w:val="111111"/>
        </w:rPr>
        <w:t>Единицей учёта является кин — уникальная координата, возникающая из сочетания одного архетипа и одного тона цикла. Архетип отвечает на вопрос «какая функция проявляется?», тон — «как и на какой стадии она проявляется?».</w:t>
      </w:r>
    </w:p>
    <w:p>
      <w:pPr/>
      <w:r>
        <w:rPr>
          <w:rFonts w:ascii="Aptos" w:hAnsi="Aptos"/>
          <w:color w:val="111111"/>
        </w:rPr>
        <w:t>Прикладная задача книги — превратить символическую матрицу 13×20 в проверяемый язык наблюдения, проектирования, исполнения и обратной связи для Человека, сообщества, природы, организации и государства.</w:t>
      </w:r>
    </w:p>
    <w:p>
      <w:pPr/>
      <w:r>
        <w:rPr>
          <w:rFonts w:ascii="Aptos" w:hAnsi="Aptos"/>
          <w:color w:val="111111"/>
        </w:rPr>
        <w:t>Статус методики. Термины 20 солнечных печатей и 13 галактических тонов заимствованы из системы Dreamspell/13:20. Их интеграция с ЭКВИЛИБРИУМ, SUR‑810, КРИСТАЛЛОМ 741 и ESG‑IR 1.0 является авторской прикладной моделью. Документ не подменяет научную историю календарей майя и не заявляет сам по себе причинно‑следственных физических эффектов.</w:t>
      </w:r>
    </w:p>
    <w:p>
      <w:pPr>
        <w:pStyle w:val="Heading1"/>
      </w:pPr>
      <w:r>
        <w:t>2. Базовая архитектура 13×20</w:t>
      </w:r>
    </w:p>
    <w:p>
      <w:pPr>
        <w:spacing w:before="80" w:after="160"/>
        <w:ind w:left="173" w:right="173"/>
        <w:shd w:fill="DDF3FC"/>
        <w:pBdr>
          <w:left w:val="single" w:sz="18" w:space="8" w:color="2E74B5"/>
        </w:pBdr>
      </w:pPr>
      <w:r>
        <w:rPr>
          <w:rFonts w:ascii="Aptos" w:hAnsi="Aptos"/>
          <w:b/>
          <w:color w:val="2E74B5"/>
          <w:sz w:val="18"/>
        </w:rPr>
        <w:t>ФОРМУЛА</w:t>
        <w:br/>
      </w:r>
      <w:r>
        <w:rPr>
          <w:rFonts w:ascii="Aptos" w:hAnsi="Aptos"/>
          <w:b/>
          <w:color w:val="0B2545"/>
          <w:sz w:val="22"/>
        </w:rPr>
        <w:t>КИН = АРХЕТИП × ТОН ЦИКЛА; 20 × 13 = 260.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1500"/>
        <w:gridCol w:w="6060"/>
      </w:tblGrid>
      <w:tr>
        <w:trPr>
          <w:tblHeader w:val="true"/>
        </w:trPr>
        <w:tc>
          <w:tcPr>
            <w:tcW w:type="dxa" w:w="18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9"/>
              </w:rPr>
              <w:t>Уровень</w:t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9"/>
              </w:rPr>
              <w:t>Размер</w:t>
            </w:r>
          </w:p>
        </w:tc>
        <w:tc>
          <w:tcPr>
            <w:tcW w:type="dxa" w:w="60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9"/>
              </w:rPr>
              <w:t>Функция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Архетип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20</w:t>
            </w:r>
          </w:p>
        </w:tc>
        <w:tc>
          <w:tcPr>
            <w:tcW w:type="dxa" w:w="6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Качественная функция: что проявляется.</w:t>
            </w:r>
          </w:p>
        </w:tc>
      </w:tr>
      <w:tr>
        <w:trPr/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Тон</w:t>
            </w:r>
          </w:p>
        </w:tc>
        <w:tc>
          <w:tcPr>
            <w:tcW w:type="dxa" w:w="15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13</w:t>
            </w:r>
          </w:p>
        </w:tc>
        <w:tc>
          <w:tcPr>
            <w:tcW w:type="dxa" w:w="60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Ритм и стадия: как проявляется.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Кин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260</w:t>
            </w:r>
          </w:p>
        </w:tc>
        <w:tc>
          <w:tcPr>
            <w:tcW w:type="dxa" w:w="6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Уникальная пара «архетип + тон».</w:t>
            </w:r>
          </w:p>
        </w:tc>
      </w:tr>
      <w:tr>
        <w:trPr/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Волна</w:t>
            </w:r>
          </w:p>
        </w:tc>
        <w:tc>
          <w:tcPr>
            <w:tcW w:type="dxa" w:w="15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13 кинов</w:t>
            </w:r>
          </w:p>
        </w:tc>
        <w:tc>
          <w:tcPr>
            <w:tcW w:type="dxa" w:w="60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Полный цикл от цели до присутствия.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Замок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52 кина</w:t>
            </w:r>
          </w:p>
        </w:tc>
        <w:tc>
          <w:tcPr>
            <w:tcW w:type="dxa" w:w="6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Четыре волны; укрупнённый цикл.</w:t>
            </w:r>
          </w:p>
        </w:tc>
      </w:tr>
      <w:tr>
        <w:trPr/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Оборот</w:t>
            </w:r>
          </w:p>
        </w:tc>
        <w:tc>
          <w:tcPr>
            <w:tcW w:type="dxa" w:w="15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260 кинов</w:t>
            </w:r>
          </w:p>
        </w:tc>
        <w:tc>
          <w:tcPr>
            <w:tcW w:type="dxa" w:w="60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9"/>
              </w:rPr>
              <w:t>Пять замков; полное прохождение матрицы.</w:t>
            </w:r>
          </w:p>
        </w:tc>
      </w:tr>
    </w:tbl>
    <w:p>
      <w:pPr>
        <w:spacing w:after="80"/>
      </w:pPr>
    </w:p>
    <w:p>
      <w:pPr/>
      <w:r>
        <w:rPr>
          <w:rFonts w:ascii="Aptos" w:hAnsi="Aptos"/>
          <w:color w:val="111111"/>
        </w:rPr>
        <w:t>Номер кина задаёт две циклические координаты: индекс архетипа = ((K−1) mod 20)+1; индекс тона = ((K−1) mod 13)+1. Поскольку числа 13 и 20 взаимно просты, полный оборот из 260 шагов охватывает все возможные сочетания без повторения пары.</w:t>
      </w:r>
    </w:p>
    <w:p>
      <w:pPr>
        <w:pStyle w:val="Heading1"/>
      </w:pPr>
      <w:r>
        <w:t>3. Двадцать архетипов</w:t>
      </w:r>
    </w:p>
    <w:p>
      <w:pPr/>
      <w:r>
        <w:rPr>
          <w:rFonts w:ascii="Aptos" w:hAnsi="Aptos"/>
          <w:color w:val="111111"/>
        </w:rPr>
        <w:t>Архетипы образуют словарь качественных функций. Для Счётной книги каждый образ получает не только символический смысл, но и операционный вопрос, позволяющий перевести образ в наблюдаемое решение.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540"/>
        <w:gridCol w:w="2220"/>
        <w:gridCol w:w="2580"/>
        <w:gridCol w:w="4020"/>
      </w:tblGrid>
      <w:tr>
        <w:trPr>
          <w:tblHeader w:val="true"/>
        </w:trPr>
        <w:tc>
          <w:tcPr>
            <w:tcW w:type="dxa" w:w="54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№</w:t>
            </w:r>
          </w:p>
        </w:tc>
        <w:tc>
          <w:tcPr>
            <w:tcW w:type="dxa" w:w="22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Архетип</w:t>
            </w:r>
          </w:p>
        </w:tc>
        <w:tc>
          <w:tcPr>
            <w:tcW w:type="dxa" w:w="25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Ядро смысла</w:t>
            </w:r>
          </w:p>
        </w:tc>
        <w:tc>
          <w:tcPr>
            <w:tcW w:type="dxa" w:w="40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Учётный вопрос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Красный Дракон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Рождение, бытие, забота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должно родиться и получить жизненную основу?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2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Белый Ветер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Дух, дыхание, коммуникация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Какое сообщение должно быть передано и услышано?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3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Синяя Ночь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Внутренняя глубина, интуиция, изобилие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Какой скрытый ресурс необходимо распознать?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4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Жёлтое Семя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Замысел, цель, раскрытие потенциала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Какой потенциал должен прорасти в измеримый результат?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5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Красный Змей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Жизненная сила, инстинкт, сохранение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Какая энергия поддерживает устойчивость системы?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6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Белый Соединитель миров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Переход, равенство, освобождение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следует завершить, чтобы соединить разделённые контуры?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7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Синяя Рука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Знание, исцеление, завершение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Какое действие превращает знание в восстановление?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8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Жёлтая Звезда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Красота, искусство, гармония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согласовать качество, форму и культуру результата?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9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Красная Луна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Очищение, вода, течение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очистить поток и восстановить его естественное движение?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10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Белая Собака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Сердце, любовь, верность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сохраняет доверие и человеческую связанность?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Архетипы 11–20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540"/>
        <w:gridCol w:w="2220"/>
        <w:gridCol w:w="2580"/>
        <w:gridCol w:w="4020"/>
      </w:tblGrid>
      <w:tr>
        <w:trPr>
          <w:tblHeader w:val="true"/>
        </w:trPr>
        <w:tc>
          <w:tcPr>
            <w:tcW w:type="dxa" w:w="54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№</w:t>
            </w:r>
          </w:p>
        </w:tc>
        <w:tc>
          <w:tcPr>
            <w:tcW w:type="dxa" w:w="22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Архетип</w:t>
            </w:r>
          </w:p>
        </w:tc>
        <w:tc>
          <w:tcPr>
            <w:tcW w:type="dxa" w:w="25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Ядро смысла</w:t>
            </w:r>
          </w:p>
        </w:tc>
        <w:tc>
          <w:tcPr>
            <w:tcW w:type="dxa" w:w="40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Учётный вопрос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11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Синяя Обезьяна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Игра, творчество, преодоление иллюзий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Какая новая возможность открывается через творческий ход?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12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Жёлтый Человек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Свободная воля, мудрость, влияние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Какое ответственное решение принимает человек?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13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Красный Небесный странник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Пространство, исследование, пробуждение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Какие границы необходимо исследовать или расширить?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14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Белый Волшебник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Вневременность, восприимчивость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становится возможным при полном присутствии?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15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Синий Орёл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Видение, разум, образ будущего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выглядит целостная картина будущего?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16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Жёлтый Воин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Разумность, бесстрашие, вопрос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Какой точный вопрос снимает неопределённость?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17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Красная Земля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Навигация, синхронность, эволюция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согласовать действие с реальным ритмом среды?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18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Белое Зеркало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Порядок, отражение, бесконечность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показывает объективная обратная связь?</w:t>
            </w:r>
          </w:p>
        </w:tc>
      </w:tr>
      <w:tr>
        <w:trPr/>
        <w:tc>
          <w:tcPr>
            <w:tcW w:type="dxa" w:w="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19</w:t>
            </w:r>
          </w:p>
        </w:tc>
        <w:tc>
          <w:tcPr>
            <w:tcW w:type="dxa" w:w="2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Синяя Буря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Преобразование, энергия, самообновление</w:t>
            </w:r>
          </w:p>
        </w:tc>
        <w:tc>
          <w:tcPr>
            <w:tcW w:type="dxa" w:w="4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Какой импульс запускает системное обновление?</w:t>
            </w:r>
          </w:p>
        </w:tc>
      </w:tr>
      <w:tr>
        <w:trPr/>
        <w:tc>
          <w:tcPr>
            <w:tcW w:type="dxa" w:w="5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20</w:t>
            </w:r>
          </w:p>
        </w:tc>
        <w:tc>
          <w:tcPr>
            <w:tcW w:type="dxa" w:w="22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Жёлтое Солнце</w:t>
            </w:r>
          </w:p>
        </w:tc>
        <w:tc>
          <w:tcPr>
            <w:tcW w:type="dxa" w:w="25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Жизнь, ясность, универсальный огонь</w:t>
            </w:r>
          </w:p>
        </w:tc>
        <w:tc>
          <w:tcPr>
            <w:tcW w:type="dxa" w:w="4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результат служит целому и усиливает жизнь?</w:t>
            </w:r>
          </w:p>
        </w:tc>
      </w:tr>
    </w:tbl>
    <w:p>
      <w:pPr>
        <w:spacing w:after="80"/>
      </w:pPr>
    </w:p>
    <w:p>
      <w:pPr>
        <w:pStyle w:val="Heading1"/>
        <w:pageBreakBefore/>
      </w:pPr>
      <w:r>
        <w:t>4. Тринадцать тонов цикла</w:t>
      </w:r>
    </w:p>
    <w:p>
      <w:pPr/>
      <w:r>
        <w:rPr>
          <w:rFonts w:ascii="Aptos" w:hAnsi="Aptos"/>
          <w:color w:val="111111"/>
        </w:rPr>
        <w:t>Тоны задают последовательность развёртывания процесса: от цели и вызова — через форму, настройку и проявление — к освобождению, сотрудничеству и завершённому присутствию.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80"/>
        <w:gridCol w:w="1650"/>
        <w:gridCol w:w="1680"/>
        <w:gridCol w:w="2100"/>
        <w:gridCol w:w="3450"/>
      </w:tblGrid>
      <w:tr>
        <w:trPr>
          <w:tblHeader w:val="true"/>
        </w:trPr>
        <w:tc>
          <w:tcPr>
            <w:tcW w:type="dxa" w:w="4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№</w:t>
            </w:r>
          </w:p>
        </w:tc>
        <w:tc>
          <w:tcPr>
            <w:tcW w:type="dxa" w:w="16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Тон</w:t>
            </w:r>
          </w:p>
        </w:tc>
        <w:tc>
          <w:tcPr>
            <w:tcW w:type="dxa" w:w="16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Сущность</w:t>
            </w:r>
          </w:p>
        </w:tc>
        <w:tc>
          <w:tcPr>
            <w:tcW w:type="dxa" w:w="21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Действие</w:t>
            </w:r>
          </w:p>
        </w:tc>
        <w:tc>
          <w:tcPr>
            <w:tcW w:type="dxa" w:w="3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Учётный вопрос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Магнитный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Цель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Объединять / притягивать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является центром притяжения цикла?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2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Лунный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Вызов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Поляризовать / стабилизировать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Какое противоречие требует равновесия?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3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Электрический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Служение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Активировать / связывать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Кого и что необходимо включить в действие?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4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Самосущный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Форма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Определять / измерять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Какова точная форма и мера результата?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5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Обертонный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Сила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Наделять силой / управлять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Какая способность обеспечивает проявление?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6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Ритмический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Равенство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Организовывать / балансировать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распределить роли, время и ресурсы?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7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Резонансный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Настройка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Проводить / вдохновлять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На какую частоту и источник необходимо настроиться?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Тоны 8–13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80"/>
        <w:gridCol w:w="1650"/>
        <w:gridCol w:w="1680"/>
        <w:gridCol w:w="2100"/>
        <w:gridCol w:w="3450"/>
      </w:tblGrid>
      <w:tr>
        <w:trPr>
          <w:tblHeader w:val="true"/>
        </w:trPr>
        <w:tc>
          <w:tcPr>
            <w:tcW w:type="dxa" w:w="4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№</w:t>
            </w:r>
          </w:p>
        </w:tc>
        <w:tc>
          <w:tcPr>
            <w:tcW w:type="dxa" w:w="16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Тон</w:t>
            </w:r>
          </w:p>
        </w:tc>
        <w:tc>
          <w:tcPr>
            <w:tcW w:type="dxa" w:w="168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Сущность</w:t>
            </w:r>
          </w:p>
        </w:tc>
        <w:tc>
          <w:tcPr>
            <w:tcW w:type="dxa" w:w="21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Действие</w:t>
            </w:r>
          </w:p>
        </w:tc>
        <w:tc>
          <w:tcPr>
            <w:tcW w:type="dxa" w:w="3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Учётный вопрос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8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Галактический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Целостность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Гармонизировать / моделировать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Соответствует ли действие принятому принципу?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9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Солнечный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Намерение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Пульсировать / реализовывать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Какое намерение направляет энергию?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10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Планетарный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Проявление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Совершенствовать / производить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Какой доказуемый результат создан?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11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Спектральный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Освобождение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Растворять / отпускать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следует убрать как утратившее функцию?</w:t>
            </w:r>
          </w:p>
        </w:tc>
      </w:tr>
      <w:tr>
        <w:trPr/>
        <w:tc>
          <w:tcPr>
            <w:tcW w:type="dxa" w:w="4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12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Кристаллический</w:t>
            </w:r>
          </w:p>
        </w:tc>
        <w:tc>
          <w:tcPr>
            <w:tcW w:type="dxa" w:w="1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Сотрудничество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Посвящать / объединять</w:t>
            </w:r>
          </w:p>
        </w:tc>
        <w:tc>
          <w:tcPr>
            <w:tcW w:type="dxa" w:w="3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Как результат становится общим достоянием?</w:t>
            </w:r>
          </w:p>
        </w:tc>
      </w:tr>
      <w:tr>
        <w:trPr/>
        <w:tc>
          <w:tcPr>
            <w:tcW w:type="dxa" w:w="4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13</w:t>
            </w:r>
          </w:p>
        </w:tc>
        <w:tc>
          <w:tcPr>
            <w:tcW w:type="dxa" w:w="16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Космический</w:t>
            </w:r>
          </w:p>
        </w:tc>
        <w:tc>
          <w:tcPr>
            <w:tcW w:type="dxa" w:w="168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Присутствие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Сохранять / превосходить</w:t>
            </w:r>
          </w:p>
        </w:tc>
        <w:tc>
          <w:tcPr>
            <w:tcW w:type="dxa" w:w="3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Что завершено и переносится в следующий цикл?</w:t>
            </w:r>
          </w:p>
        </w:tc>
      </w:tr>
    </w:tbl>
    <w:p>
      <w:pPr>
        <w:spacing w:after="80"/>
      </w:pPr>
    </w:p>
    <w:p>
      <w:pPr>
        <w:pStyle w:val="Heading1"/>
      </w:pPr>
      <w:r>
        <w:t>5. Иерархия циклов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00"/>
        <w:gridCol w:w="1800"/>
        <w:gridCol w:w="5460"/>
      </w:tblGrid>
      <w:tr>
        <w:trPr>
          <w:tblHeader w:val="true"/>
        </w:trPr>
        <w:tc>
          <w:tcPr>
            <w:tcW w:type="dxa" w:w="21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Цикл</w:t>
            </w:r>
          </w:p>
        </w:tc>
        <w:tc>
          <w:tcPr>
            <w:tcW w:type="dxa" w:w="18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Размер</w:t>
            </w:r>
          </w:p>
        </w:tc>
        <w:tc>
          <w:tcPr>
            <w:tcW w:type="dxa" w:w="54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Назначение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Кин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Одна координата состояния и действия.</w:t>
            </w:r>
          </w:p>
        </w:tc>
      </w:tr>
      <w:tr>
        <w:trPr/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Гармоника</w:t>
            </w:r>
          </w:p>
        </w:tc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4 кина</w:t>
            </w:r>
          </w:p>
        </w:tc>
        <w:tc>
          <w:tcPr>
            <w:tcW w:type="dxa" w:w="54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Минимальный блок из четырёх последовательных записей.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Волна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13 кинов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Один полный цикл тонов.</w:t>
            </w:r>
          </w:p>
        </w:tc>
      </w:tr>
      <w:tr>
        <w:trPr/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Замок</w:t>
            </w:r>
          </w:p>
        </w:tc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52 кина</w:t>
            </w:r>
          </w:p>
        </w:tc>
        <w:tc>
          <w:tcPr>
            <w:tcW w:type="dxa" w:w="54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Четыре волны.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Полный оборот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260 кинов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Пять замков; все сочетания печатей и тонов.</w:t>
            </w:r>
          </w:p>
        </w:tc>
      </w:tr>
      <w:tr>
        <w:trPr/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Большой синхронный круг</w:t>
            </w:r>
          </w:p>
        </w:tc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18 980 дней</w:t>
            </w:r>
          </w:p>
        </w:tc>
        <w:tc>
          <w:tcPr>
            <w:tcW w:type="dxa" w:w="54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Сочетание циклов 260 и 365 дней; 52 солнечных года.</w:t>
            </w:r>
          </w:p>
        </w:tc>
      </w:tr>
    </w:tbl>
    <w:p>
      <w:pPr>
        <w:spacing w:after="80"/>
      </w:pPr>
    </w:p>
    <w:p>
      <w:pPr/>
      <w:r>
        <w:rPr>
          <w:rFonts w:ascii="Aptos" w:hAnsi="Aptos"/>
          <w:color w:val="111111"/>
        </w:rPr>
        <w:t>Счёт ведётся последовательно. Завершение 13‑й позиции не означает остановку: итог фиксируется как новое исходное состояние, после чего открывается следующий цикл.</w:t>
      </w:r>
    </w:p>
    <w:p>
      <w:pPr>
        <w:pStyle w:val="Heading1"/>
      </w:pPr>
      <w:r>
        <w:t>6. Учётная карточка кина</w:t>
      </w:r>
    </w:p>
    <w:p>
      <w:pPr/>
      <w:r>
        <w:rPr>
          <w:rFonts w:ascii="Aptos" w:hAnsi="Aptos"/>
          <w:color w:val="111111"/>
        </w:rPr>
        <w:t>Карточка соединяет смысловую координату с доказательным контуром. Она должна быть одинаково пригодна для личного наблюдения, проектного офиса, территориального пилота и межведомственной системы.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60"/>
        <w:gridCol w:w="2250"/>
        <w:gridCol w:w="6450"/>
      </w:tblGrid>
      <w:tr>
        <w:trPr>
          <w:tblHeader w:val="true"/>
        </w:trPr>
        <w:tc>
          <w:tcPr>
            <w:tcW w:type="dxa" w:w="6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Код</w:t>
            </w:r>
          </w:p>
        </w:tc>
        <w:tc>
          <w:tcPr>
            <w:tcW w:type="dxa" w:w="22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Поле</w:t>
            </w:r>
          </w:p>
        </w:tc>
        <w:tc>
          <w:tcPr>
            <w:tcW w:type="dxa" w:w="6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Содержание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01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Код записи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K001–K260; уникальный идентификатор.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02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Дата и цикл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Дата, волна, замок, полный оборот.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03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Архетип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Солнечная печать: какая функция проявляется.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04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Тон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Стадия ритма: как функция проявляется.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05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Контекст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Территория, объект, проект, человек или система.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06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Исходное состояние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Baseline до решения.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07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Цель и вызов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Желаемое состояние и главное противоречие.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Поля 08–13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60"/>
        <w:gridCol w:w="2250"/>
        <w:gridCol w:w="6450"/>
      </w:tblGrid>
      <w:tr>
        <w:trPr>
          <w:tblHeader w:val="true"/>
        </w:trPr>
        <w:tc>
          <w:tcPr>
            <w:tcW w:type="dxa" w:w="6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Код</w:t>
            </w:r>
          </w:p>
        </w:tc>
        <w:tc>
          <w:tcPr>
            <w:tcW w:type="dxa" w:w="22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Поле</w:t>
            </w:r>
          </w:p>
        </w:tc>
        <w:tc>
          <w:tcPr>
            <w:tcW w:type="dxa" w:w="645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Содержание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08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Затронутый баланс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Один или несколько из 19 балансов SUR.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09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Решение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Принятый способ перехода.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10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Ресурс и ответственный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Средства, данные, полномочия, исполнитель.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11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Действие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Фактически выполненная операция.</w:t>
            </w:r>
          </w:p>
        </w:tc>
      </w:tr>
      <w:tr>
        <w:trPr/>
        <w:tc>
          <w:tcPr>
            <w:tcW w:type="dxa" w:w="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12</w:t>
            </w:r>
          </w:p>
        </w:tc>
        <w:tc>
          <w:tcPr>
            <w:tcW w:type="dxa" w:w="2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Доказательство</w:t>
            </w:r>
          </w:p>
        </w:tc>
        <w:tc>
          <w:tcPr>
            <w:tcW w:type="dxa" w:w="6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Показатель, документ, измерение, верификация.</w:t>
            </w:r>
          </w:p>
        </w:tc>
      </w:tr>
      <w:tr>
        <w:trPr/>
        <w:tc>
          <w:tcPr>
            <w:tcW w:type="dxa" w:w="6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13</w:t>
            </w:r>
          </w:p>
        </w:tc>
        <w:tc>
          <w:tcPr>
            <w:tcW w:type="dxa" w:w="22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Новое состояние</w:t>
            </w:r>
          </w:p>
        </w:tc>
        <w:tc>
          <w:tcPr>
            <w:tcW w:type="dxa" w:w="645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Итог, отклонение, корректировка и следующий цикл.</w:t>
            </w:r>
          </w:p>
        </w:tc>
      </w:tr>
    </w:tbl>
    <w:p>
      <w:pPr>
        <w:spacing w:after="80"/>
      </w:pPr>
    </w:p>
    <w:p>
      <w:pPr>
        <w:pStyle w:val="Heading1"/>
      </w:pPr>
      <w:r>
        <w:t>7. Два независимых адреса: 260 и 741</w:t>
      </w:r>
    </w:p>
    <w:p>
      <w:pPr>
        <w:spacing w:before="80" w:after="160"/>
        <w:ind w:left="173" w:right="173"/>
        <w:shd w:fill="DDF3FC"/>
        <w:pBdr>
          <w:left w:val="single" w:sz="18" w:space="8" w:color="2E74B5"/>
        </w:pBdr>
      </w:pPr>
      <w:r>
        <w:rPr>
          <w:rFonts w:ascii="Aptos" w:hAnsi="Aptos"/>
          <w:b/>
          <w:color w:val="2E74B5"/>
          <w:sz w:val="18"/>
        </w:rPr>
        <w:t>ПРИНЦИП ИНТЕГРАЦИИ</w:t>
        <w:br/>
      </w:r>
      <w:r>
        <w:rPr>
          <w:rFonts w:ascii="Aptos" w:hAnsi="Aptos"/>
          <w:b/>
          <w:color w:val="0B2545"/>
          <w:sz w:val="22"/>
        </w:rPr>
        <w:t>260 кодирует смысл и время; 741 кодирует управление и исполнение. Эти числа не подменяют друг друга.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00"/>
        <w:gridCol w:w="2700"/>
        <w:gridCol w:w="4560"/>
      </w:tblGrid>
      <w:tr>
        <w:trPr>
          <w:tblHeader w:val="true"/>
        </w:trPr>
        <w:tc>
          <w:tcPr>
            <w:tcW w:type="dxa" w:w="21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Контур</w:t>
            </w:r>
          </w:p>
        </w:tc>
        <w:tc>
          <w:tcPr>
            <w:tcW w:type="dxa" w:w="27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Главный вопрос</w:t>
            </w:r>
          </w:p>
        </w:tc>
        <w:tc>
          <w:tcPr>
            <w:tcW w:type="dxa" w:w="45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Функция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КАТАЛОГ 260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Какая функция и какой ритм?</w:t>
            </w:r>
          </w:p>
        </w:tc>
        <w:tc>
          <w:tcPr>
            <w:tcW w:type="dxa" w:w="4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20 архетипов × 13 тонов.</w:t>
            </w:r>
          </w:p>
        </w:tc>
      </w:tr>
      <w:tr>
        <w:trPr/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КРИСТАЛЛ 741</w:t>
            </w:r>
          </w:p>
        </w:tc>
        <w:tc>
          <w:tcPr>
            <w:tcW w:type="dxa" w:w="27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Где, в какой фазе и масштабе?</w:t>
            </w:r>
          </w:p>
        </w:tc>
        <w:tc>
          <w:tcPr>
            <w:tcW w:type="dxa" w:w="45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19 балансов × 13 фаз × 3 масштаба.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SUR‑810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Какой расчётный след?</w:t>
            </w:r>
          </w:p>
        </w:tc>
        <w:tc>
          <w:tcPr>
            <w:tcW w:type="dxa" w:w="4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Реестр движения ресурсов, обязательств и результатов.</w:t>
            </w:r>
          </w:p>
        </w:tc>
      </w:tr>
      <w:tr>
        <w:trPr/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ESG‑IR 1.0</w:t>
            </w:r>
          </w:p>
        </w:tc>
        <w:tc>
          <w:tcPr>
            <w:tcW w:type="dxa" w:w="27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Чем подтверждён эффект?</w:t>
            </w:r>
          </w:p>
        </w:tc>
        <w:tc>
          <w:tcPr>
            <w:tcW w:type="dxa" w:w="45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Показатели, происхождение данных, валидация и верификация.</w:t>
            </w:r>
          </w:p>
        </w:tc>
      </w:tr>
      <w:tr>
        <w:trPr/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ЭКВИЛИБРИУМ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Восстановлено ли равновесие?</w:t>
            </w:r>
          </w:p>
        </w:tc>
        <w:tc>
          <w:tcPr>
            <w:tcW w:type="dxa" w:w="4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Наблюдение, прогноз, контроль и корректировка.</w:t>
            </w:r>
          </w:p>
        </w:tc>
      </w:tr>
    </w:tbl>
    <w:p>
      <w:pPr>
        <w:spacing w:after="80"/>
      </w:pPr>
    </w:p>
    <w:p>
      <w:pPr/>
      <w:r>
        <w:rPr>
          <w:rFonts w:ascii="Aptos" w:hAnsi="Aptos"/>
          <w:color w:val="111111"/>
        </w:rPr>
        <w:t>Единая запись получает два адреса: K‑код из матрицы 260 и управленческий адрес «баланс × фаза × масштаб» из КРИСТАЛЛА 741. SUR‑810 хранит расчётный след, ESG‑IR 1.0 — доказательность результата, ЭКВИЛИБРИУМ — итоговую оценку состояния.</w:t>
      </w:r>
    </w:p>
    <w:p>
      <w:pPr>
        <w:pStyle w:val="Heading1"/>
      </w:pPr>
      <w:r>
        <w:t>8. Тринадцать управленческих фаз КРИСТАЛЛА 741</w:t>
      </w:r>
    </w:p>
    <w:p>
      <w:pPr/>
      <w:r>
        <w:rPr>
          <w:rFonts w:ascii="Aptos" w:hAnsi="Aptos"/>
          <w:color w:val="111111"/>
        </w:rPr>
        <w:t>Тринадцать тонов и тринадцать управленческих фаз образуют разные слои. Тон описывает ритм проявления; фаза — обязательную процедуру управления. Совпадение количества позволяет синхронизировать их, но не делает термины тождественными.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0"/>
        <w:gridCol w:w="2100"/>
        <w:gridCol w:w="636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Код</w:t>
            </w:r>
          </w:p>
        </w:tc>
        <w:tc>
          <w:tcPr>
            <w:tcW w:type="dxa" w:w="21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Фаза</w:t>
            </w:r>
          </w:p>
        </w:tc>
        <w:tc>
          <w:tcPr>
            <w:tcW w:type="dxa" w:w="63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Результат фазы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L01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Сигнал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Зафиксировать изменение или возможность.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L02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Источники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Определить происхождение данных и событий.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L03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Проверка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Подтвердить достоверность и достаточность.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L04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Baseline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Зафиксировать исходное состояние.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L05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Диагностика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Определить причины и структуру отклонения.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L06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Сценарии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Построить варианты развития.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L07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Коридор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Задать допустимые границы решений.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L08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Варианты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Сравнить способы достижения цели.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L09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Право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Определить правовые основания и ограничения.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L10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Ресурс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Закрепить финансирование, людей, данные и активы.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L11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Исполнение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Реализовать согласованное решение.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L12</w:t>
            </w:r>
          </w:p>
        </w:tc>
        <w:tc>
          <w:tcPr>
            <w:tcW w:type="dxa" w:w="21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Валидация</w:t>
            </w:r>
          </w:p>
        </w:tc>
        <w:tc>
          <w:tcPr>
            <w:tcW w:type="dxa" w:w="63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Подтвердить результат доказательствами.</w:t>
            </w:r>
          </w:p>
        </w:tc>
      </w:tr>
      <w:tr>
        <w:trPr/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L13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Корректировка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Скорректировать систему и открыть новый L01.</w:t>
            </w:r>
          </w:p>
        </w:tc>
      </w:tr>
    </w:tbl>
    <w:p>
      <w:pPr>
        <w:spacing w:after="80"/>
      </w:pPr>
    </w:p>
    <w:p>
      <w:pPr>
        <w:pStyle w:val="Heading1"/>
        <w:pageBreakBefore/>
      </w:pPr>
      <w:r>
        <w:t>9. Правило ведения записи</w:t>
      </w:r>
    </w:p>
    <w:p>
      <w:pPr>
        <w:pStyle w:val="Heading2"/>
      </w:pPr>
      <w:r>
        <w:t>Шаг 1. Зафиксировать координату</w:t>
      </w:r>
    </w:p>
    <w:p>
      <w:pPr/>
      <w:r>
        <w:rPr>
          <w:rFonts w:ascii="Aptos" w:hAnsi="Aptos"/>
          <w:color w:val="111111"/>
        </w:rPr>
        <w:t>Определить номер кина, архетип, тон, волну и замок.</w:t>
      </w:r>
    </w:p>
    <w:p>
      <w:pPr>
        <w:pStyle w:val="Heading2"/>
      </w:pPr>
      <w:r>
        <w:t>Шаг 2. Описать реальность</w:t>
      </w:r>
    </w:p>
    <w:p>
      <w:pPr/>
      <w:r>
        <w:rPr>
          <w:rFonts w:ascii="Aptos" w:hAnsi="Aptos"/>
          <w:color w:val="111111"/>
        </w:rPr>
        <w:t>Записать контекст и исходное состояние без интерпретационных подмен.</w:t>
      </w:r>
    </w:p>
    <w:p>
      <w:pPr>
        <w:pStyle w:val="Heading2"/>
      </w:pPr>
      <w:r>
        <w:t>Шаг 3. Выявить цель и вызов</w:t>
      </w:r>
    </w:p>
    <w:p>
      <w:pPr/>
      <w:r>
        <w:rPr>
          <w:rFonts w:ascii="Aptos" w:hAnsi="Aptos"/>
          <w:color w:val="111111"/>
        </w:rPr>
        <w:t>Развести желаемое состояние, препятствие и критерий успеха.</w:t>
      </w:r>
    </w:p>
    <w:p>
      <w:pPr>
        <w:pStyle w:val="Heading2"/>
      </w:pPr>
      <w:r>
        <w:t>Шаг 4. Присвоить управленческий адрес</w:t>
      </w:r>
    </w:p>
    <w:p>
      <w:pPr/>
      <w:r>
        <w:rPr>
          <w:rFonts w:ascii="Aptos" w:hAnsi="Aptos"/>
          <w:color w:val="111111"/>
        </w:rPr>
        <w:t>Указать баланс, фазу и масштаб КРИСТАЛЛА 741.</w:t>
      </w:r>
    </w:p>
    <w:p>
      <w:pPr>
        <w:pStyle w:val="Heading2"/>
      </w:pPr>
      <w:r>
        <w:t>Шаг 5. Закрепить решение и ресурс</w:t>
      </w:r>
    </w:p>
    <w:p>
      <w:pPr/>
      <w:r>
        <w:rPr>
          <w:rFonts w:ascii="Aptos" w:hAnsi="Aptos"/>
          <w:color w:val="111111"/>
        </w:rPr>
        <w:t>Назначить ответственного, срок, данные, полномочия и ресурсы.</w:t>
      </w:r>
    </w:p>
    <w:p>
      <w:pPr>
        <w:pStyle w:val="Heading2"/>
      </w:pPr>
      <w:r>
        <w:t>Шаг 6. Подтвердить результат</w:t>
      </w:r>
    </w:p>
    <w:p>
      <w:pPr/>
      <w:r>
        <w:rPr>
          <w:rFonts w:ascii="Aptos" w:hAnsi="Aptos"/>
          <w:color w:val="111111"/>
        </w:rPr>
        <w:t>Приложить показатель, документ, наблюдение или акт валидации.</w:t>
      </w:r>
    </w:p>
    <w:p>
      <w:pPr>
        <w:pStyle w:val="Heading2"/>
      </w:pPr>
      <w:r>
        <w:t>Шаг 7. Открыть новый цикл</w:t>
      </w:r>
    </w:p>
    <w:p>
      <w:pPr/>
      <w:r>
        <w:rPr>
          <w:rFonts w:ascii="Aptos" w:hAnsi="Aptos"/>
          <w:color w:val="111111"/>
        </w:rPr>
        <w:t>Зафиксировать новое состояние, отклонение и следующую координату.</w:t>
      </w:r>
    </w:p>
    <w:p>
      <w:pPr>
        <w:pStyle w:val="Heading1"/>
        <w:pageBreakBefore/>
      </w:pPr>
      <w:r>
        <w:t>10. Иллюстративная запись K001</w:t>
      </w:r>
    </w:p>
    <w:p>
      <w:pPr/>
      <w:r>
        <w:rPr>
          <w:rFonts w:ascii="Aptos" w:hAnsi="Aptos"/>
          <w:color w:val="111111"/>
        </w:rPr>
        <w:t>Пример показывает логику заполнения и не является описанием реального проекта.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7200"/>
      </w:tblGrid>
      <w:tr>
        <w:trPr>
          <w:tblHeader w:val="true"/>
        </w:trPr>
        <w:tc>
          <w:tcPr>
            <w:tcW w:type="dxa" w:w="21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Поле</w:t>
            </w:r>
          </w:p>
        </w:tc>
        <w:tc>
          <w:tcPr>
            <w:tcW w:type="dxa" w:w="72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Запись</w:t>
            </w:r>
          </w:p>
        </w:tc>
      </w:tr>
      <w:tr>
        <w:trPr/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Код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K001</w:t>
            </w:r>
          </w:p>
        </w:tc>
      </w:tr>
      <w:tr>
        <w:trPr/>
        <w:tc>
          <w:tcPr>
            <w:tcW w:type="dxa" w:w="21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Архетип</w:t>
            </w:r>
          </w:p>
        </w:tc>
        <w:tc>
          <w:tcPr>
            <w:tcW w:type="dxa" w:w="72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Красный Дракон — рождение и жизненная основа.</w:t>
            </w:r>
          </w:p>
        </w:tc>
      </w:tr>
      <w:tr>
        <w:trPr/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Тон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1. Магнитный — цель и притяжение.</w:t>
            </w:r>
          </w:p>
        </w:tc>
      </w:tr>
      <w:tr>
        <w:trPr/>
        <w:tc>
          <w:tcPr>
            <w:tcW w:type="dxa" w:w="21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Контекст</w:t>
            </w:r>
          </w:p>
        </w:tc>
        <w:tc>
          <w:tcPr>
            <w:tcW w:type="dxa" w:w="72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Запуск территориального пилота биоценозного мониторинга.</w:t>
            </w:r>
          </w:p>
        </w:tc>
      </w:tr>
      <w:tr>
        <w:trPr/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Исходное состояние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Разрозненные данные, отсутствует единый паспорт территории.</w:t>
            </w:r>
          </w:p>
        </w:tc>
      </w:tr>
      <w:tr>
        <w:trPr/>
        <w:tc>
          <w:tcPr>
            <w:tcW w:type="dxa" w:w="21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Цель и вызов</w:t>
            </w:r>
          </w:p>
        </w:tc>
        <w:tc>
          <w:tcPr>
            <w:tcW w:type="dxa" w:w="72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Создать доказательный контур наблюдения; согласовать источники и ответственность.</w:t>
            </w:r>
          </w:p>
        </w:tc>
      </w:tr>
      <w:tr>
        <w:trPr/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Решение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Учредить пилотную точку мониторинга и единый реестр показателей.</w:t>
            </w:r>
          </w:p>
        </w:tc>
      </w:tr>
      <w:tr>
        <w:trPr/>
        <w:tc>
          <w:tcPr>
            <w:tcW w:type="dxa" w:w="21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Ресурс</w:t>
            </w:r>
          </w:p>
        </w:tc>
        <w:tc>
          <w:tcPr>
            <w:tcW w:type="dxa" w:w="72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Команда, датчики, данные, нормативный контур, финансирование.</w:t>
            </w:r>
          </w:p>
        </w:tc>
      </w:tr>
      <w:tr>
        <w:trPr/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Доказательство</w:t>
            </w:r>
          </w:p>
        </w:tc>
        <w:tc>
          <w:tcPr>
            <w:tcW w:type="dxa" w:w="7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Паспорт точки, протоколы измерений, валидация источников.</w:t>
            </w:r>
          </w:p>
        </w:tc>
      </w:tr>
      <w:tr>
        <w:trPr/>
        <w:tc>
          <w:tcPr>
            <w:tcW w:type="dxa" w:w="21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Новое состояние</w:t>
            </w:r>
          </w:p>
        </w:tc>
        <w:tc>
          <w:tcPr>
            <w:tcW w:type="dxa" w:w="72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Сформирован baseline; открыт цикл диагностики и сценариев.</w:t>
            </w:r>
          </w:p>
        </w:tc>
      </w:tr>
    </w:tbl>
    <w:p>
      <w:pPr>
        <w:spacing w:after="80"/>
      </w:pPr>
    </w:p>
    <w:p>
      <w:pPr>
        <w:pStyle w:val="Heading1"/>
        <w:pageBreakBefore/>
      </w:pPr>
      <w:r>
        <w:t>11. Контроль качества и доказательность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340"/>
        <w:gridCol w:w="7020"/>
      </w:tblGrid>
      <w:tr>
        <w:trPr>
          <w:tblHeader w:val="true"/>
        </w:trPr>
        <w:tc>
          <w:tcPr>
            <w:tcW w:type="dxa" w:w="234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Контроль</w:t>
            </w:r>
          </w:p>
        </w:tc>
        <w:tc>
          <w:tcPr>
            <w:tcW w:type="dxa" w:w="70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Требование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Однозначность</w:t>
            </w:r>
          </w:p>
        </w:tc>
        <w:tc>
          <w:tcPr>
            <w:tcW w:type="dxa" w:w="7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Одна запись — один идентификатор, одно время и один ответственный.</w:t>
            </w:r>
          </w:p>
        </w:tc>
      </w:tr>
      <w:tr>
        <w:trPr/>
        <w:tc>
          <w:tcPr>
            <w:tcW w:type="dxa" w:w="23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Происхождение данных</w:t>
            </w:r>
          </w:p>
        </w:tc>
        <w:tc>
          <w:tcPr>
            <w:tcW w:type="dxa" w:w="7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Каждый показатель связан с источником, методом и временем получения.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Разделение факта и интерпретации</w:t>
            </w:r>
          </w:p>
        </w:tc>
        <w:tc>
          <w:tcPr>
            <w:tcW w:type="dxa" w:w="7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Наблюдение, вывод и решение хранятся раздельно.</w:t>
            </w:r>
          </w:p>
        </w:tc>
      </w:tr>
      <w:tr>
        <w:trPr/>
        <w:tc>
          <w:tcPr>
            <w:tcW w:type="dxa" w:w="23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Версионность</w:t>
            </w:r>
          </w:p>
        </w:tc>
        <w:tc>
          <w:tcPr>
            <w:tcW w:type="dxa" w:w="7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Корректировки не стирают историю; формируется новая версия.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Валидация</w:t>
            </w:r>
          </w:p>
        </w:tc>
        <w:tc>
          <w:tcPr>
            <w:tcW w:type="dxa" w:w="7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Проверяется пригодность метода и соответствие результата цели.</w:t>
            </w:r>
          </w:p>
        </w:tc>
      </w:tr>
      <w:tr>
        <w:trPr/>
        <w:tc>
          <w:tcPr>
            <w:tcW w:type="dxa" w:w="23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Верификация</w:t>
            </w:r>
          </w:p>
        </w:tc>
        <w:tc>
          <w:tcPr>
            <w:tcW w:type="dxa" w:w="70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Проверяется правильность расчёта и наличие доказательств.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Обратная связь</w:t>
            </w:r>
          </w:p>
        </w:tc>
        <w:tc>
          <w:tcPr>
            <w:tcW w:type="dxa" w:w="70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Результат возвращается в baseline следующего цикла.</w:t>
            </w:r>
          </w:p>
        </w:tc>
      </w:tr>
    </w:tbl>
    <w:p>
      <w:pPr>
        <w:spacing w:after="80"/>
      </w:pPr>
    </w:p>
    <w:p>
      <w:pPr>
        <w:pStyle w:val="Heading1"/>
      </w:pPr>
      <w:r>
        <w:t>12. Дорожная карта внедрения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4920"/>
        <w:gridCol w:w="2640"/>
      </w:tblGrid>
      <w:tr>
        <w:trPr>
          <w:tblHeader w:val="true"/>
        </w:trPr>
        <w:tc>
          <w:tcPr>
            <w:tcW w:type="dxa" w:w="18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Этап</w:t>
            </w:r>
          </w:p>
        </w:tc>
        <w:tc>
          <w:tcPr>
            <w:tcW w:type="dxa" w:w="492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Содержание</w:t>
            </w:r>
          </w:p>
        </w:tc>
        <w:tc>
          <w:tcPr>
            <w:tcW w:type="dxa" w:w="264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8"/>
              </w:rPr>
              <w:t>Результат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Этап 1. Канон</w:t>
            </w:r>
          </w:p>
        </w:tc>
        <w:tc>
          <w:tcPr>
            <w:tcW w:type="dxa" w:w="4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Утвердить словарь 20 архетипов, 13 тонов, правила нумерации и паспорт записи.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Версия 1.0 методики.</w:t>
            </w:r>
          </w:p>
        </w:tc>
      </w:tr>
      <w:tr>
        <w:trPr/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Этап 2. Реестр</w:t>
            </w:r>
          </w:p>
        </w:tc>
        <w:tc>
          <w:tcPr>
            <w:tcW w:type="dxa" w:w="49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Создать цифровые карточки K001–K260 и связать их с балансами, фазами и масштабами.</w:t>
            </w:r>
          </w:p>
        </w:tc>
        <w:tc>
          <w:tcPr>
            <w:tcW w:type="dxa" w:w="26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Рабочий прототип реестра.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Этап 3. Пилот</w:t>
            </w:r>
          </w:p>
        </w:tc>
        <w:tc>
          <w:tcPr>
            <w:tcW w:type="dxa" w:w="4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Провести один полный 13‑фазный цикл на выбранном проекте или территории.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Проверенная процедура.</w:t>
            </w:r>
          </w:p>
        </w:tc>
      </w:tr>
      <w:tr>
        <w:trPr/>
        <w:tc>
          <w:tcPr>
            <w:tcW w:type="dxa" w:w="180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Этап 4. Валидация</w:t>
            </w:r>
          </w:p>
        </w:tc>
        <w:tc>
          <w:tcPr>
            <w:tcW w:type="dxa" w:w="492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Настроить показатели, происхождение данных, аудит и ESG‑IR 1.0.</w:t>
            </w:r>
          </w:p>
        </w:tc>
        <w:tc>
          <w:tcPr>
            <w:tcW w:type="dxa" w:w="26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Доказательный контур.</w:t>
            </w:r>
          </w:p>
        </w:tc>
      </w:tr>
      <w:tr>
        <w:trPr/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Этап 5. Масштабирование</w:t>
            </w:r>
          </w:p>
        </w:tc>
        <w:tc>
          <w:tcPr>
            <w:tcW w:type="dxa" w:w="4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Включить реестр в ЭКВИЛИБРИУМ и межведомственный документооборот.</w:t>
            </w:r>
          </w:p>
        </w:tc>
        <w:tc>
          <w:tcPr>
            <w:tcW w:type="dxa" w:w="26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8"/>
              </w:rPr>
              <w:t>Единая система циклического управления.</w:t>
            </w:r>
          </w:p>
        </w:tc>
      </w:tr>
    </w:tbl>
    <w:p>
      <w:pPr>
        <w:spacing w:after="80"/>
      </w:pPr>
    </w:p>
    <w:p>
      <w:pPr>
        <w:pStyle w:val="Heading1"/>
        <w:pageBreakBefore/>
      </w:pPr>
      <w:r>
        <w:t>13. Источники и методическая основа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340"/>
        <w:gridCol w:w="4260"/>
        <w:gridCol w:w="2760"/>
      </w:tblGrid>
      <w:tr>
        <w:trPr>
          <w:tblHeader w:val="true"/>
        </w:trPr>
        <w:tc>
          <w:tcPr>
            <w:tcW w:type="dxa" w:w="234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Источник</w:t>
            </w:r>
          </w:p>
        </w:tc>
        <w:tc>
          <w:tcPr>
            <w:tcW w:type="dxa" w:w="42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Использование</w:t>
            </w:r>
          </w:p>
        </w:tc>
        <w:tc>
          <w:tcPr>
            <w:tcW w:type="dxa" w:w="27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7"/>
              </w:rPr>
              <w:t>Ссылка / статус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Foundation for the Law of Time</w:t>
            </w:r>
          </w:p>
        </w:tc>
        <w:tc>
          <w:tcPr>
            <w:tcW w:type="dxa" w:w="4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13 Moon Calendar Tutorial: 20 Solar Seals × 13 Galactic Tones = 260 combinations.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https://lawoftime.org/thirteenmoon/tutorial.html</w:t>
            </w:r>
          </w:p>
        </w:tc>
      </w:tr>
      <w:tr>
        <w:trPr/>
        <w:tc>
          <w:tcPr>
            <w:tcW w:type="dxa" w:w="23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Foundation for the Law of Time</w:t>
            </w:r>
          </w:p>
        </w:tc>
        <w:tc>
          <w:tcPr>
            <w:tcW w:type="dxa" w:w="42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Book of Kin: последовательность медитаций для 260 галактических подписей.</w:t>
            </w:r>
          </w:p>
        </w:tc>
        <w:tc>
          <w:tcPr>
            <w:tcW w:type="dxa" w:w="27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https://www.lawoftime.org/timeshipearth/bookofkin.html</w:t>
            </w:r>
          </w:p>
        </w:tc>
      </w:tr>
      <w:tr>
        <w:trPr/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Foundation for the Law of Time</w:t>
            </w:r>
          </w:p>
        </w:tc>
        <w:tc>
          <w:tcPr>
            <w:tcW w:type="dxa" w:w="4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Pocket Calendar: перечень 20 печатей и 13 тонов.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https://lawoftime.org/wp-content/uploads/8-Moon-Year-Pocket-Calendar.pdf</w:t>
            </w:r>
          </w:p>
        </w:tc>
      </w:tr>
      <w:tr>
        <w:trPr/>
        <w:tc>
          <w:tcPr>
            <w:tcW w:type="dxa" w:w="234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ЭКВИЛИБРИУМ / SUR</w:t>
            </w:r>
          </w:p>
        </w:tc>
        <w:tc>
          <w:tcPr>
            <w:tcW w:type="dxa" w:w="42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Авторская прикладная архитектура: 19 балансов × 13 фаз × 3 масштаба = 741.</w:t>
            </w:r>
          </w:p>
        </w:tc>
        <w:tc>
          <w:tcPr>
            <w:tcW w:type="dxa" w:w="2760"/>
            <w:vAlign w:val="center"/>
            <w:shd w:fill="FAFBFC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7"/>
              </w:rPr>
              <w:t>Рабочие материалы проекта, 2026.</w:t>
            </w:r>
          </w:p>
        </w:tc>
      </w:tr>
    </w:tbl>
    <w:p>
      <w:pPr>
        <w:spacing w:after="80"/>
      </w:pP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titlePg/>
          <w:docGrid w:linePitch="360"/>
        </w:sectPr>
      </w:pPr>
    </w:p>
    <w:p>
      <w:pPr>
        <w:pStyle w:val="Heading1"/>
      </w:pPr>
      <w:r>
        <w:t>Приложение А. Реестр 260 кинов</w:t>
      </w:r>
    </w:p>
    <w:p>
      <w:pPr/>
      <w:r>
        <w:rPr>
          <w:rFonts w:ascii="Aptos" w:hAnsi="Aptos"/>
          <w:color w:val="111111"/>
        </w:rPr>
        <w:t>Реестр построен алгоритмически. На каждом следующем шаге одновременно увеличиваются индекс печати по модулю 20 и индекс тона по модулю 13. Волна содержит 13 кинов, замок — 52, гармоника — 4.</w:t>
      </w:r>
    </w:p>
    <w:p>
      <w:pPr>
        <w:pStyle w:val="Heading2"/>
        <w:pageBreakBefore/>
      </w:pPr>
      <w:r>
        <w:t>Замок 1 · часть 1 · K001–K026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K009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K019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1 · часть 2 · K027–K052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K029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K039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K049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2 · часть 1 · K053–K078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K059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K069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2 · часть 2 · K079–K104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K079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K089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K099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26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3 · часть 1 · K105–K130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K109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K119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K129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33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3 · часть 2 · K131–K156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K139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K149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39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4 · часть 1 · K157–K182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K159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K169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K179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46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4 · часть 2 · K183–K208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K189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K199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52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5 · часть 1 · K209–K234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K209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K219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56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56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57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57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K229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58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58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59</w:t>
            </w:r>
          </w:p>
        </w:tc>
      </w:tr>
    </w:tbl>
    <w:p>
      <w:pPr>
        <w:spacing w:after="80"/>
      </w:pPr>
    </w:p>
    <w:p>
      <w:pPr>
        <w:pStyle w:val="Heading2"/>
        <w:pageBreakBefore/>
      </w:pPr>
      <w:r>
        <w:t>Замок 5 · часть 2 · K235–K260</w:t>
      </w:r>
    </w:p>
    <w:tbl>
      <w:tblPr>
        <w:tblStyle w:val="TableGrid"/>
        <w:tblW w:type="dxa" w:w="14400"/>
        <w:jc w:val="left"/>
        <w:tblLayout w:type="fixed"/>
        <w:tblLook w:firstColumn="1" w:firstRow="1" w:lastColumn="0" w:lastRow="0" w:noHBand="0" w:noVBand="1" w:val="04A0"/>
        <w:tblInd w:type="dxa" w:w="80"/>
      </w:tblPr>
      <w:tblGrid>
        <w:gridCol w:w="900"/>
        <w:gridCol w:w="3900"/>
        <w:gridCol w:w="2700"/>
        <w:gridCol w:w="1500"/>
        <w:gridCol w:w="1500"/>
        <w:gridCol w:w="1500"/>
        <w:gridCol w:w="2400"/>
      </w:tblGrid>
      <w:tr>
        <w:trPr>
          <w:tblHeader w:val="true"/>
        </w:trPr>
        <w:tc>
          <w:tcPr>
            <w:tcW w:type="dxa" w:w="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Кин</w:t>
            </w:r>
          </w:p>
        </w:tc>
        <w:tc>
          <w:tcPr>
            <w:tcW w:type="dxa" w:w="39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Солнечная печать</w:t>
            </w:r>
          </w:p>
        </w:tc>
        <w:tc>
          <w:tcPr>
            <w:tcW w:type="dxa" w:w="27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Тон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Волна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Позиция</w:t>
            </w:r>
          </w:p>
        </w:tc>
        <w:tc>
          <w:tcPr>
            <w:tcW w:type="dxa" w:w="15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Замок</w:t>
            </w:r>
          </w:p>
        </w:tc>
        <w:tc>
          <w:tcPr>
            <w:tcW w:type="dxa" w:w="2400"/>
            <w:vAlign w:val="center"/>
            <w:shd w:fill="E8EEF5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/>
                <w:color w:val="0B2545"/>
                <w:sz w:val="15"/>
              </w:rPr>
              <w:t>Гармоника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59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59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K239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60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60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Дракон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Ветер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Ночь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61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Семя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61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Змей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Соединитель миров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Рука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19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62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Жёлтая Звезда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1. Магнитный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62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K249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Луна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2. Лунный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Белая Собака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3. Электрический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K251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Обезьяна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4. Самосущный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63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K252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Человек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5. Обертонный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63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K253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Красный Небесный странник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6. Ритмический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K254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Белый Волшебник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7. Резонансный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K255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Синий Орёл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8. Галактический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64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K256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Жёлтый Воин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9. Солнечный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9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64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K257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Красная Земля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10. Планетарный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K258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Белое Зеркало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11. Спектральный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11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65</w:t>
            </w:r>
          </w:p>
        </w:tc>
      </w:tr>
      <w:tr>
        <w:trPr/>
        <w:tc>
          <w:tcPr>
            <w:tcW w:type="dxa" w:w="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K259</w:t>
            </w:r>
          </w:p>
        </w:tc>
        <w:tc>
          <w:tcPr>
            <w:tcW w:type="dxa" w:w="39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Синяя Буря</w:t>
            </w:r>
          </w:p>
        </w:tc>
        <w:tc>
          <w:tcPr>
            <w:tcW w:type="dxa" w:w="27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12. Кристаллический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12</w:t>
            </w:r>
          </w:p>
        </w:tc>
        <w:tc>
          <w:tcPr>
            <w:tcW w:type="dxa" w:w="15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65</w:t>
            </w:r>
          </w:p>
        </w:tc>
      </w:tr>
      <w:tr>
        <w:trPr/>
        <w:tc>
          <w:tcPr>
            <w:tcW w:type="dxa" w:w="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K260</w:t>
            </w:r>
          </w:p>
        </w:tc>
        <w:tc>
          <w:tcPr>
            <w:tcW w:type="dxa" w:w="39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Жёлтое Солнце</w:t>
            </w:r>
          </w:p>
        </w:tc>
        <w:tc>
          <w:tcPr>
            <w:tcW w:type="dxa" w:w="27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13. Космический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20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13</w:t>
            </w:r>
          </w:p>
        </w:tc>
        <w:tc>
          <w:tcPr>
            <w:tcW w:type="dxa" w:w="15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2400"/>
            <w:vAlign w:val="center"/>
            <w:shd w:fill="FAFBFC"/>
            <w:tcMar>
              <w:top w:w="45" w:type="dxa"/>
              <w:bottom w:w="45" w:type="dxa"/>
              <w:start w:w="80" w:type="dxa"/>
              <w:end w:w="8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ptos" w:hAnsi="Aptos"/>
                <w:b w:val="0"/>
                <w:color w:val="111111"/>
                <w:sz w:val="15"/>
              </w:rPr>
              <w:t>65</w:t>
            </w:r>
          </w:p>
        </w:tc>
      </w:tr>
    </w:tbl>
    <w:p>
      <w:pPr>
        <w:spacing w:after="80"/>
      </w:pPr>
    </w:p>
    <w:sectPr w:rsidR="00FC693F" w:rsidRPr="0006063C" w:rsidSect="00034616">
      <w:pgSz w:w="15840" w:h="12240" w:orient="landscape"/>
      <w:pgMar w:top="720" w:right="720" w:bottom="720" w:left="72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/>
    <w:r>
      <w:rPr>
        <w:rFonts w:ascii="Aptos" w:hAnsi="Aptos"/>
        <w:color w:val="5C6773"/>
        <w:sz w:val="17"/>
      </w:rPr>
      <w:t xml:space="preserve">ЭКВИЛИБРИУМ · 2026  |  </w:t>
    </w:r>
    <w:r>
      <w:rPr>
        <w:rFonts w:ascii="Aptos" w:hAnsi="Aptos"/>
        <w:color w:val="5C6773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/>
    <w:r>
      <w:rPr>
        <w:rFonts w:ascii="Aptos" w:hAnsi="Aptos"/>
        <w:b/>
        <w:color w:val="5C6773"/>
        <w:sz w:val="17"/>
      </w:rPr>
      <w:t>СЧЁТНАЯ КНИГА · РЕЕСТР 260 КИНОВ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ptos" w:hAnsi="Aptos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C6773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книга. Архетипы. Циклы</dc:title>
  <dc:subject>Книга кинов: 20 архетипов × 13 тонов = 260</dc:subject>
  <dc:creator>Сергей Леонидович Соколов</dc:creator>
  <cp:keywords>ЭКВИЛИБРИУМ, Книга кинов, 260, КРИСТАЛЛ 741, SUR-810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