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color w:val="0B2F6B"/>
          <w:sz w:val="50"/>
        </w:rPr>
        <w:t>РОССИЯ</w:t>
        <w:br/>
        <w:t>Система планирования и конструирования</w:t>
      </w:r>
    </w:p>
    <w:p>
      <w:pPr>
        <w:jc w:val="center"/>
      </w:pPr>
      <w:r>
        <w:rPr>
          <w:color w:val="505050"/>
          <w:sz w:val="24"/>
        </w:rPr>
        <w:t>Единый контур стратегических целей, балансов, проектирования, ресурсов, исполнения и обратной связи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6263640" cy="3525171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россия_система_стратегического_планирования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63640" cy="352517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i/>
          <w:color w:val="646464"/>
          <w:sz w:val="20"/>
        </w:rPr>
        <w:t>Рабочий концепт-пакет • версия 1.0</w:t>
      </w:r>
    </w:p>
    <w:p>
      <w:r>
        <w:br w:type="page"/>
      </w:r>
    </w:p>
    <w:p>
      <w:pPr>
        <w:pStyle w:val="Heading1"/>
      </w:pPr>
      <w:r>
        <w:t>1. Назначение системы</w:t>
      </w:r>
    </w:p>
    <w:p>
      <w:r>
        <w:t>Система планирования и конструирования России — это единый контур перевода стратегических целей в проверяемые проекты, ресурсы, производственные цепочки, строительные решения и управленческую обратную связь.</w:t>
      </w:r>
    </w:p>
    <w:p>
      <w:r>
        <w:t>Ключевой принцип: страна управляется связанными балансами и проектными моделями. Каждый национальный замысел должен иметь образ результата, ресурсную модель, ответственных исполнителей, контрольные показатели и механизм корректировки.</w:t>
      </w:r>
    </w:p>
    <w:p>
      <w:r>
        <w:t>Система соединяет государственное стратегическое планирование, межотраслевые балансы, цифровые двойники территорий и отраслей, кадровые контуры, промышленное исполнение, строительный комплекс и контроль достижения результатов.</w:t>
      </w:r>
    </w:p>
    <w:p>
      <w:pPr>
        <w:pStyle w:val="Heading1"/>
      </w:pPr>
      <w:r>
        <w:t>2. Логика полного цикла</w:t>
      </w:r>
    </w:p>
    <w:p>
      <w:r>
        <w:t>Полный цикл строится как замкнутая петля: стратегические цели → балансы и данные → проектирование → ресурсы и кадры → производство и строительство → контроль и обратная связь → уточнение целей.</w:t>
      </w:r>
    </w:p>
    <w:p>
      <w:r>
        <w:t>Такой цикл позволяет уходить от разрозненных программ к единому национальному конструктору: каждая инициатива получает место в системе, связывается с территориями, отраслями, фондами, нормативами, кадрами и сроками.</w:t>
      </w:r>
    </w:p>
    <w:p>
      <w:r>
        <w:t>Результат — не только документ планирования, а управляемая архитектура реализации, где можно видеть дефициты, узкие места, эффекты и риски до начала масштабных расходов.</w:t>
      </w:r>
    </w:p>
    <w:p>
      <w:r>
        <w:br w:type="page"/>
      </w:r>
    </w:p>
    <w:p>
      <w:pPr>
        <w:pStyle w:val="Heading1"/>
      </w:pPr>
      <w:r>
        <w:t>3. Шесть базовых модулей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6" w:space="0" w:color="B8C5D6"/>
          <w:left w:val="single" w:sz="6" w:space="0" w:color="B8C5D6"/>
          <w:bottom w:val="single" w:sz="6" w:space="0" w:color="B8C5D6"/>
          <w:right w:val="single" w:sz="6" w:space="0" w:color="B8C5D6"/>
          <w:insideH w:val="single" w:sz="6" w:space="0" w:color="B8C5D6"/>
          <w:insideV w:val="single" w:sz="6" w:space="0" w:color="B8C5D6"/>
        </w:tblBorders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  <w:vAlign w:val="center"/>
            <w:shd w:fill="D9EAFB"/>
          </w:tcPr>
          <w:p>
            <w:r/>
            <w:r>
              <w:rPr>
                <w:rFonts w:ascii="Arial" w:hAnsi="Arial"/>
                <w:b/>
                <w:color w:val="0B2F6B"/>
                <w:sz w:val="18"/>
              </w:rPr>
              <w:t>Модуль</w:t>
            </w:r>
          </w:p>
        </w:tc>
        <w:tc>
          <w:tcPr>
            <w:tcW w:type="dxa" w:w="2592"/>
            <w:vAlign w:val="center"/>
            <w:shd w:fill="D9EAFB"/>
          </w:tcPr>
          <w:p>
            <w:r/>
            <w:r>
              <w:rPr>
                <w:rFonts w:ascii="Arial" w:hAnsi="Arial"/>
                <w:b/>
                <w:color w:val="0B2F6B"/>
                <w:sz w:val="18"/>
              </w:rPr>
              <w:t>Содержание</w:t>
            </w:r>
          </w:p>
        </w:tc>
        <w:tc>
          <w:tcPr>
            <w:tcW w:type="dxa" w:w="2592"/>
            <w:vAlign w:val="center"/>
            <w:shd w:fill="D9EAFB"/>
          </w:tcPr>
          <w:p>
            <w:r/>
            <w:r>
              <w:rPr>
                <w:rFonts w:ascii="Arial" w:hAnsi="Arial"/>
                <w:b/>
                <w:color w:val="0B2F6B"/>
                <w:sz w:val="18"/>
              </w:rPr>
              <w:t>Ключевой продукт</w:t>
            </w:r>
          </w:p>
        </w:tc>
        <w:tc>
          <w:tcPr>
            <w:tcW w:type="dxa" w:w="2592"/>
            <w:vAlign w:val="center"/>
            <w:shd w:fill="D9EAFB"/>
          </w:tcPr>
          <w:p>
            <w:r/>
            <w:r>
              <w:rPr>
                <w:rFonts w:ascii="Arial" w:hAnsi="Arial"/>
                <w:b/>
                <w:color w:val="0B2F6B"/>
                <w:sz w:val="18"/>
              </w:rPr>
              <w:t>Вопрос управления</w:t>
            </w:r>
          </w:p>
        </w:tc>
      </w:tr>
      <w:tr>
        <w:tc>
          <w:tcPr>
            <w:tcW w:type="dxa" w:w="2592"/>
            <w:vAlign w:val="center"/>
          </w:tcPr>
          <w:p>
            <w:r/>
            <w:r>
              <w:rPr>
                <w:rFonts w:ascii="Arial" w:hAnsi="Arial"/>
                <w:b/>
                <w:color w:val="1B1B1B"/>
                <w:sz w:val="17"/>
              </w:rPr>
              <w:t>1. Стратегические цели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/>
                <w:b w:val="0"/>
                <w:color w:val="1B1B1B"/>
                <w:sz w:val="17"/>
              </w:rPr>
              <w:t>Национальные приоритеты, сценарии, цели развития, показатели результата.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/>
                <w:b w:val="0"/>
                <w:color w:val="1B1B1B"/>
                <w:sz w:val="17"/>
              </w:rPr>
              <w:t>Карта целей и критериев успеха.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/>
                <w:b w:val="0"/>
                <w:color w:val="1B1B1B"/>
                <w:sz w:val="17"/>
              </w:rPr>
              <w:t>Что должно быть построено и зачем?</w:t>
            </w:r>
          </w:p>
        </w:tc>
      </w:tr>
      <w:tr>
        <w:tc>
          <w:tcPr>
            <w:tcW w:type="dxa" w:w="2592"/>
            <w:vAlign w:val="center"/>
          </w:tcPr>
          <w:p>
            <w:r/>
            <w:r>
              <w:rPr>
                <w:rFonts w:ascii="Arial" w:hAnsi="Arial"/>
                <w:b/>
                <w:color w:val="1B1B1B"/>
                <w:sz w:val="17"/>
              </w:rPr>
              <w:t>2. Балансы и данные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/>
                <w:b w:val="0"/>
                <w:color w:val="1B1B1B"/>
                <w:sz w:val="17"/>
              </w:rPr>
              <w:t>Демография, ресурсы, мощности, финансы, технологии, территории, риски.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/>
                <w:b w:val="0"/>
                <w:color w:val="1B1B1B"/>
                <w:sz w:val="17"/>
              </w:rPr>
              <w:t>Единая база балансов и дефицитов.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/>
                <w:b w:val="0"/>
                <w:color w:val="1B1B1B"/>
                <w:sz w:val="17"/>
              </w:rPr>
              <w:t>Какие ограничения и резервы существуют?</w:t>
            </w:r>
          </w:p>
        </w:tc>
      </w:tr>
      <w:tr>
        <w:tc>
          <w:tcPr>
            <w:tcW w:type="dxa" w:w="2592"/>
            <w:vAlign w:val="center"/>
          </w:tcPr>
          <w:p>
            <w:r/>
            <w:r>
              <w:rPr>
                <w:rFonts w:ascii="Arial" w:hAnsi="Arial"/>
                <w:b/>
                <w:color w:val="1B1B1B"/>
                <w:sz w:val="17"/>
              </w:rPr>
              <w:t>3. Проектирование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/>
                <w:b w:val="0"/>
                <w:color w:val="1B1B1B"/>
                <w:sz w:val="17"/>
              </w:rPr>
              <w:t>Проектные модели, цифровые двойники, техзадания, нормативные решения.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/>
                <w:b w:val="0"/>
                <w:color w:val="1B1B1B"/>
                <w:sz w:val="17"/>
              </w:rPr>
              <w:t>Пакет проектных решений.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/>
                <w:b w:val="0"/>
                <w:color w:val="1B1B1B"/>
                <w:sz w:val="17"/>
              </w:rPr>
              <w:t>Как именно это должно быть сконструировано?</w:t>
            </w:r>
          </w:p>
        </w:tc>
      </w:tr>
      <w:tr>
        <w:tc>
          <w:tcPr>
            <w:tcW w:type="dxa" w:w="2592"/>
            <w:vAlign w:val="center"/>
          </w:tcPr>
          <w:p>
            <w:r/>
            <w:r>
              <w:rPr>
                <w:rFonts w:ascii="Arial" w:hAnsi="Arial"/>
                <w:b/>
                <w:color w:val="1B1B1B"/>
                <w:sz w:val="17"/>
              </w:rPr>
              <w:t>4. Ресурсы и кадры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/>
                <w:b w:val="0"/>
                <w:color w:val="1B1B1B"/>
                <w:sz w:val="17"/>
              </w:rPr>
              <w:t>Фонды, бюджеты, кооперация, компетенции, образовательные траектории.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/>
                <w:b w:val="0"/>
                <w:color w:val="1B1B1B"/>
                <w:sz w:val="17"/>
              </w:rPr>
              <w:t>Ресурсно-кадровая матрица.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/>
                <w:b w:val="0"/>
                <w:color w:val="1B1B1B"/>
                <w:sz w:val="17"/>
              </w:rPr>
              <w:t>Кто и за счет чего исполняет?</w:t>
            </w:r>
          </w:p>
        </w:tc>
      </w:tr>
      <w:tr>
        <w:tc>
          <w:tcPr>
            <w:tcW w:type="dxa" w:w="2592"/>
            <w:vAlign w:val="center"/>
          </w:tcPr>
          <w:p>
            <w:r/>
            <w:r>
              <w:rPr>
                <w:rFonts w:ascii="Arial" w:hAnsi="Arial"/>
                <w:b/>
                <w:color w:val="1B1B1B"/>
                <w:sz w:val="17"/>
              </w:rPr>
              <w:t>5. Производство и строительство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/>
                <w:b w:val="0"/>
                <w:color w:val="1B1B1B"/>
                <w:sz w:val="17"/>
              </w:rPr>
              <w:t>Промышленная кооперация, стройкомплекс, логистика, импортозамещение.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/>
                <w:b w:val="0"/>
                <w:color w:val="1B1B1B"/>
                <w:sz w:val="17"/>
              </w:rPr>
              <w:t>План исполнения и цепочки поставок.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/>
                <w:b w:val="0"/>
                <w:color w:val="1B1B1B"/>
                <w:sz w:val="17"/>
              </w:rPr>
              <w:t>Как довести до физического результата?</w:t>
            </w:r>
          </w:p>
        </w:tc>
      </w:tr>
      <w:tr>
        <w:tc>
          <w:tcPr>
            <w:tcW w:type="dxa" w:w="2592"/>
            <w:vAlign w:val="center"/>
          </w:tcPr>
          <w:p>
            <w:r/>
            <w:r>
              <w:rPr>
                <w:rFonts w:ascii="Arial" w:hAnsi="Arial"/>
                <w:b/>
                <w:color w:val="1B1B1B"/>
                <w:sz w:val="17"/>
              </w:rPr>
              <w:t>6. Контроль и обратная связь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/>
                <w:b w:val="0"/>
                <w:color w:val="1B1B1B"/>
                <w:sz w:val="17"/>
              </w:rPr>
              <w:t>Мониторинг, аудит, валидация, корректировка, уроки исполнения.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/>
                <w:b w:val="0"/>
                <w:color w:val="1B1B1B"/>
                <w:sz w:val="17"/>
              </w:rPr>
              <w:t>Панель контроля и пакет корректировок.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/>
                <w:b w:val="0"/>
                <w:color w:val="1B1B1B"/>
                <w:sz w:val="17"/>
              </w:rPr>
              <w:t>Что работает, что надо изменить?</w:t>
            </w:r>
          </w:p>
        </w:tc>
      </w:tr>
    </w:tbl>
    <w:p>
      <w:pPr>
        <w:pStyle w:val="Heading1"/>
      </w:pPr>
      <w:r>
        <w:t>4. Управленческая архитектура</w:t>
      </w:r>
    </w:p>
    <w:p>
      <w:pPr>
        <w:pStyle w:val="ListBullet"/>
      </w:pPr>
      <w:r>
        <w:t>Федеральный уровень: стратегические цели, сквозные нормативы, национальные балансы, приоритетные проекты и контрольные показатели.</w:t>
      </w:r>
    </w:p>
    <w:p>
      <w:pPr>
        <w:pStyle w:val="ListBullet"/>
      </w:pPr>
      <w:r>
        <w:t>Отраслевой уровень: производственные цепочки, технологические карты, кадровые потребности, стандарты качества и план модернизации.</w:t>
      </w:r>
    </w:p>
    <w:p>
      <w:pPr>
        <w:pStyle w:val="ListBullet"/>
      </w:pPr>
      <w:r>
        <w:t>Региональный уровень: территориальные модели, инфраструктурные узлы, земельные и градостроительные решения, социальные эффекты.</w:t>
      </w:r>
    </w:p>
    <w:p>
      <w:pPr>
        <w:pStyle w:val="ListBullet"/>
      </w:pPr>
      <w:r>
        <w:t>Проектный уровень: паспорт проекта, цифровой двойник, бюджет, риски, календарный план, контур закупок, контроль исполнения.</w:t>
      </w:r>
    </w:p>
    <w:p>
      <w:pPr>
        <w:pStyle w:val="ListBullet"/>
      </w:pPr>
      <w:r>
        <w:t>Гражданский и экспертный уровень: общественная валидация, научная экспертиза, обратная связь, открытые показатели результата.</w:t>
      </w:r>
    </w:p>
    <w:p>
      <w:pPr>
        <w:pStyle w:val="Heading1"/>
      </w:pPr>
      <w:r>
        <w:t>5. Связь с ЭКВИЛИБРИУМ, СФЕРА, ECO-PPA и СПЕЦЗАЩИТА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6" w:space="0" w:color="B8C5D6"/>
          <w:left w:val="single" w:sz="6" w:space="0" w:color="B8C5D6"/>
          <w:bottom w:val="single" w:sz="6" w:space="0" w:color="B8C5D6"/>
          <w:right w:val="single" w:sz="6" w:space="0" w:color="B8C5D6"/>
          <w:insideH w:val="single" w:sz="6" w:space="0" w:color="B8C5D6"/>
          <w:insideV w:val="single" w:sz="6" w:space="0" w:color="B8C5D6"/>
        </w:tblBorders>
      </w:tblPr>
      <w:tblGrid>
        <w:gridCol w:w="3457"/>
        <w:gridCol w:w="3457"/>
        <w:gridCol w:w="3457"/>
      </w:tblGrid>
      <w:tr>
        <w:tc>
          <w:tcPr>
            <w:tcW w:type="dxa" w:w="3457"/>
            <w:vAlign w:val="center"/>
            <w:shd w:fill="D9EAFB"/>
          </w:tcPr>
          <w:p>
            <w:r/>
            <w:r>
              <w:rPr>
                <w:rFonts w:ascii="Arial" w:hAnsi="Arial"/>
                <w:b/>
                <w:color w:val="0B2F6B"/>
                <w:sz w:val="18"/>
              </w:rPr>
              <w:t>Контур</w:t>
            </w:r>
          </w:p>
        </w:tc>
        <w:tc>
          <w:tcPr>
            <w:tcW w:type="dxa" w:w="3457"/>
            <w:vAlign w:val="center"/>
            <w:shd w:fill="D9EAFB"/>
          </w:tcPr>
          <w:p>
            <w:r/>
            <w:r>
              <w:rPr>
                <w:rFonts w:ascii="Arial" w:hAnsi="Arial"/>
                <w:b/>
                <w:color w:val="0B2F6B"/>
                <w:sz w:val="18"/>
              </w:rPr>
              <w:t>Роль в системе</w:t>
            </w:r>
          </w:p>
        </w:tc>
        <w:tc>
          <w:tcPr>
            <w:tcW w:type="dxa" w:w="3457"/>
            <w:vAlign w:val="center"/>
            <w:shd w:fill="D9EAFB"/>
          </w:tcPr>
          <w:p>
            <w:r/>
            <w:r>
              <w:rPr>
                <w:rFonts w:ascii="Arial" w:hAnsi="Arial"/>
                <w:b/>
                <w:color w:val="0B2F6B"/>
                <w:sz w:val="18"/>
              </w:rPr>
              <w:t>Практический выход</w:t>
            </w:r>
          </w:p>
        </w:tc>
      </w:tr>
      <w:tr>
        <w:tc>
          <w:tcPr>
            <w:tcW w:type="dxa" w:w="3457"/>
            <w:vAlign w:val="center"/>
          </w:tcPr>
          <w:p>
            <w:r/>
            <w:r>
              <w:rPr>
                <w:rFonts w:ascii="Arial" w:hAnsi="Arial"/>
                <w:b/>
                <w:color w:val="1B1B1B"/>
                <w:sz w:val="17"/>
              </w:rPr>
              <w:t>ЭКВИЛИБРИУМ</w:t>
            </w:r>
          </w:p>
        </w:tc>
        <w:tc>
          <w:tcPr>
            <w:tcW w:type="dxa" w:w="3457"/>
            <w:vAlign w:val="center"/>
          </w:tcPr>
          <w:p>
            <w:r/>
            <w:r>
              <w:rPr>
                <w:rFonts w:ascii="Arial" w:hAnsi="Arial"/>
                <w:b w:val="0"/>
                <w:color w:val="1B1B1B"/>
                <w:sz w:val="17"/>
              </w:rPr>
              <w:t>Интеллектуальная ОС: наблюдение, смыслы, балансы, сценарии, связность решений.</w:t>
            </w:r>
          </w:p>
        </w:tc>
        <w:tc>
          <w:tcPr>
            <w:tcW w:type="dxa" w:w="3457"/>
            <w:vAlign w:val="center"/>
          </w:tcPr>
          <w:p>
            <w:r/>
            <w:r>
              <w:rPr>
                <w:rFonts w:ascii="Arial" w:hAnsi="Arial"/>
                <w:b w:val="0"/>
                <w:color w:val="1B1B1B"/>
                <w:sz w:val="17"/>
              </w:rPr>
              <w:t>Единая картина страны и моделирование последствий.</w:t>
            </w:r>
          </w:p>
        </w:tc>
      </w:tr>
      <w:tr>
        <w:tc>
          <w:tcPr>
            <w:tcW w:type="dxa" w:w="3457"/>
            <w:vAlign w:val="center"/>
          </w:tcPr>
          <w:p>
            <w:r/>
            <w:r>
              <w:rPr>
                <w:rFonts w:ascii="Arial" w:hAnsi="Arial"/>
                <w:b/>
                <w:color w:val="1B1B1B"/>
                <w:sz w:val="17"/>
              </w:rPr>
              <w:t>СФЕРА</w:t>
            </w:r>
          </w:p>
        </w:tc>
        <w:tc>
          <w:tcPr>
            <w:tcW w:type="dxa" w:w="3457"/>
            <w:vAlign w:val="center"/>
          </w:tcPr>
          <w:p>
            <w:r/>
            <w:r>
              <w:rPr>
                <w:rFonts w:ascii="Arial" w:hAnsi="Arial"/>
                <w:b w:val="0"/>
                <w:color w:val="1B1B1B"/>
                <w:sz w:val="17"/>
              </w:rPr>
              <w:t>Пространство инициатив и коммуникаций: сбор проектов, участников и смыслов.</w:t>
            </w:r>
          </w:p>
        </w:tc>
        <w:tc>
          <w:tcPr>
            <w:tcW w:type="dxa" w:w="3457"/>
            <w:vAlign w:val="center"/>
          </w:tcPr>
          <w:p>
            <w:r/>
            <w:r>
              <w:rPr>
                <w:rFonts w:ascii="Arial" w:hAnsi="Arial"/>
                <w:b w:val="0"/>
                <w:color w:val="1B1B1B"/>
                <w:sz w:val="17"/>
              </w:rPr>
              <w:t>Вход для гражданских, научных, предпринимательских и региональных инициатив.</w:t>
            </w:r>
          </w:p>
        </w:tc>
      </w:tr>
      <w:tr>
        <w:tc>
          <w:tcPr>
            <w:tcW w:type="dxa" w:w="3457"/>
            <w:vAlign w:val="center"/>
          </w:tcPr>
          <w:p>
            <w:r/>
            <w:r>
              <w:rPr>
                <w:rFonts w:ascii="Arial" w:hAnsi="Arial"/>
                <w:b/>
                <w:color w:val="1B1B1B"/>
                <w:sz w:val="17"/>
              </w:rPr>
              <w:t>ECO-PPA</w:t>
            </w:r>
          </w:p>
        </w:tc>
        <w:tc>
          <w:tcPr>
            <w:tcW w:type="dxa" w:w="3457"/>
            <w:vAlign w:val="center"/>
          </w:tcPr>
          <w:p>
            <w:r/>
            <w:r>
              <w:rPr>
                <w:rFonts w:ascii="Arial" w:hAnsi="Arial"/>
                <w:b w:val="0"/>
                <w:color w:val="1B1B1B"/>
                <w:sz w:val="17"/>
              </w:rPr>
              <w:t>Механизм мобилизации ресурсов и предупреждения угроз.</w:t>
            </w:r>
          </w:p>
        </w:tc>
        <w:tc>
          <w:tcPr>
            <w:tcW w:type="dxa" w:w="3457"/>
            <w:vAlign w:val="center"/>
          </w:tcPr>
          <w:p>
            <w:r/>
            <w:r>
              <w:rPr>
                <w:rFonts w:ascii="Arial" w:hAnsi="Arial"/>
                <w:b w:val="0"/>
                <w:color w:val="1B1B1B"/>
                <w:sz w:val="17"/>
              </w:rPr>
              <w:t>Пакеты пилотов, ресурсные соглашения, экологические и инфраструктурные контуры.</w:t>
            </w:r>
          </w:p>
        </w:tc>
      </w:tr>
      <w:tr>
        <w:tc>
          <w:tcPr>
            <w:tcW w:type="dxa" w:w="3457"/>
            <w:vAlign w:val="center"/>
          </w:tcPr>
          <w:p>
            <w:r/>
            <w:r>
              <w:rPr>
                <w:rFonts w:ascii="Arial" w:hAnsi="Arial"/>
                <w:b/>
                <w:color w:val="1B1B1B"/>
                <w:sz w:val="17"/>
              </w:rPr>
              <w:t>СПЕЦЗАЩИТА</w:t>
            </w:r>
          </w:p>
        </w:tc>
        <w:tc>
          <w:tcPr>
            <w:tcW w:type="dxa" w:w="3457"/>
            <w:vAlign w:val="center"/>
          </w:tcPr>
          <w:p>
            <w:r/>
            <w:r>
              <w:rPr>
                <w:rFonts w:ascii="Arial" w:hAnsi="Arial"/>
                <w:b w:val="0"/>
                <w:color w:val="1B1B1B"/>
                <w:sz w:val="17"/>
              </w:rPr>
              <w:t>Кооперационная организация исполнения и защиты проектов.</w:t>
            </w:r>
          </w:p>
        </w:tc>
        <w:tc>
          <w:tcPr>
            <w:tcW w:type="dxa" w:w="3457"/>
            <w:vAlign w:val="center"/>
          </w:tcPr>
          <w:p>
            <w:r/>
            <w:r>
              <w:rPr>
                <w:rFonts w:ascii="Arial" w:hAnsi="Arial"/>
                <w:b w:val="0"/>
                <w:color w:val="1B1B1B"/>
                <w:sz w:val="17"/>
              </w:rPr>
              <w:t>Консорциумы, пилоты, производственная кооперация, контроль рисков.</w:t>
            </w:r>
          </w:p>
        </w:tc>
      </w:tr>
    </w:tbl>
    <w:p>
      <w:pPr>
        <w:pStyle w:val="Heading1"/>
      </w:pPr>
      <w:r>
        <w:t>6. Пилотный запуск</w:t>
      </w:r>
    </w:p>
    <w:p>
      <w:pPr>
        <w:pStyle w:val="ListBullet"/>
      </w:pPr>
      <w:r>
        <w:t>Выбрать 3–5 территорий и 3–5 отраслевых направлений: строительство, энергетика, транспорт, экология, материалы, цифровые реестры.</w:t>
      </w:r>
    </w:p>
    <w:p>
      <w:pPr>
        <w:pStyle w:val="ListBullet"/>
      </w:pPr>
      <w:r>
        <w:t>Собрать базовые балансы: потребности, мощности, ресурсы, кадры, земля, инфраструктура, финансы, нормативные ограничения.</w:t>
      </w:r>
    </w:p>
    <w:p>
      <w:pPr>
        <w:pStyle w:val="ListBullet"/>
      </w:pPr>
      <w:r>
        <w:t>Создать паспорта пилотов: цель, эффект, цифровой двойник, исполнители, календарь, бюджет, риски, показатели контроля.</w:t>
      </w:r>
    </w:p>
    <w:p>
      <w:pPr>
        <w:pStyle w:val="ListBullet"/>
      </w:pPr>
      <w:r>
        <w:t>Запустить ежемесячный цикл обратной связи: план — факт — отклонения — причины — корректировка — новая версия плана.</w:t>
      </w:r>
    </w:p>
    <w:p>
      <w:pPr>
        <w:pStyle w:val="ListBullet"/>
      </w:pPr>
      <w:r>
        <w:t>Подготовить масштабирование на федеральный контур после проверки модели на пилотах.</w:t>
      </w:r>
    </w:p>
    <w:p>
      <w:pPr>
        <w:pStyle w:val="Heading1"/>
      </w:pPr>
      <w:r>
        <w:t>7. Дорожная карта на 12 месяцев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6" w:space="0" w:color="B8C5D6"/>
          <w:left w:val="single" w:sz="6" w:space="0" w:color="B8C5D6"/>
          <w:bottom w:val="single" w:sz="6" w:space="0" w:color="B8C5D6"/>
          <w:right w:val="single" w:sz="6" w:space="0" w:color="B8C5D6"/>
          <w:insideH w:val="single" w:sz="6" w:space="0" w:color="B8C5D6"/>
          <w:insideV w:val="single" w:sz="6" w:space="0" w:color="B8C5D6"/>
        </w:tblBorders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  <w:vAlign w:val="center"/>
            <w:shd w:fill="D9EAFB"/>
          </w:tcPr>
          <w:p>
            <w:r/>
            <w:r>
              <w:rPr>
                <w:rFonts w:ascii="Arial" w:hAnsi="Arial"/>
                <w:b/>
                <w:color w:val="0B2F6B"/>
                <w:sz w:val="18"/>
              </w:rPr>
              <w:t>Этап</w:t>
            </w:r>
          </w:p>
        </w:tc>
        <w:tc>
          <w:tcPr>
            <w:tcW w:type="dxa" w:w="2592"/>
            <w:vAlign w:val="center"/>
            <w:shd w:fill="D9EAFB"/>
          </w:tcPr>
          <w:p>
            <w:r/>
            <w:r>
              <w:rPr>
                <w:rFonts w:ascii="Arial" w:hAnsi="Arial"/>
                <w:b/>
                <w:color w:val="0B2F6B"/>
                <w:sz w:val="18"/>
              </w:rPr>
              <w:t>Срок</w:t>
            </w:r>
          </w:p>
        </w:tc>
        <w:tc>
          <w:tcPr>
            <w:tcW w:type="dxa" w:w="2592"/>
            <w:vAlign w:val="center"/>
            <w:shd w:fill="D9EAFB"/>
          </w:tcPr>
          <w:p>
            <w:r/>
            <w:r>
              <w:rPr>
                <w:rFonts w:ascii="Arial" w:hAnsi="Arial"/>
                <w:b/>
                <w:color w:val="0B2F6B"/>
                <w:sz w:val="18"/>
              </w:rPr>
              <w:t>Действия</w:t>
            </w:r>
          </w:p>
        </w:tc>
        <w:tc>
          <w:tcPr>
            <w:tcW w:type="dxa" w:w="2592"/>
            <w:vAlign w:val="center"/>
            <w:shd w:fill="D9EAFB"/>
          </w:tcPr>
          <w:p>
            <w:r/>
            <w:r>
              <w:rPr>
                <w:rFonts w:ascii="Arial" w:hAnsi="Arial"/>
                <w:b/>
                <w:color w:val="0B2F6B"/>
                <w:sz w:val="18"/>
              </w:rPr>
              <w:t>Результат</w:t>
            </w:r>
          </w:p>
        </w:tc>
      </w:tr>
      <w:tr>
        <w:tc>
          <w:tcPr>
            <w:tcW w:type="dxa" w:w="2592"/>
            <w:vAlign w:val="center"/>
          </w:tcPr>
          <w:p>
            <w:r/>
            <w:r>
              <w:rPr>
                <w:rFonts w:ascii="Arial" w:hAnsi="Arial"/>
                <w:b/>
                <w:color w:val="1B1B1B"/>
                <w:sz w:val="17"/>
              </w:rPr>
              <w:t>I. Сборка ядра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/>
                <w:b w:val="0"/>
                <w:color w:val="1B1B1B"/>
                <w:sz w:val="17"/>
              </w:rPr>
              <w:t>1–2 месяц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/>
                <w:b w:val="0"/>
                <w:color w:val="1B1B1B"/>
                <w:sz w:val="17"/>
              </w:rPr>
              <w:t>Рабочая группа, методика, перечень данных, шаблон паспорта проекта.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/>
                <w:b w:val="0"/>
                <w:color w:val="1B1B1B"/>
                <w:sz w:val="17"/>
              </w:rPr>
              <w:t>Единый регламент пилота.</w:t>
            </w:r>
          </w:p>
        </w:tc>
      </w:tr>
      <w:tr>
        <w:tc>
          <w:tcPr>
            <w:tcW w:type="dxa" w:w="2592"/>
            <w:vAlign w:val="center"/>
          </w:tcPr>
          <w:p>
            <w:r/>
            <w:r>
              <w:rPr>
                <w:rFonts w:ascii="Arial" w:hAnsi="Arial"/>
                <w:b/>
                <w:color w:val="1B1B1B"/>
                <w:sz w:val="17"/>
              </w:rPr>
              <w:t>II. Балансы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/>
                <w:b w:val="0"/>
                <w:color w:val="1B1B1B"/>
                <w:sz w:val="17"/>
              </w:rPr>
              <w:t>3–4 месяц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/>
                <w:b w:val="0"/>
                <w:color w:val="1B1B1B"/>
                <w:sz w:val="17"/>
              </w:rPr>
              <w:t>Сбор данных, карты дефицитов, реестр ресурсов и исполнителей.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/>
                <w:b w:val="0"/>
                <w:color w:val="1B1B1B"/>
                <w:sz w:val="17"/>
              </w:rPr>
              <w:t>Первая версия балансов.</w:t>
            </w:r>
          </w:p>
        </w:tc>
      </w:tr>
      <w:tr>
        <w:tc>
          <w:tcPr>
            <w:tcW w:type="dxa" w:w="2592"/>
            <w:vAlign w:val="center"/>
          </w:tcPr>
          <w:p>
            <w:r/>
            <w:r>
              <w:rPr>
                <w:rFonts w:ascii="Arial" w:hAnsi="Arial"/>
                <w:b/>
                <w:color w:val="1B1B1B"/>
                <w:sz w:val="17"/>
              </w:rPr>
              <w:t>III. Проектирование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/>
                <w:b w:val="0"/>
                <w:color w:val="1B1B1B"/>
                <w:sz w:val="17"/>
              </w:rPr>
              <w:t>5–7 месяц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/>
                <w:b w:val="0"/>
                <w:color w:val="1B1B1B"/>
                <w:sz w:val="17"/>
              </w:rPr>
              <w:t>Цифровые модели, техзадания, календарные планы, риск-карты.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/>
                <w:b w:val="0"/>
                <w:color w:val="1B1B1B"/>
                <w:sz w:val="17"/>
              </w:rPr>
              <w:t>Пакет проектных решений.</w:t>
            </w:r>
          </w:p>
        </w:tc>
      </w:tr>
      <w:tr>
        <w:tc>
          <w:tcPr>
            <w:tcW w:type="dxa" w:w="2592"/>
            <w:vAlign w:val="center"/>
          </w:tcPr>
          <w:p>
            <w:r/>
            <w:r>
              <w:rPr>
                <w:rFonts w:ascii="Arial" w:hAnsi="Arial"/>
                <w:b/>
                <w:color w:val="1B1B1B"/>
                <w:sz w:val="17"/>
              </w:rPr>
              <w:t>IV. Исполнение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/>
                <w:b w:val="0"/>
                <w:color w:val="1B1B1B"/>
                <w:sz w:val="17"/>
              </w:rPr>
              <w:t>8–10 месяц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/>
                <w:b w:val="0"/>
                <w:color w:val="1B1B1B"/>
                <w:sz w:val="17"/>
              </w:rPr>
              <w:t>Запуск пилотных работ, кооперация, контроль поставок и кадров.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/>
                <w:b w:val="0"/>
                <w:color w:val="1B1B1B"/>
                <w:sz w:val="17"/>
              </w:rPr>
              <w:t>Первые физические и управленческие результаты.</w:t>
            </w:r>
          </w:p>
        </w:tc>
      </w:tr>
      <w:tr>
        <w:tc>
          <w:tcPr>
            <w:tcW w:type="dxa" w:w="2592"/>
            <w:vAlign w:val="center"/>
          </w:tcPr>
          <w:p>
            <w:r/>
            <w:r>
              <w:rPr>
                <w:rFonts w:ascii="Arial" w:hAnsi="Arial"/>
                <w:b/>
                <w:color w:val="1B1B1B"/>
                <w:sz w:val="17"/>
              </w:rPr>
              <w:t>V. Масштабирование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/>
                <w:b w:val="0"/>
                <w:color w:val="1B1B1B"/>
                <w:sz w:val="17"/>
              </w:rPr>
              <w:t>11–12 месяц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/>
                <w:b w:val="0"/>
                <w:color w:val="1B1B1B"/>
                <w:sz w:val="17"/>
              </w:rPr>
              <w:t>Оценка эффективности, корректировка методики, федеральное предложение.</w:t>
            </w:r>
          </w:p>
        </w:tc>
        <w:tc>
          <w:tcPr>
            <w:tcW w:type="dxa" w:w="2592"/>
            <w:vAlign w:val="center"/>
          </w:tcPr>
          <w:p>
            <w:r/>
            <w:r>
              <w:rPr>
                <w:rFonts w:ascii="Arial" w:hAnsi="Arial"/>
                <w:b w:val="0"/>
                <w:color w:val="1B1B1B"/>
                <w:sz w:val="17"/>
              </w:rPr>
              <w:t>Пакет внедрения на следующий цикл.</w:t>
            </w:r>
          </w:p>
        </w:tc>
      </w:tr>
    </w:tbl>
    <w:p>
      <w:pPr>
        <w:pStyle w:val="Heading1"/>
      </w:pPr>
      <w:r>
        <w:t>8. Итоговая формула</w:t>
      </w:r>
    </w:p>
    <w:p>
      <w:pPr>
        <w:jc w:val="center"/>
      </w:pPr>
      <w:r>
        <w:rPr>
          <w:b/>
          <w:color w:val="0B2F6B"/>
          <w:sz w:val="26"/>
        </w:rPr>
        <w:t>Стратегия + Балансы + Проектирование + Ресурсы + Исполнение + Обратная связь = управляемое развитие страны</w:t>
      </w:r>
    </w:p>
    <w:p>
      <w:r>
        <w:t>Система планирования и конструирования должна стать рабочей машиной развития: не заменять существующие институты, а связывать их в проверяемый цикл, где каждый проект имеет место в общей архитектуре России.</w:t>
      </w:r>
    </w:p>
    <w:sectPr w:rsidR="00FC693F" w:rsidRPr="0006063C" w:rsidSect="00034616">
      <w:pgSz w:w="12240" w:h="15840"/>
      <w:pgMar w:top="822" w:right="935" w:bottom="765" w:left="93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0B2F6B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0B2F6B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0B2F6B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0B2F6B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