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F6B"/>
          <w:sz w:val="60"/>
        </w:rPr>
        <w:t>РОССИЯ</w:t>
        <w:br/>
        <w:t>НОВЫЙ УКЛАД</w:t>
      </w:r>
    </w:p>
    <w:p>
      <w:pPr>
        <w:jc w:val="center"/>
      </w:pPr>
      <w:r>
        <w:rPr>
          <w:b/>
          <w:color w:val="1F497D"/>
          <w:sz w:val="26"/>
        </w:rPr>
        <w:t>Стратегическая модель перехода к технологическому, инфраструктурному и человеческому развитию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309360" cy="35509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оссия_новый_уклад_развития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550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A5A5A"/>
        </w:rPr>
        <w:t>Версия для стратегического пакета: документ + презентация + визуальный образ</w:t>
      </w:r>
    </w:p>
    <w:p>
      <w:r>
        <w:br w:type="page"/>
      </w:r>
    </w:p>
    <w:p>
      <w:pPr>
        <w:pStyle w:val="Heading1"/>
      </w:pPr>
      <w:r>
        <w:t>1. Исполнительное резюме</w:t>
      </w:r>
    </w:p>
    <w:p>
      <w:pPr>
        <w:spacing w:after="120"/>
      </w:pPr>
      <w:r>
        <w:t>Новый Уклад — это не смена лозунга, а переход к системе, где цели, балансы, проекты, ресурсы, производство, контроль и обратная связь работают как единый контур развития страны.</w:t>
      </w:r>
    </w:p>
    <w:p>
      <w:pPr>
        <w:spacing w:after="120"/>
      </w:pPr>
      <w:r>
        <w:t>Базовая идея: Россия должна управлять не отдельными программами, а связанной системой балансов: технологических, промышленных, инфраструктурных, кадровых, финансовых, территориальных и биоценозных.</w:t>
      </w:r>
    </w:p>
    <w:p>
      <w:pPr>
        <w:spacing w:after="120"/>
      </w:pPr>
      <w:r>
        <w:t>Главный результат — превращение разрозненных активов, институтов, госкорпораций, научных школ и территорий в согласованную систему национального конструирования.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20"/>
              </w:rPr>
              <w:t>Опора</w:t>
            </w:r>
          </w:p>
        </w:tc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9"/>
              </w:rPr>
              <w:t>Национальные цели 2030/2036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8"/>
              </w:rPr>
              <w:t>Сохранение населения, реализация потенциала человека, комфортная среда, экологическое благополучие, устойчивая экономика, технологическое лидерство, цифровая трансформация.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9"/>
              </w:rPr>
              <w:t>Наука и технологии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8"/>
              </w:rPr>
              <w:t>Переход от закупки готовых решений к созданию собственных критических технологий, научных заделов, материалов и инженерных школ.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9"/>
              </w:rPr>
              <w:t>Промышленный контур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8"/>
              </w:rPr>
              <w:t>Синхронизация обрабатывающей промышленности, машиностроения, приборостроения, материаловедения, энергетики и инфраструктуры.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9"/>
              </w:rPr>
              <w:t>ЭКВИЛИБРИУМ / метабаланс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8"/>
              </w:rPr>
              <w:t>Надстройка, связывающая данные, прогнозы, межотраслевые балансы, государственные реестры и контуры исполнения.</w:t>
            </w:r>
          </w:p>
        </w:tc>
      </w:tr>
    </w:tbl>
    <w:p>
      <w:pPr>
        <w:pStyle w:val="Heading1"/>
      </w:pPr>
      <w:r>
        <w:t>2. Формула Нового Уклада</w:t>
      </w:r>
    </w:p>
    <w:p>
      <w:pPr>
        <w:jc w:val="center"/>
      </w:pPr>
      <w:r>
        <w:rPr>
          <w:b/>
          <w:color w:val="0B2F6B"/>
          <w:sz w:val="26"/>
        </w:rPr>
        <w:t>Новый Уклад = суверенное планирование + наука + индустрия + энергетика + человек + цифровой контур + биоценозы + кооперация</w:t>
      </w:r>
    </w:p>
    <w:p>
      <w:pPr>
        <w:pStyle w:val="Heading1"/>
      </w:pPr>
      <w:r>
        <w:t>3. Восемь контуров перехода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Контур</w:t>
            </w:r>
          </w:p>
        </w:tc>
        <w:tc>
          <w:tcPr>
            <w:tcW w:type="dxa" w:w="3456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Задача</w:t>
            </w:r>
          </w:p>
        </w:tc>
        <w:tc>
          <w:tcPr>
            <w:tcW w:type="dxa" w:w="3456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Результат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1. Суверенное планирование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Переход от ведомственного планирования к единому государственному контуру целей, балансов и проектирования.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2. Наука и технологии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Фокус на критических технологиях, инженерных школах, испытательных полигонах, валидации и быстром внедрении.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3. Индустрия и новые материалы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Сборка отраслей вокруг материаловедения, синтетических кристаллов, керамик, микроэлектроники, машин и оборудования.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4. Энергетика и инфраструктура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Связь энергосистем, транспорта, ЖКХ, строительства, логистики и распределенной генерации в единую карту устойчивости.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5. Человек, образование и кадры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Подготовка кадров под реальные производственные цепочки: инженер, технолог, конструктор, оператор данных, управленец проекта.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6. Цифровой контур и ИИ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Федеративные базы данных, вычислительный ГРИД, цифровые двойники, моделирование, прогнозирование и контроль исполнения.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7. Экология и биоценозы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Баланс воздуха, воды, почв, биоты, здоровья человека и техногенной нагрузки как часть экономического планирования.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8. Межрегиональная кооперация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Сшивка регионов через производственные задания, логистику, рынки труда, научные центры, фонды и кооперационные договоры.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Измеримый вклад в метабаланс страны</w:t>
            </w:r>
          </w:p>
        </w:tc>
      </w:tr>
    </w:tbl>
    <w:p>
      <w:pPr>
        <w:pStyle w:val="Heading1"/>
      </w:pPr>
      <w:r>
        <w:t>4. Архитектура системы</w:t>
      </w:r>
    </w:p>
    <w:p>
      <w:pPr>
        <w:pStyle w:val="Heading2"/>
      </w:pPr>
      <w:r>
        <w:t>Целевой слой</w:t>
      </w:r>
    </w:p>
    <w:p>
      <w:r>
        <w:t>национальные цели, безопасность, качество жизни, суверенитет, технологическое лидерство</w:t>
      </w:r>
    </w:p>
    <w:p>
      <w:pPr>
        <w:pStyle w:val="Heading2"/>
      </w:pPr>
      <w:r>
        <w:t>Балансовый слой</w:t>
      </w:r>
    </w:p>
    <w:p>
      <w:r>
        <w:t>межотраслевые, территориальные, кадровые, энергетические, финансовые и биоценозные балансы</w:t>
      </w:r>
    </w:p>
    <w:p>
      <w:pPr>
        <w:pStyle w:val="Heading2"/>
      </w:pPr>
      <w:r>
        <w:t>Конструкторский слой</w:t>
      </w:r>
    </w:p>
    <w:p>
      <w:r>
        <w:t>портфели проектов, дорожные карты, стандарты, проектные задания, цифровые двойники</w:t>
      </w:r>
    </w:p>
    <w:p>
      <w:pPr>
        <w:pStyle w:val="Heading2"/>
      </w:pPr>
      <w:r>
        <w:t>Исполнительный слой</w:t>
      </w:r>
    </w:p>
    <w:p>
      <w:r>
        <w:t>госкорпорации, министерства, регионы, институты развития, фонды, научные и производственные консорциумы</w:t>
      </w:r>
    </w:p>
    <w:p>
      <w:pPr>
        <w:pStyle w:val="Heading2"/>
      </w:pPr>
      <w:r>
        <w:t>Контрольный слой</w:t>
      </w:r>
    </w:p>
    <w:p>
      <w:r>
        <w:t>KPI, аудит эффектов, обратная связь, корректировка планов, публичные панели мониторинга</w:t>
      </w:r>
    </w:p>
    <w:p>
      <w:pPr>
        <w:pStyle w:val="Heading1"/>
      </w:pPr>
      <w:r>
        <w:t>5. Выходы в Новый Уклад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Выход</w:t>
            </w:r>
          </w:p>
        </w:tc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Содержание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Новая индустриализация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производственные цепочки полного цикла, станки, приборы, материалы, роботизация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Материаловедческий прорыв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керамики, синтетические кристаллы, композиты, редкоземельные цепочки, лаборатории и полигоны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Вычислительный ГРИД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суверенные вычисления, распределенные ЦОД, инженерное моделирование, ИИ-контур управления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Система фондов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целевые фонды проектов, региональные фонды, именные и отраслевые фонды, возвратная модель капитала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Биоценозный баланс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привязка экономики к состоянию воды, почвы, воздуха, лесов, здоровья и продовольственной безопасности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Территориальный метабаланс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каждый регион получает роль в общей производственной и научной архитектуре страны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7"/>
              </w:rPr>
              <w:t>Экспорт уклада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6"/>
              </w:rPr>
              <w:t>поставка не только ресурсов, а стандартов, технологий, инфраструктурных решений и образовательных программ</w:t>
            </w:r>
          </w:p>
        </w:tc>
      </w:tr>
    </w:tbl>
    <w:p>
      <w:pPr>
        <w:pStyle w:val="Heading1"/>
      </w:pPr>
      <w:r>
        <w:t>6. Дорожная карта 2026–2030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Год</w:t>
            </w:r>
          </w:p>
        </w:tc>
        <w:tc>
          <w:tcPr>
            <w:tcW w:type="dxa" w:w="5184"/>
            <w:vAlign w:val="center"/>
            <w:shd w:fill="0B2F6B"/>
          </w:tcPr>
          <w:p>
            <w:r/>
            <w:r>
              <w:rPr>
                <w:b/>
                <w:color w:val="FFFFFF"/>
                <w:sz w:val="19"/>
              </w:rPr>
              <w:t>Решение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8"/>
              </w:rPr>
              <w:t>2026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7"/>
              </w:rPr>
              <w:t>Сбор метабаланса: госкорпорации, отрасли, регионы, критические технологии, кадры, фонды.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8"/>
              </w:rPr>
              <w:t>2027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7"/>
              </w:rPr>
              <w:t>Запуск пилотных контуров: новые материалы, энергетика, цифровой ГРИД, биоценозные точки мониторинга.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8"/>
              </w:rPr>
              <w:t>2028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7"/>
              </w:rPr>
              <w:t>Масштабирование кооперации: межрегиональные цепочки, стандарты проектирования, федеральные панели контроля.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8"/>
              </w:rPr>
              <w:t>2029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7"/>
              </w:rPr>
              <w:t>Институционализация: постоянные фонды, единые реестры, центр валидации эффектов, экспортная витрина.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color w:val="0B2F6B"/>
                <w:sz w:val="18"/>
              </w:rPr>
              <w:t>2030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color w:val="222222"/>
                <w:sz w:val="17"/>
              </w:rPr>
              <w:t>Переход к режиму непрерывного конструирования страны: прогноз, баланс, проект, производство, аудит.</w:t>
            </w:r>
          </w:p>
        </w:tc>
      </w:tr>
    </w:tbl>
    <w:p>
      <w:pPr>
        <w:pStyle w:val="Heading1"/>
      </w:pPr>
      <w:r>
        <w:t>7. KPI и контроль</w:t>
      </w:r>
    </w:p>
    <w:p>
      <w:pPr>
        <w:pStyle w:val="ListBullet"/>
      </w:pPr>
      <w:r>
        <w:t>доля проектов с цифровым двойником и балансовым паспортом</w:t>
      </w:r>
    </w:p>
    <w:p>
      <w:pPr>
        <w:pStyle w:val="ListBullet"/>
      </w:pPr>
      <w:r>
        <w:t>количество межрегиональных производственных цепочек</w:t>
      </w:r>
    </w:p>
    <w:p>
      <w:pPr>
        <w:pStyle w:val="ListBullet"/>
      </w:pPr>
      <w:r>
        <w:t>снижение критической импортозависимости по материалам и оборудованию</w:t>
      </w:r>
    </w:p>
    <w:p>
      <w:pPr>
        <w:pStyle w:val="ListBullet"/>
      </w:pPr>
      <w:r>
        <w:t>прирост производительности в пилотных отраслях</w:t>
      </w:r>
    </w:p>
    <w:p>
      <w:pPr>
        <w:pStyle w:val="ListBullet"/>
      </w:pPr>
      <w:r>
        <w:t>число подготовленных инженеров, технологов и операторов данных</w:t>
      </w:r>
    </w:p>
    <w:p>
      <w:pPr>
        <w:pStyle w:val="ListBullet"/>
      </w:pPr>
      <w:r>
        <w:t>количество биоценозных точек мониторинга и восстановленных территорий</w:t>
      </w:r>
    </w:p>
    <w:p>
      <w:pPr>
        <w:pStyle w:val="ListBullet"/>
      </w:pPr>
      <w:r>
        <w:t>объем фондового финансирования проектов полного цикла</w:t>
      </w:r>
    </w:p>
    <w:p>
      <w:pPr>
        <w:pStyle w:val="Heading1"/>
      </w:pPr>
      <w:r>
        <w:t>8. Источники и нормативные опоры</w:t>
      </w:r>
    </w:p>
    <w:p>
      <w:pPr>
        <w:pStyle w:val="ListNumber"/>
      </w:pPr>
      <w:r>
        <w:t>Указ Президента РФ от 07.05.2024 №309 «О национальных целях развития Российской Федерации на период до 2030 года и на перспективу до 2036 года».</w:t>
      </w:r>
    </w:p>
    <w:p>
      <w:pPr>
        <w:pStyle w:val="ListNumber"/>
      </w:pPr>
      <w:r>
        <w:t>Указ Президента РФ от 28.02.2024 №145 «О Стратегии научно-технологического развития Российской Федерации».</w:t>
      </w:r>
    </w:p>
    <w:p>
      <w:pPr>
        <w:pStyle w:val="ListNumber"/>
      </w:pPr>
      <w:r>
        <w:t>Распоряжение Правительства РФ от 06.06.2020 №1512-р, Сводная стратегия развития обрабатывающей промышленности РФ до 2030 года и на период до 2035 года, с изменениями 2024–2026 годов.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F6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497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F6B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