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00"/>
        <w:jc w:val="center"/>
      </w:pPr>
      <w:r>
        <w:rPr>
          <w:b/>
          <w:sz w:val="56"/>
        </w:rPr>
        <w:t>РОССИЯ</w:t>
        <w:br/>
        <w:t>НАУКИ БУДУЩЕГО</w:t>
      </w:r>
    </w:p>
    <w:p>
      <w:pPr>
        <w:jc w:val="center"/>
      </w:pPr>
      <w:r>
        <w:rPr>
          <w:i/>
          <w:sz w:val="28"/>
        </w:rPr>
        <w:t>Стратегическая концепция формирования научно-технологической цивилизации XXI века</w:t>
      </w:r>
    </w:p>
    <w:p>
      <w:pPr>
        <w:spacing w:before="3000"/>
        <w:jc w:val="center"/>
      </w:pPr>
      <w:r>
        <w:rPr>
          <w:sz w:val="20"/>
        </w:rPr>
        <w:t>ЭКВИЛИБРИУМ • Россия • 2026</w:t>
      </w:r>
    </w:p>
    <w:p>
      <w:r>
        <w:br w:type="page"/>
      </w:r>
    </w:p>
    <w:p>
      <w:pPr>
        <w:pStyle w:val="Heading1"/>
      </w:pPr>
      <w:r>
        <w:t>1. Резюме</w:t>
      </w:r>
    </w:p>
    <w:p>
      <w:r>
        <w:t>Россия располагает редким сочетанием фундаментальной научной школы, инженерной культуры, пространственного масштаба, природных ресурсов, космического опыта и исторической способности создавать крупные научно-технологические системы. Задача следующего этапа — превратить это наследие в целостную архитектуру Наук Будущего.</w:t>
      </w:r>
    </w:p>
    <w:p>
      <w:r>
        <w:t>Науки Будущего — это совокупность фундаментальных, прикладных и цивилизационных дисциплин, ориентированных не только на объяснение мира, но и на безопасное проектирование будущего: человека, общества, биосферы, энергетики, цифровой среды и космической экспансии.</w:t>
      </w:r>
    </w:p>
    <w:p>
      <w:r>
        <w:t>Предлагаемая модель строится на трех контурах: фундаментальная наука; прорывные технологические дисциплины; цивилизационные науки. Они объединяются общей инфраструктурой данных, искусственного интеллекта, экспериментальных полигонов, национальных лабораторий и системы внедрения.</w:t>
      </w:r>
    </w:p>
    <w:p>
      <w:pPr>
        <w:pStyle w:val="Heading1"/>
      </w:pPr>
      <w:r>
        <w:t>2. Стратегическая цель</w:t>
      </w:r>
    </w:p>
    <w:p>
      <w:r>
        <w:t>Сформировать к 2040 году российскую систему Наук Будущего как национальную среду производства знаний, технологий и моделей развития, способную обеспечивать суверенитет, качество жизни, экологическое равновесие, международное научное лидерство и долгосрочную устойчивость страны.</w:t>
      </w:r>
    </w:p>
    <w:p>
      <w:pPr>
        <w:pStyle w:val="Heading1"/>
      </w:pPr>
      <w:r>
        <w:t>3. Принципы</w:t>
      </w:r>
    </w:p>
    <w:p>
      <w:pPr>
        <w:pStyle w:val="ListBullet"/>
      </w:pPr>
      <w:r>
        <w:rPr>
          <w:b/>
        </w:rPr>
        <w:t xml:space="preserve">Целостность: </w:t>
      </w:r>
      <w:r>
        <w:t>Связь фундаментальной науки, инженерии, природы, человека, экономики и культуры.</w:t>
      </w:r>
    </w:p>
    <w:p>
      <w:pPr>
        <w:pStyle w:val="ListBullet"/>
      </w:pPr>
      <w:r>
        <w:rPr>
          <w:b/>
        </w:rPr>
        <w:t xml:space="preserve">Доказательность: </w:t>
      </w:r>
      <w:r>
        <w:t>Разделение научно подтвержденных результатов, гипотез и мировоззренческих концепций.</w:t>
      </w:r>
    </w:p>
    <w:p>
      <w:pPr>
        <w:pStyle w:val="ListBullet"/>
      </w:pPr>
      <w:r>
        <w:rPr>
          <w:b/>
        </w:rPr>
        <w:t xml:space="preserve">Суверенность: </w:t>
      </w:r>
      <w:r>
        <w:t>Критические знания, данные и технологии должны иметь российский контур воспроизводства.</w:t>
      </w:r>
    </w:p>
    <w:p>
      <w:pPr>
        <w:pStyle w:val="ListBullet"/>
      </w:pPr>
      <w:r>
        <w:rPr>
          <w:b/>
        </w:rPr>
        <w:t xml:space="preserve">Кооперация: </w:t>
      </w:r>
      <w:r>
        <w:t>Междисциплинарные консорциумы вместо изоляции научных школ.</w:t>
      </w:r>
    </w:p>
    <w:p>
      <w:pPr>
        <w:pStyle w:val="ListBullet"/>
      </w:pPr>
      <w:r>
        <w:rPr>
          <w:b/>
        </w:rPr>
        <w:t xml:space="preserve">Долгий горизонт: </w:t>
      </w:r>
      <w:r>
        <w:t>Программы на 15–30 лет с промежуточными измеримыми результатами.</w:t>
      </w:r>
    </w:p>
    <w:p>
      <w:pPr>
        <w:pStyle w:val="ListBullet"/>
      </w:pPr>
      <w:r>
        <w:rPr>
          <w:b/>
        </w:rPr>
        <w:t xml:space="preserve">Этичность: </w:t>
      </w:r>
      <w:r>
        <w:t>Технологическая мощность должна сопровождаться оценкой рисков и общественных последствий.</w:t>
      </w:r>
    </w:p>
    <w:p>
      <w:pPr>
        <w:pStyle w:val="ListBullet"/>
      </w:pPr>
      <w:r>
        <w:rPr>
          <w:b/>
        </w:rPr>
        <w:t xml:space="preserve">Открытость миру: </w:t>
      </w:r>
      <w:r>
        <w:t>Научный суверенитет не означает изоляцию; Россия должна быть центром международной кооперации.</w:t>
      </w:r>
    </w:p>
    <w:p>
      <w:pPr>
        <w:pStyle w:val="Heading1"/>
      </w:pPr>
      <w:r>
        <w:t>4. Архитектура Наук Будущего</w:t>
      </w:r>
    </w:p>
    <w:p>
      <w:r>
        <w:t>Система включает три взаимосвязанных контура.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t>Контур</w:t>
            </w:r>
          </w:p>
        </w:tc>
        <w:tc>
          <w:tcPr>
            <w:tcW w:type="dxa" w:w="3249"/>
          </w:tcPr>
          <w:p>
            <w:r>
              <w:t>Назначение</w:t>
            </w:r>
          </w:p>
        </w:tc>
        <w:tc>
          <w:tcPr>
            <w:tcW w:type="dxa" w:w="3249"/>
          </w:tcPr>
          <w:p>
            <w:r>
              <w:t>Примеры</w:t>
            </w:r>
          </w:p>
        </w:tc>
      </w:tr>
      <w:tr>
        <w:tc>
          <w:tcPr>
            <w:tcW w:type="dxa" w:w="3249"/>
            <w:vAlign w:val="center"/>
          </w:tcPr>
          <w:p>
            <w:r>
              <w:t>I. Фундаментальный</w:t>
            </w:r>
          </w:p>
        </w:tc>
        <w:tc>
          <w:tcPr>
            <w:tcW w:type="dxa" w:w="3249"/>
            <w:vAlign w:val="center"/>
          </w:tcPr>
          <w:p>
            <w:r>
              <w:t>Открытие новых закономерностей природы, жизни, информации и сложных систем</w:t>
            </w:r>
          </w:p>
        </w:tc>
        <w:tc>
          <w:tcPr>
            <w:tcW w:type="dxa" w:w="3249"/>
            <w:vAlign w:val="center"/>
          </w:tcPr>
          <w:p>
            <w:r>
              <w:t>Физика, математика, космология, биология, науки о Земле, когнитивные науки</w:t>
            </w:r>
          </w:p>
        </w:tc>
      </w:tr>
      <w:tr>
        <w:tc>
          <w:tcPr>
            <w:tcW w:type="dxa" w:w="3249"/>
            <w:vAlign w:val="center"/>
          </w:tcPr>
          <w:p>
            <w:r>
              <w:t>II. Технологический</w:t>
            </w:r>
          </w:p>
        </w:tc>
        <w:tc>
          <w:tcPr>
            <w:tcW w:type="dxa" w:w="3249"/>
            <w:vAlign w:val="center"/>
          </w:tcPr>
          <w:p>
            <w:r>
              <w:t>Создание платформ, материалов, машин, энергетики и медицины нового поколения</w:t>
            </w:r>
          </w:p>
        </w:tc>
        <w:tc>
          <w:tcPr>
            <w:tcW w:type="dxa" w:w="3249"/>
            <w:vAlign w:val="center"/>
          </w:tcPr>
          <w:p>
            <w:r>
              <w:t>ИИ, квантовые технологии, робототехника, биоинженерия, новые материалы, энергетика</w:t>
            </w:r>
          </w:p>
        </w:tc>
      </w:tr>
      <w:tr>
        <w:tc>
          <w:tcPr>
            <w:tcW w:type="dxa" w:w="3249"/>
            <w:vAlign w:val="center"/>
          </w:tcPr>
          <w:p>
            <w:r>
              <w:t>III. Цивилизационный</w:t>
            </w:r>
          </w:p>
        </w:tc>
        <w:tc>
          <w:tcPr>
            <w:tcW w:type="dxa" w:w="3249"/>
            <w:vAlign w:val="center"/>
          </w:tcPr>
          <w:p>
            <w:r>
              <w:t>Проектирование устойчивого общества и безопасного применения технологий</w:t>
            </w:r>
          </w:p>
        </w:tc>
        <w:tc>
          <w:tcPr>
            <w:tcW w:type="dxa" w:w="3249"/>
            <w:vAlign w:val="center"/>
          </w:tcPr>
          <w:p>
            <w:r>
              <w:t>Системная наука, наука управления, биоэкономика, этика технологий, прогнозирование, науки о кооперации</w:t>
            </w:r>
          </w:p>
        </w:tc>
      </w:tr>
    </w:tbl>
    <w:p>
      <w:pPr>
        <w:pStyle w:val="Heading1"/>
      </w:pPr>
      <w:r>
        <w:t>5. Фундаментальные науки будущего</w:t>
      </w:r>
    </w:p>
    <w:p>
      <w:pPr>
        <w:pStyle w:val="Heading2"/>
      </w:pPr>
      <w:r>
        <w:t>5.1. Новая физика и космология</w:t>
      </w:r>
    </w:p>
    <w:p>
      <w:r>
        <w:t>Исследование материи, энергии, плазмы, гравитации, экстремальных состояний вещества, физики высоких энергий и космических процессов. Приоритет — фундаментальная база для энергетики, материаловедения и космических технологий.</w:t>
      </w:r>
    </w:p>
    <w:p>
      <w:pPr>
        <w:pStyle w:val="Heading2"/>
      </w:pPr>
      <w:r>
        <w:t>5.2. Математика сложных систем</w:t>
      </w:r>
    </w:p>
    <w:p>
      <w:r>
        <w:t>Нелинейная динамика, теория сетей, многомасштабное моделирование, теория управления, причинный анализ, вычислительная математика и новые методы оптимизации.</w:t>
      </w:r>
    </w:p>
    <w:p>
      <w:pPr>
        <w:pStyle w:val="Heading2"/>
      </w:pPr>
      <w:r>
        <w:t>5.3. Науки о жизни</w:t>
      </w:r>
    </w:p>
    <w:p>
      <w:r>
        <w:t>Системная биология, геномика, протеомика, синтетическая биология, биофизика, эволюционные механизмы и управление биологической устойчивостью.</w:t>
      </w:r>
    </w:p>
    <w:p>
      <w:pPr>
        <w:pStyle w:val="Heading2"/>
      </w:pPr>
      <w:r>
        <w:t>5.4. Науки о Земле и биосфере</w:t>
      </w:r>
    </w:p>
    <w:p>
      <w:r>
        <w:t>Климат, гидросфера, почвы, леса, биоразнообразие и сопряжение природных и техногенных систем. Переход от мониторинга отдельных параметров к наблюдению биоценозов как целостных систем.</w:t>
      </w:r>
    </w:p>
    <w:p>
      <w:pPr>
        <w:pStyle w:val="Heading2"/>
      </w:pPr>
      <w:r>
        <w:t>5.5. Когнитивные науки</w:t>
      </w:r>
    </w:p>
    <w:p>
      <w:r>
        <w:t>Исследование мозга, интеллекта, восприятия, памяти, обучения и взаимодействия человека с искусственными интеллектуальными системами.</w:t>
      </w:r>
    </w:p>
    <w:p>
      <w:pPr>
        <w:pStyle w:val="Heading2"/>
      </w:pPr>
      <w:r>
        <w:t>5.6. Наука об информации</w:t>
      </w:r>
    </w:p>
    <w:p>
      <w:r>
        <w:t>Фундаментальные пределы вычислений, теория кодирования, сложность, информационная безопасность и новые модели вычислительных сред.</w:t>
      </w:r>
    </w:p>
    <w:p>
      <w:pPr>
        <w:pStyle w:val="Heading1"/>
      </w:pPr>
      <w:r>
        <w:t>6. Прорывные технологические дисциплины</w:t>
      </w:r>
    </w:p>
    <w:p>
      <w:pPr>
        <w:pStyle w:val="ListBullet"/>
      </w:pPr>
      <w:r>
        <w:rPr>
          <w:b/>
        </w:rPr>
        <w:t xml:space="preserve">Искусственный интеллект нового поколения. </w:t>
      </w:r>
      <w:r>
        <w:t>Мультимодальные модели, агентные системы, научный ИИ, доверенный ИИ, человеко-машинные коллективы, автоматизация научных открытий.</w:t>
      </w:r>
    </w:p>
    <w:p>
      <w:pPr>
        <w:pStyle w:val="ListBullet"/>
      </w:pPr>
      <w:r>
        <w:rPr>
          <w:b/>
        </w:rPr>
        <w:t xml:space="preserve">Квантовые технологии. </w:t>
      </w:r>
      <w:r>
        <w:t>Квантовые вычисления, сенсоры, связь, метрология и моделирование материалов.</w:t>
      </w:r>
    </w:p>
    <w:p>
      <w:pPr>
        <w:pStyle w:val="ListBullet"/>
      </w:pPr>
      <w:r>
        <w:rPr>
          <w:b/>
        </w:rPr>
        <w:t xml:space="preserve">Робототехника и автономные системы. </w:t>
      </w:r>
      <w:r>
        <w:t>Промышленные, сервисные, медицинские, транспортные, подводные, арктические и космические комплексы.</w:t>
      </w:r>
    </w:p>
    <w:p>
      <w:pPr>
        <w:pStyle w:val="ListBullet"/>
      </w:pPr>
      <w:r>
        <w:rPr>
          <w:b/>
        </w:rPr>
        <w:t xml:space="preserve">Новые материалы. </w:t>
      </w:r>
      <w:r>
        <w:t>Сверхпрочные, легкие, жаростойкие, биосовместимые, функциональные, композиционные, метаматериалы и материалы высокой чистоты.</w:t>
      </w:r>
    </w:p>
    <w:p>
      <w:pPr>
        <w:pStyle w:val="ListBullet"/>
      </w:pPr>
      <w:r>
        <w:rPr>
          <w:b/>
        </w:rPr>
        <w:t xml:space="preserve">Энергетика будущего. </w:t>
      </w:r>
      <w:r>
        <w:t>Термоядерные исследования, ядерные технологии нового поколения, накопители, распределенная генерация, водородные решения, интеллектуальные энергосети.</w:t>
      </w:r>
    </w:p>
    <w:p>
      <w:pPr>
        <w:pStyle w:val="ListBullet"/>
      </w:pPr>
      <w:r>
        <w:rPr>
          <w:b/>
        </w:rPr>
        <w:t xml:space="preserve">Биоинженерия и медицина. </w:t>
      </w:r>
      <w:r>
        <w:t>Персонализированная медицина, регенеративные технологии, клеточная инженерия, цифровые двойники организма, биопечать и превентивная диагностика.</w:t>
      </w:r>
    </w:p>
    <w:p>
      <w:pPr>
        <w:pStyle w:val="ListBullet"/>
      </w:pPr>
      <w:r>
        <w:rPr>
          <w:b/>
        </w:rPr>
        <w:t xml:space="preserve">Нейротехнологии. </w:t>
      </w:r>
      <w:r>
        <w:t>Нейроинтерфейсы, нейрореабилитация, когнитивная диагностика и безопасные средства расширения человеческих возможностей.</w:t>
      </w:r>
    </w:p>
    <w:p>
      <w:pPr>
        <w:pStyle w:val="ListBullet"/>
      </w:pPr>
      <w:r>
        <w:rPr>
          <w:b/>
        </w:rPr>
        <w:t xml:space="preserve">Космическая инженерия. </w:t>
      </w:r>
      <w:r>
        <w:t>Орбитальная инфраструктура, новые двигательные установки, автономные станции, космическая робототехника, связь и мониторинг Земли.</w:t>
      </w:r>
    </w:p>
    <w:p>
      <w:pPr>
        <w:pStyle w:val="ListBullet"/>
      </w:pPr>
      <w:r>
        <w:rPr>
          <w:b/>
        </w:rPr>
        <w:t xml:space="preserve">Арктические технологии. </w:t>
      </w:r>
      <w:r>
        <w:t>Автономная энергетика, материалы для экстремального климата, роботизированная логистика, экологический мониторинг и новые типы северных поселений.</w:t>
      </w:r>
    </w:p>
    <w:p>
      <w:pPr>
        <w:pStyle w:val="Heading1"/>
      </w:pPr>
      <w:r>
        <w:t>7. Цивилизационные науки</w:t>
      </w:r>
    </w:p>
    <w:p>
      <w:pPr>
        <w:pStyle w:val="Heading2"/>
      </w:pPr>
      <w:r>
        <w:t>Наука системного управления</w:t>
      </w:r>
    </w:p>
    <w:p>
      <w:r>
        <w:t>Моделирование государства, регионов, отраслей и инфраструктур как взаимосвязанных систем.</w:t>
      </w:r>
    </w:p>
    <w:p>
      <w:pPr>
        <w:pStyle w:val="Heading2"/>
      </w:pPr>
      <w:r>
        <w:t>Наука кооперации</w:t>
      </w:r>
    </w:p>
    <w:p>
      <w:r>
        <w:t>Механизмы коллективного действия, распределенной ответственности и взаимодействия государства, науки, бизнеса и общества.</w:t>
      </w:r>
    </w:p>
    <w:p>
      <w:pPr>
        <w:pStyle w:val="Heading2"/>
      </w:pPr>
      <w:r>
        <w:t>Наука устойчивости</w:t>
      </w:r>
    </w:p>
    <w:p>
      <w:r>
        <w:t>Оценка способности систем выдерживать кризисы, восстанавливаться и адаптироваться.</w:t>
      </w:r>
    </w:p>
    <w:p>
      <w:pPr>
        <w:pStyle w:val="Heading2"/>
      </w:pPr>
      <w:r>
        <w:t>Биосферная экономика</w:t>
      </w:r>
    </w:p>
    <w:p>
      <w:r>
        <w:t>Экономические модели, учитывающие восстановление природного капитала, ресурсные циклы и экологическую результативность.</w:t>
      </w:r>
    </w:p>
    <w:p>
      <w:pPr>
        <w:pStyle w:val="Heading2"/>
      </w:pPr>
      <w:r>
        <w:t>Наука прогнозирования</w:t>
      </w:r>
    </w:p>
    <w:p>
      <w:r>
        <w:t>Сценарный анализ, форсайт, моделирование длинных циклов и раннее выявление технологических, экологических и социальных рисков.</w:t>
      </w:r>
    </w:p>
    <w:p>
      <w:pPr>
        <w:pStyle w:val="Heading2"/>
      </w:pPr>
      <w:r>
        <w:t>Этика технологий</w:t>
      </w:r>
    </w:p>
    <w:p>
      <w:r>
        <w:t>Нормы безопасности для ИИ, биотехнологий, нейротехнологий, генетических вмешательств и автономных систем.</w:t>
      </w:r>
    </w:p>
    <w:p>
      <w:pPr>
        <w:pStyle w:val="Heading2"/>
      </w:pPr>
      <w:r>
        <w:t>Наука смыслов и культурных кодов</w:t>
      </w:r>
    </w:p>
    <w:p>
      <w:r>
        <w:t>Исследование ценностей, исторической памяти, культурной устойчивости и механизмов формирования долгосрочной общественной мотивации.</w:t>
      </w:r>
    </w:p>
    <w:p>
      <w:pPr>
        <w:pStyle w:val="Heading1"/>
      </w:pPr>
      <w:r>
        <w:t>8. Российские мегапроекты</w:t>
      </w:r>
    </w:p>
    <w:p>
      <w:pPr>
        <w:pStyle w:val="ListNumber"/>
      </w:pPr>
      <w:r>
        <w:rPr>
          <w:b/>
        </w:rPr>
        <w:t xml:space="preserve">Национальный ИИ для науки — </w:t>
      </w:r>
      <w:r>
        <w:t>Единая среда научных моделей, данных и ИИ-агентов для университетов, НИИ и технологических компаний.</w:t>
      </w:r>
    </w:p>
    <w:p>
      <w:pPr>
        <w:pStyle w:val="ListNumber"/>
      </w:pPr>
      <w:r>
        <w:rPr>
          <w:b/>
        </w:rPr>
        <w:t xml:space="preserve">Цифровой двойник биосферы России — </w:t>
      </w:r>
      <w:r>
        <w:t>Многоуровневая система наблюдения атмосферы, вод, почв, лесов, биоразнообразия и техногенной нагрузки.</w:t>
      </w:r>
    </w:p>
    <w:p>
      <w:pPr>
        <w:pStyle w:val="ListNumber"/>
      </w:pPr>
      <w:r>
        <w:rPr>
          <w:b/>
        </w:rPr>
        <w:t xml:space="preserve">Сеть биоценозных полигонов — </w:t>
      </w:r>
      <w:r>
        <w:t>Территории, где природные и технологические системы наблюдаются как единый живой комплекс.</w:t>
      </w:r>
    </w:p>
    <w:p>
      <w:pPr>
        <w:pStyle w:val="ListNumber"/>
      </w:pPr>
      <w:r>
        <w:rPr>
          <w:b/>
        </w:rPr>
        <w:t xml:space="preserve">Квантовая инфраструктура России — </w:t>
      </w:r>
      <w:r>
        <w:t>Сеть центров вычислений, сенсорики, метрологии и защищенной связи.</w:t>
      </w:r>
    </w:p>
    <w:p>
      <w:pPr>
        <w:pStyle w:val="ListNumber"/>
      </w:pPr>
      <w:r>
        <w:rPr>
          <w:b/>
        </w:rPr>
        <w:t xml:space="preserve">Материалы 6N+ — </w:t>
      </w:r>
      <w:r>
        <w:t>Национальная программа сверхчистых материалов и технологических цепочек для электроники, энергетики и космоса.</w:t>
      </w:r>
    </w:p>
    <w:p>
      <w:pPr>
        <w:pStyle w:val="ListNumber"/>
      </w:pPr>
      <w:r>
        <w:rPr>
          <w:b/>
        </w:rPr>
        <w:t xml:space="preserve">Арктика 2050 — </w:t>
      </w:r>
      <w:r>
        <w:t>Полигон автономной энергетики, робототехники, новых поселений и экологически безопасной логистики.</w:t>
      </w:r>
    </w:p>
    <w:p>
      <w:pPr>
        <w:pStyle w:val="ListNumber"/>
      </w:pPr>
      <w:r>
        <w:rPr>
          <w:b/>
        </w:rPr>
        <w:t xml:space="preserve">Космическая промышленная орбита — </w:t>
      </w:r>
      <w:r>
        <w:t>Переход от отдельных космических аппаратов к постоянной орбитальной инфраструктуре.</w:t>
      </w:r>
    </w:p>
    <w:p>
      <w:pPr>
        <w:pStyle w:val="ListNumber"/>
      </w:pPr>
      <w:r>
        <w:rPr>
          <w:b/>
        </w:rPr>
        <w:t xml:space="preserve">Человек 2040 — </w:t>
      </w:r>
      <w:r>
        <w:t>Национальная программа здоровья, когнитивного развития, персонализированной профилактики и активного долголетия.</w:t>
      </w:r>
    </w:p>
    <w:p>
      <w:pPr>
        <w:pStyle w:val="Heading1"/>
      </w:pPr>
      <w:r>
        <w:t>9. Институциональная модель</w:t>
      </w:r>
    </w:p>
    <w:p>
      <w:r>
        <w:t>Для реализации предлагается многоуровневая структура:</w:t>
      </w:r>
    </w:p>
    <w:p>
      <w:pPr>
        <w:pStyle w:val="ListBullet"/>
      </w:pPr>
      <w:r>
        <w:t>Национальный совет по Наукам Будущего — стратегические приоритеты и межведомственная координация.</w:t>
      </w:r>
    </w:p>
    <w:p>
      <w:pPr>
        <w:pStyle w:val="ListBullet"/>
      </w:pPr>
      <w:r>
        <w:t>Федеральные центры компетенций — ядра по ключевым направлениям.</w:t>
      </w:r>
    </w:p>
    <w:p>
      <w:pPr>
        <w:pStyle w:val="ListBullet"/>
      </w:pPr>
      <w:r>
        <w:t>Университетские исследовательские сети — подготовка кадров и фундаментальные исследования.</w:t>
      </w:r>
    </w:p>
    <w:p>
      <w:pPr>
        <w:pStyle w:val="ListBullet"/>
      </w:pPr>
      <w:r>
        <w:t>Научно-производственные консорциумы — быстрый перевод разработок в опытные образцы.</w:t>
      </w:r>
    </w:p>
    <w:p>
      <w:pPr>
        <w:pStyle w:val="ListBullet"/>
      </w:pPr>
      <w:r>
        <w:t>Региональные полигоны — проверка технологий в реальных природных и промышленных условиях.</w:t>
      </w:r>
    </w:p>
    <w:p>
      <w:pPr>
        <w:pStyle w:val="ListBullet"/>
      </w:pPr>
      <w:r>
        <w:t>Фонд высокорисковых исследований — финансирование программ с высоким научным риском и потенциально прорывным результатом.</w:t>
      </w:r>
    </w:p>
    <w:p>
      <w:pPr>
        <w:pStyle w:val="ListBullet"/>
      </w:pPr>
      <w:r>
        <w:t>Национальная система научных данных — безопасный и стандартизированный доступ к данным и моделям.</w:t>
      </w:r>
    </w:p>
    <w:p>
      <w:pPr>
        <w:pStyle w:val="Heading1"/>
      </w:pPr>
      <w:r>
        <w:t>10. ЭКВИЛИБРИУМ как интеграционный контур</w:t>
      </w:r>
    </w:p>
    <w:p>
      <w:r>
        <w:t>В рамках более широкой системы ЭКВИЛИБРИУМ научный контур может выполнять функцию наблюдения, сопоставления и координации: связывать данные о состоянии человека, природы, инфраструктуры и экономики; поддерживать экспертные модели; формировать ранние предупреждения; сопоставлять инициативы с ресурсами; фиксировать измеримые результаты.</w:t>
      </w:r>
    </w:p>
    <w:p>
      <w:r>
        <w:t>Важно разделять научную доказательность и философско-мировоззренческие концепции. В научном ядре ЭКВИЛИБРИУМ используются воспроизводимые данные, проверяемые гипотезы, стандартизированные метрики и независимая верификация.</w:t>
      </w:r>
    </w:p>
    <w:p>
      <w:pPr>
        <w:pStyle w:val="Heading1"/>
      </w:pPr>
      <w:r>
        <w:t>11. Кадры новой научной эпохи</w:t>
      </w:r>
    </w:p>
    <w:p>
      <w:r>
        <w:t>Исследователь будущего должен сочетать глубокую предметную квалификацию с системным мышлением. Национальная образовательная модель должна готовить:</w:t>
      </w:r>
    </w:p>
    <w:p>
      <w:pPr>
        <w:pStyle w:val="ListBullet"/>
      </w:pPr>
      <w:r>
        <w:t>ученых, умеющих работать с ИИ как с исследовательским партнером;</w:t>
      </w:r>
    </w:p>
    <w:p>
      <w:pPr>
        <w:pStyle w:val="ListBullet"/>
      </w:pPr>
      <w:r>
        <w:t>инженеров междисциплинарных систем;</w:t>
      </w:r>
    </w:p>
    <w:p>
      <w:pPr>
        <w:pStyle w:val="ListBullet"/>
      </w:pPr>
      <w:r>
        <w:t>архитекторов сложных научно-технологических программ;</w:t>
      </w:r>
    </w:p>
    <w:p>
      <w:pPr>
        <w:pStyle w:val="ListBullet"/>
      </w:pPr>
      <w:r>
        <w:t>специалистов по данным и моделированию;</w:t>
      </w:r>
    </w:p>
    <w:p>
      <w:pPr>
        <w:pStyle w:val="ListBullet"/>
      </w:pPr>
      <w:r>
        <w:t>экспертов по технологической этике и рискам;</w:t>
      </w:r>
    </w:p>
    <w:p>
      <w:pPr>
        <w:pStyle w:val="ListBullet"/>
      </w:pPr>
      <w:r>
        <w:t>научных предпринимателей, способных превращать исследования в продукты и инфраструктуру.</w:t>
      </w:r>
    </w:p>
    <w:p>
      <w:pPr>
        <w:pStyle w:val="Heading1"/>
      </w:pPr>
      <w:r>
        <w:t>12. Этапы реализации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</w:tcPr>
          <w:p>
            <w:r>
              <w:t>Этап</w:t>
            </w:r>
          </w:p>
        </w:tc>
        <w:tc>
          <w:tcPr>
            <w:tcW w:type="dxa" w:w="2436"/>
          </w:tcPr>
          <w:p>
            <w:r>
              <w:t>Период</w:t>
            </w:r>
          </w:p>
        </w:tc>
        <w:tc>
          <w:tcPr>
            <w:tcW w:type="dxa" w:w="2436"/>
          </w:tcPr>
          <w:p>
            <w:r>
              <w:t>Основная задача</w:t>
            </w:r>
          </w:p>
        </w:tc>
        <w:tc>
          <w:tcPr>
            <w:tcW w:type="dxa" w:w="2436"/>
          </w:tcPr>
          <w:p>
            <w:r>
              <w:t>Результат</w:t>
            </w:r>
          </w:p>
        </w:tc>
      </w:tr>
      <w:tr>
        <w:tc>
          <w:tcPr>
            <w:tcW w:type="dxa" w:w="2436"/>
          </w:tcPr>
          <w:p>
            <w:r>
              <w:t>I</w:t>
            </w:r>
          </w:p>
        </w:tc>
        <w:tc>
          <w:tcPr>
            <w:tcW w:type="dxa" w:w="2436"/>
          </w:tcPr>
          <w:p>
            <w:r>
              <w:t>2026–2028</w:t>
            </w:r>
          </w:p>
        </w:tc>
        <w:tc>
          <w:tcPr>
            <w:tcW w:type="dxa" w:w="2436"/>
          </w:tcPr>
          <w:p>
            <w:r>
              <w:t>Карта компетенций, центров, данных и пилотных мегапроектов</w:t>
            </w:r>
          </w:p>
        </w:tc>
        <w:tc>
          <w:tcPr>
            <w:tcW w:type="dxa" w:w="2436"/>
          </w:tcPr>
          <w:p>
            <w:r>
              <w:t>Единая архитектура и первые междисциплинарные полигоны</w:t>
            </w:r>
          </w:p>
        </w:tc>
      </w:tr>
      <w:tr>
        <w:tc>
          <w:tcPr>
            <w:tcW w:type="dxa" w:w="2436"/>
          </w:tcPr>
          <w:p>
            <w:r>
              <w:t>II</w:t>
            </w:r>
          </w:p>
        </w:tc>
        <w:tc>
          <w:tcPr>
            <w:tcW w:type="dxa" w:w="2436"/>
          </w:tcPr>
          <w:p>
            <w:r>
              <w:t>2029–2032</w:t>
            </w:r>
          </w:p>
        </w:tc>
        <w:tc>
          <w:tcPr>
            <w:tcW w:type="dxa" w:w="2436"/>
          </w:tcPr>
          <w:p>
            <w:r>
              <w:t>Масштабирование исследовательской инфраструктуры</w:t>
            </w:r>
          </w:p>
        </w:tc>
        <w:tc>
          <w:tcPr>
            <w:tcW w:type="dxa" w:w="2436"/>
          </w:tcPr>
          <w:p>
            <w:r>
              <w:t>Национальные платформы ИИ, биосферы, квантовых и материаловедческих исследований</w:t>
            </w:r>
          </w:p>
        </w:tc>
      </w:tr>
      <w:tr>
        <w:tc>
          <w:tcPr>
            <w:tcW w:type="dxa" w:w="2436"/>
          </w:tcPr>
          <w:p>
            <w:r>
              <w:t>III</w:t>
            </w:r>
          </w:p>
        </w:tc>
        <w:tc>
          <w:tcPr>
            <w:tcW w:type="dxa" w:w="2436"/>
          </w:tcPr>
          <w:p>
            <w:r>
              <w:t>2033–2036</w:t>
            </w:r>
          </w:p>
        </w:tc>
        <w:tc>
          <w:tcPr>
            <w:tcW w:type="dxa" w:w="2436"/>
          </w:tcPr>
          <w:p>
            <w:r>
              <w:t>Глубокая интеграция науки и производства</w:t>
            </w:r>
          </w:p>
        </w:tc>
        <w:tc>
          <w:tcPr>
            <w:tcW w:type="dxa" w:w="2436"/>
          </w:tcPr>
          <w:p>
            <w:r>
              <w:t>Серийное внедрение технологий и экспорт научно-технологических платформ</w:t>
            </w:r>
          </w:p>
        </w:tc>
      </w:tr>
      <w:tr>
        <w:tc>
          <w:tcPr>
            <w:tcW w:type="dxa" w:w="2436"/>
          </w:tcPr>
          <w:p>
            <w:r>
              <w:t>IV</w:t>
            </w:r>
          </w:p>
        </w:tc>
        <w:tc>
          <w:tcPr>
            <w:tcW w:type="dxa" w:w="2436"/>
          </w:tcPr>
          <w:p>
            <w:r>
              <w:t>2037–2040</w:t>
            </w:r>
          </w:p>
        </w:tc>
        <w:tc>
          <w:tcPr>
            <w:tcW w:type="dxa" w:w="2436"/>
          </w:tcPr>
          <w:p>
            <w:r>
              <w:t>Международное лидерство и цивилизационные проекты</w:t>
            </w:r>
          </w:p>
        </w:tc>
        <w:tc>
          <w:tcPr>
            <w:tcW w:type="dxa" w:w="2436"/>
          </w:tcPr>
          <w:p>
            <w:r>
              <w:t>Россия как один из мировых центров Наук Будущего</w:t>
            </w:r>
          </w:p>
        </w:tc>
      </w:tr>
    </w:tbl>
    <w:p>
      <w:pPr>
        <w:pStyle w:val="Heading1"/>
      </w:pPr>
      <w:r>
        <w:t>13. Показатели результата</w:t>
      </w:r>
    </w:p>
    <w:p>
      <w:pPr>
        <w:pStyle w:val="ListBullet"/>
      </w:pPr>
      <w:r>
        <w:t>доля критических научно-технологических цепочек, воспроизводимых внутри страны;</w:t>
      </w:r>
    </w:p>
    <w:p>
      <w:pPr>
        <w:pStyle w:val="ListBullet"/>
      </w:pPr>
      <w:r>
        <w:t>число мирового уровня исследовательских центров и установок;</w:t>
      </w:r>
    </w:p>
    <w:p>
      <w:pPr>
        <w:pStyle w:val="ListBullet"/>
      </w:pPr>
      <w:r>
        <w:t>скорость перехода от научного результата к опытному образцу;</w:t>
      </w:r>
    </w:p>
    <w:p>
      <w:pPr>
        <w:pStyle w:val="ListBullet"/>
      </w:pPr>
      <w:r>
        <w:t>число технологий, прошедших независимую верификацию и промышленное внедрение;</w:t>
      </w:r>
    </w:p>
    <w:p>
      <w:pPr>
        <w:pStyle w:val="ListBullet"/>
      </w:pPr>
      <w:r>
        <w:t>доля научных данных, доступных в стандартизированном цифровом контуре;</w:t>
      </w:r>
    </w:p>
    <w:p>
      <w:pPr>
        <w:pStyle w:val="ListBullet"/>
      </w:pPr>
      <w:r>
        <w:t>международные научные консорциумы, возглавляемые российскими организациями;</w:t>
      </w:r>
    </w:p>
    <w:p>
      <w:pPr>
        <w:pStyle w:val="ListBullet"/>
      </w:pPr>
      <w:r>
        <w:t>измеримый экологический и социальный эффект научно-технологических программ.</w:t>
      </w:r>
    </w:p>
    <w:p>
      <w:pPr>
        <w:pStyle w:val="Heading1"/>
      </w:pPr>
      <w:r>
        <w:t>14. Итоговая формула</w:t>
      </w:r>
    </w:p>
    <w:p>
      <w:pPr>
        <w:jc w:val="center"/>
      </w:pPr>
      <w:r>
        <w:rPr>
          <w:b/>
          <w:sz w:val="28"/>
        </w:rPr>
        <w:t>ФУНДАМЕНТАЛЬНОЕ ЗНАНИЕ + ИНЖЕНЕРНАЯ МОЩЬ + ИИ + БИОСФЕРНАЯ ОТВЕТСТВЕННОСТЬ + КУЛЬТУРА + КООПЕРАЦИЯ</w:t>
      </w:r>
    </w:p>
    <w:p>
      <w:r>
        <w:t>Науки Будущего должны стать не отдельной отраслью, а новой организацией национального развития. Их задача — дать России способность видеть дальше, понимать глубже, создавать быстрее и отвечать за последствия собственной технологической силы.</w:t>
      </w:r>
    </w:p>
    <w:sectPr w:rsidR="00FC693F" w:rsidRPr="0006063C" w:rsidSect="00034616">
      <w:footerReference w:type="default" r:id="rId9"/>
      <w:pgSz w:w="12240" w:h="15840"/>
      <w:pgMar w:top="1134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Россия — Науки Будущего | ЭКВИЛИБРИУМ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