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240"/>
      </w:pPr>
      <w:r>
        <w:rPr>
          <w:rFonts w:ascii="DejaVu Sans" w:hAnsi="DejaVu Sans" w:eastAsia="DejaVu Sans"/>
          <w:b/>
          <w:color w:val="C7A23A"/>
          <w:sz w:val="18"/>
        </w:rPr>
        <w:t>СТРАТЕГИЧЕСКАЯ КОНЦЕПЦИЯ  •  ПРОЕКТ ДЛЯ ЭКСПЕРТНОГО ОБСУЖДЕНИЯ</w:t>
      </w:r>
    </w:p>
    <w:p>
      <w:pPr>
        <w:spacing w:after="0"/>
      </w:pPr>
      <w:r>
        <w:rPr>
          <w:rFonts w:ascii="DejaVu Sans" w:hAnsi="DejaVu Sans" w:eastAsia="DejaVu Sans"/>
          <w:b/>
          <w:caps/>
          <w:color w:val="0B2545"/>
          <w:sz w:val="62"/>
        </w:rPr>
        <w:t>РОССИЯ</w:t>
      </w:r>
    </w:p>
    <w:p>
      <w:pPr>
        <w:spacing w:before="0" w:after="140"/>
      </w:pPr>
      <w:r>
        <w:rPr>
          <w:rFonts w:ascii="DejaVu Sans" w:hAnsi="DejaVu Sans" w:eastAsia="DejaVu Sans"/>
          <w:b/>
          <w:caps/>
          <w:color w:val="1F4D78"/>
          <w:sz w:val="50"/>
        </w:rPr>
        <w:t>КАРТА ПРОБУЖДЕНИЯ</w:t>
      </w:r>
    </w:p>
    <w:p>
      <w:pPr>
        <w:spacing w:after="240" w:line="259" w:lineRule="auto"/>
      </w:pPr>
      <w:r>
        <w:rPr>
          <w:rFonts w:ascii="DejaVu Sans" w:hAnsi="DejaVu Sans" w:eastAsia="DejaVu Sans"/>
          <w:color w:val="5C6773"/>
          <w:sz w:val="26"/>
        </w:rPr>
        <w:t>Архитектура согласованного управления развитием</w:t>
        <w:br/>
        <w:t>на основе балансов, данных, кооперации и доказуемого результата</w:t>
      </w:r>
    </w:p>
    <w:p>
      <w:pPr>
        <w:spacing w:before="40" w:after="200"/>
        <w:jc w:val="center"/>
      </w:pPr>
      <w:r>
        <w:drawing>
          <wp:inline xmlns:a="http://schemas.openxmlformats.org/drawingml/2006/main" xmlns:pic="http://schemas.openxmlformats.org/drawingml/2006/picture">
            <wp:extent cx="6012000" cy="3383548"/>
            <wp:docPr id="1" name="Picture 1" descr="Световая сеть над картой России — образ связности территорий, данных и инициатив." title="Россия. Карта Пробужден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ussia_awakened_network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3383548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dxa" w:w="9638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819"/>
        <w:gridCol w:w="4819"/>
      </w:tblGrid>
      <w:tr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</w:tcBorders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5C6773"/>
                <w:sz w:val="17"/>
              </w:rPr>
              <w:t>Инициатор концепции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</w:tcBorders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0B2545"/>
                <w:sz w:val="18"/>
              </w:rPr>
              <w:t>Соколов Сергей Леонидович</w:t>
            </w:r>
          </w:p>
        </w:tc>
      </w:tr>
      <w:tr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</w:tcBorders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5C6773"/>
                <w:sz w:val="17"/>
              </w:rPr>
              <w:t>Версия и горизонт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</w:tcBorders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0B2545"/>
                <w:sz w:val="18"/>
              </w:rPr>
              <w:t>v1.0 • 28 августа 2026 года • 2026-2036</w:t>
            </w:r>
          </w:p>
        </w:tc>
      </w:tr>
    </w:tbl>
    <w:p>
      <w:pPr>
        <w:spacing w:before="160" w:after="0"/>
      </w:pPr>
      <w:r>
        <w:rPr>
          <w:rFonts w:ascii="DejaVu Sans" w:hAnsi="DejaVu Sans" w:eastAsia="DejaVu Sans"/>
          <w:b/>
          <w:color w:val="9B1C1C"/>
          <w:sz w:val="16"/>
        </w:rPr>
        <w:t>СТАТУС: проектное предложение. Документ не является нормативным правовым актом, государственной информационной системой или решением о финансировании.</w:t>
      </w:r>
    </w:p>
    <w:p>
      <w:r>
        <w:br w:type="page"/>
      </w:r>
    </w:p>
    <w:p>
      <w:pPr>
        <w:keepNext/>
        <w:spacing w:after="80"/>
        <w:jc w:val="left"/>
      </w:pPr>
      <w:r>
        <w:rPr>
          <w:rFonts w:ascii="DejaVu Sans" w:hAnsi="DejaVu Sans" w:eastAsia="DejaVu Sans"/>
          <w:b/>
          <w:caps/>
          <w:color w:val="C7A23A"/>
          <w:sz w:val="18"/>
        </w:rPr>
        <w:t>РЕЗЮМЕ ДЛЯ ПРИНЯТИЯ РЕШЕНИЯ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0B2545"/>
          <w:sz w:val="32"/>
        </w:rPr>
        <w:t>Главный резерв России — связанность уже созданного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EAF2F8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C7A23A"/>
              <w:top w:val="nil" w:sz="0" w:space="0" w:color="EAF2F8"/>
              <w:bottom w:val="nil" w:sz="0" w:space="0" w:color="EAF2F8"/>
              <w:end w:val="nil" w:sz="0" w:space="0" w:color="EAF2F8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C7A23A"/>
                <w:sz w:val="17"/>
              </w:rPr>
              <w:t>ПРЕДМЕТ ПРЕДЛОЖЕНИЯ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«Россия. Карта Пробуждения» — проект интегрированной карты человеческого, культурного и территориального развития Российской Федерации, объединяющей проверяемые данные, систему взаимосвязанных балансов, сценарные модели и портфель инициатив для поддержки решений.</w:t>
            </w:r>
          </w:p>
        </w:tc>
      </w:tr>
    </w:tbl>
    <w:p>
      <w:pPr>
        <w:spacing w:after="0"/>
      </w:pP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Россия располагает государственными стратегиями, программами, научными разработками, производственными компетенциями, общественными инициативами, территориальными ресурсами и цифровыми данными. Ограничение возникает на стыках: цели, показатели, ресурсы, исполнители и территориальные эффекты часто описываются разными языками и завершаются в разных контурах ответственности.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Карта предлагает единый сквозной маршрут: сигнал → сценарий → адрес → инициатива → проект → исполнение → расчётный след → валидация. Второй маршрут обеспечивает масштабирование: инициатива → экспертиза → кооперация → ресурсное обеспечение → пилот → подтверждённый результат → тиражирование.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Проект не заменяет Президента Российской Федерации, Совет Безопасности, Государственный Совет, Правительство, федеральные органы исполнительной власти, субъекты Российской Федерации, муниципалитеты, Российскую академию наук или действующие государственные информационные системы. Его назначение — межведомственная аналитическая поддержка и согласование решений на едином языке целей, балансов, данных и обязательств.</w:t>
      </w: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Решение, которое предлагается принять</w:t>
      </w:r>
    </w:p>
    <w:p>
      <w:pPr>
        <w:numPr>
          <w:ilvl w:val="0"/>
          <w:numId w:val="12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Поддержать 90-дневный этап экспертной и проектной проработки концепции.</w:t>
      </w:r>
    </w:p>
    <w:p>
      <w:pPr>
        <w:numPr>
          <w:ilvl w:val="0"/>
          <w:numId w:val="12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Определить координатора и сформировать межведомственную рабочую группу.</w:t>
      </w:r>
    </w:p>
    <w:p>
      <w:pPr>
        <w:numPr>
          <w:ilvl w:val="0"/>
          <w:numId w:val="12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Подготовить паспорт ограниченного регионального пилота, правовую карту, перечень данных, финансово-экономическое обоснование и систему независимой оценки.</w:t>
      </w:r>
    </w:p>
    <w:p>
      <w:pPr>
        <w:numPr>
          <w:ilvl w:val="0"/>
          <w:numId w:val="12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По результатам пилота принять решение о прекращении, корректировке или масштабировании отдельных модулей.</w:t>
      </w: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Статус элементов архитектуры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50"/>
        <w:gridCol w:w="8588"/>
      </w:tblGrid>
      <w:tr>
        <w:trPr>
          <w:tblHeader w:val="true"/>
        </w:trPr>
        <w:tc>
          <w:tcPr>
            <w:tcW w:type="dxa" w:w="105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Статус</w:t>
            </w:r>
          </w:p>
        </w:tc>
        <w:tc>
          <w:tcPr>
            <w:tcW w:type="dxa" w:w="858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Значение</w:t>
            </w:r>
          </w:p>
        </w:tc>
      </w:tr>
      <w:tr>
        <w:tc>
          <w:tcPr>
            <w:tcW w:type="dxa" w:w="1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8"/>
              </w:rPr>
              <w:t>[Д]</w:t>
            </w:r>
          </w:p>
        </w:tc>
        <w:tc>
          <w:tcPr>
            <w:tcW w:type="dxa" w:w="85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Действующий государственный институт, нормативный механизм или информационный источник.</w:t>
            </w:r>
          </w:p>
        </w:tc>
      </w:tr>
      <w:tr>
        <w:tc>
          <w:tcPr>
            <w:tcW w:type="dxa" w:w="1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8"/>
              </w:rPr>
              <w:t>[П]</w:t>
            </w:r>
          </w:p>
        </w:tc>
        <w:tc>
          <w:tcPr>
            <w:tcW w:type="dxa" w:w="85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Проектируемый элемент авторской архитектуры; требует экспертизы и правового оформления.</w:t>
            </w:r>
          </w:p>
        </w:tc>
      </w:tr>
      <w:tr>
        <w:tc>
          <w:tcPr>
            <w:tcW w:type="dxa" w:w="1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8"/>
              </w:rPr>
              <w:t>[Э]</w:t>
            </w:r>
          </w:p>
        </w:tc>
        <w:tc>
          <w:tcPr>
            <w:tcW w:type="dxa" w:w="85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Экспериментальный механизм, предлагаемый только для ограниченной апробации.</w:t>
            </w:r>
          </w:p>
        </w:tc>
      </w:tr>
    </w:tbl>
    <w:p>
      <w:pPr>
        <w:spacing w:after="40"/>
      </w:pPr>
    </w:p>
    <w:p>
      <w:pPr>
        <w:keepNext/>
        <w:spacing w:after="80"/>
        <w:jc w:val="left"/>
      </w:pPr>
      <w:r>
        <w:rPr>
          <w:rFonts w:ascii="DejaVu Sans" w:hAnsi="DejaVu Sans" w:eastAsia="DejaVu Sans"/>
          <w:b/>
          <w:caps/>
          <w:color w:val="C7A23A"/>
          <w:sz w:val="18"/>
        </w:rPr>
        <w:t>НАВИГАЦИЯ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0B2545"/>
          <w:sz w:val="32"/>
        </w:rPr>
        <w:t>Содержание мастер-документа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1. Россия в точке выбора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2. Определение и границы «Пробуждения»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3. Образ целевого состояния России 2036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4. Семь принципов Карты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5. Четыре слоя архитектуры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6. Единый цикл управления развитием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7. Девятнадцать контуров национального баланса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8. Матрица 260 и КРИСТАЛЛ 741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9. Двенадцать стратегических направлений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10. Проектируемая экосистема исполнения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11. Государственный и общественный контуры ролей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12. Данные, реестры, ИИ и безопасность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13. Экономическая модель и ECO-PPA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14. Региональный пилот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15. KPI, валидация и доказательность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16. Дорожная карта: 100 дней, 1 год, 3 года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17. Риски и предохранители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18. Проект управленческого решения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Приложения: паспорт инициативы, глоссарий, нормативная опора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F5F7F9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C7A23A"/>
              <w:top w:val="nil" w:sz="0" w:space="0" w:color="F5F7F9"/>
              <w:bottom w:val="nil" w:sz="0" w:space="0" w:color="F5F7F9"/>
              <w:end w:val="nil" w:sz="0" w:space="0" w:color="F5F7F9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C7A23A"/>
                <w:sz w:val="17"/>
              </w:rPr>
              <w:t>ГЛАВНАЯ ФОРМУЛА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Смысл → Баланс → Решение → Действие → Доказательство → Память → Новый цикл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[Д/П]  </w:t>
      </w:r>
      <w:r>
        <w:rPr>
          <w:rFonts w:ascii="DejaVu Sans" w:hAnsi="DejaVu Sans" w:eastAsia="DejaVu Sans"/>
          <w:b/>
          <w:color w:val="0B2545"/>
          <w:sz w:val="32"/>
        </w:rPr>
        <w:t>1. Россия в точке выбора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Действующая система стратегического планирования задаёт национальные цели, отраслевые приоритеты, государственные программы и механизмы проектного управления. «Карта Пробуждения» не пересматривает эти полномочия. Она отвечает на прикладной вопрос: как увидеть совокупное влияние решений разных отраслей на человека, территорию и безопасность, не создавая ещё один изолированный реестр.</w:t>
      </w: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Четыре разрыва, которые должна закрыть Карта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438"/>
      </w:tblGrid>
      <w:tr>
        <w:trPr>
          <w:tblHeader w:val="true"/>
        </w:trPr>
        <w:tc>
          <w:tcPr>
            <w:tcW w:type="dxa" w:w="22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Разрыв</w:t>
            </w:r>
          </w:p>
        </w:tc>
        <w:tc>
          <w:tcPr>
            <w:tcW w:type="dxa" w:w="743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Управленческое следствие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8"/>
              </w:rPr>
              <w:t>Цель ↔ показатель</w:t>
            </w:r>
          </w:p>
        </w:tc>
        <w:tc>
          <w:tcPr>
            <w:tcW w:type="dxa" w:w="74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Стратегическая формулировка не всегда имеет прослеживаемую цепочку до исходных данных, порога и владельца результата.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8"/>
              </w:rPr>
              <w:t>Отрасль ↔ территория</w:t>
            </w:r>
          </w:p>
        </w:tc>
        <w:tc>
          <w:tcPr>
            <w:tcW w:type="dxa" w:w="74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Локальное решение может переносить затраты, риски или дефициты в другой сектор либо соседнюю территорию.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8"/>
              </w:rPr>
              <w:t>Ресурс ↔ эффект</w:t>
            </w:r>
          </w:p>
        </w:tc>
        <w:tc>
          <w:tcPr>
            <w:tcW w:type="dxa" w:w="74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Факт финансирования и выполнения мероприятия не тождественен подтверждённому общественному, экологическому или технологическому результату.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Пилот ↔ масштабирование</w:t>
            </w:r>
          </w:p>
        </w:tc>
        <w:tc>
          <w:tcPr>
            <w:tcW w:type="dxa" w:w="74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Успешная практика часто теряет методику, стоимость владения, ограничения и доказательства при тиражировании.</w:t>
            </w:r>
          </w:p>
        </w:tc>
      </w:tr>
    </w:tbl>
    <w:p>
      <w:pPr>
        <w:spacing w:after="40"/>
      </w:pP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EAF2F8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C7A23A"/>
              <w:top w:val="nil" w:sz="0" w:space="0" w:color="EAF2F8"/>
              <w:bottom w:val="nil" w:sz="0" w:space="0" w:color="EAF2F8"/>
              <w:end w:val="nil" w:sz="0" w:space="0" w:color="EAF2F8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C7A23A"/>
                <w:sz w:val="17"/>
              </w:rPr>
              <w:t>КЛЮЧЕВОЙ ВЫВОД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Проблема формулируется не как отсутствие стратегий, а как недостаток сквозной связанности между стратегией, данными, ресурсом, исполнением и подтверждённым результатом.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Связь с действующим государственным контуром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638"/>
      </w:tblGrid>
      <w:tr>
        <w:trPr>
          <w:tblHeader w:val="true"/>
        </w:trPr>
        <w:tc>
          <w:tcPr>
            <w:tcW w:type="dxa" w:w="30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Действующая рамка [Д]</w:t>
            </w:r>
          </w:p>
        </w:tc>
        <w:tc>
          <w:tcPr>
            <w:tcW w:type="dxa" w:w="663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Роль Карты [П/Э]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Национальные цели до 2030/2036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Карта сопоставляет инициативы и эффекты с целями и показателями; не изменяет их состав.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Единый план достижения национальных целей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Предлагаемые паспорта дополняют мониторинг, анализ рисков, обратную связь и управление изменениями.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Пространственная стратегия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Территориальный разрез строится от объекта и населённого пункта до субъекта и Федерации.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Научно-технологическая стратегия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Научная экспертиза, сценарный прогноз и реестр доказательной базы включаются в пилот.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Цифровая трансформация госуправления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Аналитический слой использует совместимость и автоматизацию, не заменяя государственные ИС.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Государственный Совет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Контуры Карты могут быть соотнесены с комиссиями только после отдельного решения и в пределах компетенции.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[П]  </w:t>
      </w:r>
      <w:r>
        <w:rPr>
          <w:rFonts w:ascii="DejaVu Sans" w:hAnsi="DejaVu Sans" w:eastAsia="DejaVu Sans"/>
          <w:b/>
          <w:color w:val="0B2545"/>
          <w:sz w:val="32"/>
        </w:rPr>
        <w:t>2. Определение и границы «Пробуждения»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«Пробуждение» — авторское обозначение роста способности человека, сообщества и институтов понимать последствия решений, сохранять наследие, сотрудничать и участвовать в развитии своей территории. В государственно-управленческой редакции термин означает переход от запаздывающего реагирования к раннему предупреждению, от ведомственной разобщённости к межотраслевым балансам, от перечня инициатив к портфелю измеримых решений.</w:t>
      </w: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Чем Карта не является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Не является системой оценки убеждений, мировоззрения, духовности или лояльности граждан.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Не вводит «индекс пробуждения» человека или населения.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Не создаёт обязательную идеологию и не ограничивает культурное и мировоззренческое многообразие народов России.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Не подменяет государственные полномочия, бюджетный, бухгалтерский, статистический или банковский учёт.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Не наделяет частную, общественную или кооперационную структуру государственными полномочиями без установленной законом процедуры.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Объекты анализа: территории, условия развития, институты, ресурсы, программы, проекты, инфраструктура, природные системы и измеримые общественные результаты.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[П]  </w:t>
      </w:r>
      <w:r>
        <w:rPr>
          <w:rFonts w:ascii="DejaVu Sans" w:hAnsi="DejaVu Sans" w:eastAsia="DejaVu Sans"/>
          <w:b/>
          <w:color w:val="0B2545"/>
          <w:sz w:val="32"/>
        </w:rPr>
        <w:t>3. Образ целевого состояния России 2036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Целевое состояние — страна, способная видеть взаимосвязи, заранее выявлять критические дисбалансы, согласовывать решения между уровнями управления и подтверждать фактический эффект каждого масштабируемого проекта.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819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Исходная логика</w:t>
            </w:r>
          </w:p>
        </w:tc>
        <w:tc>
          <w:tcPr>
            <w:tcW w:type="dxa" w:w="4819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Целевая логика</w:t>
            </w:r>
          </w:p>
        </w:tc>
      </w:tr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Реакция на последствия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Ранние сигналы, сценарии и превентивные решения</w:t>
            </w:r>
          </w:p>
        </w:tc>
      </w:tr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Ведомственные показатели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Связанные территориальные и межотраслевые балансы</w:t>
            </w:r>
          </w:p>
        </w:tc>
      </w:tr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8"/>
              </w:rPr>
              <w:t>Перечень мероприятий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Портфель проектов с обязательствами результата</w:t>
            </w:r>
          </w:p>
        </w:tc>
      </w:tr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8"/>
              </w:rPr>
              <w:t>Освоение ресурса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Измеренный общественный, экологический и экономический эффект</w:t>
            </w:r>
          </w:p>
        </w:tc>
      </w:tr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8"/>
              </w:rPr>
              <w:t>Разовый отчёт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8"/>
              </w:rPr>
              <w:t>Версионируемый реестр данных, решений, ограничений и уроков</w:t>
            </w:r>
          </w:p>
        </w:tc>
      </w:tr>
    </w:tbl>
    <w:p>
      <w:pPr>
        <w:spacing w:after="40"/>
      </w:pP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EAF2F8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C7A23A"/>
              <w:top w:val="nil" w:sz="0" w:space="0" w:color="EAF2F8"/>
              <w:bottom w:val="nil" w:sz="0" w:space="0" w:color="EAF2F8"/>
              <w:end w:val="nil" w:sz="0" w:space="0" w:color="EAF2F8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C7A23A"/>
                <w:sz w:val="17"/>
              </w:rPr>
              <w:t>КРИТЕРИЙ ЗРЕЛОСТИ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Решение считается завершённым не в момент подписания акта или освоения средств, а после измерения эффекта, независимой проверки и возврата результата в модель управления.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[П]  </w:t>
      </w:r>
      <w:r>
        <w:rPr>
          <w:rFonts w:ascii="DejaVu Sans" w:hAnsi="DejaVu Sans" w:eastAsia="DejaVu Sans"/>
          <w:b/>
          <w:color w:val="0B2545"/>
          <w:sz w:val="32"/>
        </w:rPr>
        <w:t>4. Семь принципов Карты</w:t>
      </w:r>
    </w:p>
    <w:p>
      <w:pPr>
        <w:numPr>
          <w:ilvl w:val="0"/>
          <w:numId w:val="13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Человек и будущие поколения — мера результата.</w:t>
      </w:r>
      <w:r>
        <w:rPr>
          <w:rFonts w:ascii="DejaVu Sans" w:hAnsi="DejaVu Sans" w:eastAsia="DejaVu Sans"/>
          <w:color w:val="17212B"/>
          <w:sz w:val="21"/>
        </w:rPr>
        <w:t xml:space="preserve"> Решение оценивается через продолжительность и качество жизни, развитие способностей и безопасность среды.</w:t>
      </w:r>
    </w:p>
    <w:p>
      <w:pPr>
        <w:numPr>
          <w:ilvl w:val="0"/>
          <w:numId w:val="13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Суверенность и правовая определённость.</w:t>
      </w:r>
      <w:r>
        <w:rPr>
          <w:rFonts w:ascii="DejaVu Sans" w:hAnsi="DejaVu Sans" w:eastAsia="DejaVu Sans"/>
          <w:color w:val="17212B"/>
          <w:sz w:val="21"/>
        </w:rPr>
        <w:t xml:space="preserve"> Архитектура действует только в рамках Конституции, законодательства и компетенций органов власти.</w:t>
      </w:r>
    </w:p>
    <w:p>
      <w:pPr>
        <w:numPr>
          <w:ilvl w:val="0"/>
          <w:numId w:val="13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Баланс прежде локальной максимизации.</w:t>
      </w:r>
      <w:r>
        <w:rPr>
          <w:rFonts w:ascii="DejaVu Sans" w:hAnsi="DejaVu Sans" w:eastAsia="DejaVu Sans"/>
          <w:color w:val="17212B"/>
          <w:sz w:val="21"/>
        </w:rPr>
        <w:t xml:space="preserve"> Локальная выгода не признаётся успехом, если создаёт неприемлемый ущерб в другом секторе или территории.</w:t>
      </w:r>
    </w:p>
    <w:p>
      <w:pPr>
        <w:numPr>
          <w:ilvl w:val="0"/>
          <w:numId w:val="13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Доказательность и прослеживаемость.</w:t>
      </w:r>
      <w:r>
        <w:rPr>
          <w:rFonts w:ascii="DejaVu Sans" w:hAnsi="DejaVu Sans" w:eastAsia="DejaVu Sans"/>
          <w:color w:val="17212B"/>
          <w:sz w:val="21"/>
        </w:rPr>
        <w:t xml:space="preserve"> Каждый показатель имеет определение, источник, владельца, методику, дату обновления и статус проверки.</w:t>
      </w:r>
    </w:p>
    <w:p>
      <w:pPr>
        <w:numPr>
          <w:ilvl w:val="0"/>
          <w:numId w:val="13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Предупреждение вместо запаздывающего реагирования.</w:t>
      </w:r>
      <w:r>
        <w:rPr>
          <w:rFonts w:ascii="DejaVu Sans" w:hAnsi="DejaVu Sans" w:eastAsia="DejaVu Sans"/>
          <w:color w:val="17212B"/>
          <w:sz w:val="21"/>
        </w:rPr>
        <w:t xml:space="preserve"> Приоритет получают раннее выявление дисбалансов, сценарный прогноз и превентивные меры.</w:t>
      </w:r>
    </w:p>
    <w:p>
      <w:pPr>
        <w:numPr>
          <w:ilvl w:val="0"/>
          <w:numId w:val="13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Субсидиарность и территориальная адаптация.</w:t>
      </w:r>
      <w:r>
        <w:rPr>
          <w:rFonts w:ascii="DejaVu Sans" w:hAnsi="DejaVu Sans" w:eastAsia="DejaVu Sans"/>
          <w:color w:val="17212B"/>
          <w:sz w:val="21"/>
        </w:rPr>
        <w:t xml:space="preserve"> Решение принимается на минимально необходимом уровне; федеральный центр задаёт совместимость и защиту.</w:t>
      </w:r>
    </w:p>
    <w:p>
      <w:pPr>
        <w:numPr>
          <w:ilvl w:val="0"/>
          <w:numId w:val="13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Пилотируемость, обратимость и обучение.</w:t>
      </w:r>
      <w:r>
        <w:rPr>
          <w:rFonts w:ascii="DejaVu Sans" w:hAnsi="DejaVu Sans" w:eastAsia="DejaVu Sans"/>
          <w:color w:val="17212B"/>
          <w:sz w:val="21"/>
        </w:rPr>
        <w:t xml:space="preserve"> Новый механизм сначала проверяется в ограниченном масштабе и может быть остановлен по итогам независимой оценки.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[П]  </w:t>
      </w:r>
      <w:r>
        <w:rPr>
          <w:rFonts w:ascii="DejaVu Sans" w:hAnsi="DejaVu Sans" w:eastAsia="DejaVu Sans"/>
          <w:b/>
          <w:color w:val="0B2545"/>
          <w:sz w:val="32"/>
        </w:rPr>
        <w:t>5. Четыре слоя архитектуры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2300"/>
        <w:gridCol w:w="6488"/>
      </w:tblGrid>
      <w:tr>
        <w:trPr>
          <w:tblHeader w:val="true"/>
        </w:trPr>
        <w:tc>
          <w:tcPr>
            <w:tcW w:type="dxa" w:w="85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Слой</w:t>
            </w:r>
          </w:p>
        </w:tc>
        <w:tc>
          <w:tcPr>
            <w:tcW w:type="dxa" w:w="23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Назначение</w:t>
            </w:r>
          </w:p>
        </w:tc>
        <w:tc>
          <w:tcPr>
            <w:tcW w:type="dxa" w:w="648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</w:t>
            </w:r>
          </w:p>
        </w:tc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Ценностно-культурный</w:t>
            </w:r>
          </w:p>
        </w:tc>
        <w:tc>
          <w:tcPr>
            <w:tcW w:type="dxa" w:w="6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Человек, семья, культуры народов России, историческая память, ответственность, солидарность, созидание.</w:t>
            </w:r>
          </w:p>
        </w:tc>
      </w:tr>
      <w:tr>
        <w:tc>
          <w:tcPr>
            <w:tcW w:type="dxa" w:w="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2</w:t>
            </w:r>
          </w:p>
        </w:tc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Диагностический</w:t>
            </w:r>
          </w:p>
        </w:tc>
        <w:tc>
          <w:tcPr>
            <w:tcW w:type="dxa" w:w="6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Проверяемые данные о демографии, здоровье, знаниях, культуре, экономике, инфраструктуре, природе и институтах.</w:t>
            </w:r>
          </w:p>
        </w:tc>
      </w:tr>
      <w:tr>
        <w:tc>
          <w:tcPr>
            <w:tcW w:type="dxa" w:w="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3</w:t>
            </w:r>
          </w:p>
        </w:tc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Программный</w:t>
            </w:r>
          </w:p>
        </w:tc>
        <w:tc>
          <w:tcPr>
            <w:tcW w:type="dxa" w:w="6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Выявленные разрывы, сценарии, приоритеты, портфель проектов и межведомственные зависимости.</w:t>
            </w:r>
          </w:p>
        </w:tc>
      </w:tr>
      <w:tr>
        <w:tc>
          <w:tcPr>
            <w:tcW w:type="dxa" w:w="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4</w:t>
            </w:r>
          </w:p>
        </w:tc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Операционный</w:t>
            </w:r>
          </w:p>
        </w:tc>
        <w:tc>
          <w:tcPr>
            <w:tcW w:type="dxa" w:w="6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Полномочия, ответственные, сроки, ресурсы, договоры данных, исполнение, контроль и независимая оценка.</w:t>
            </w:r>
          </w:p>
        </w:tc>
      </w:tr>
    </w:tbl>
    <w:p>
      <w:pPr>
        <w:spacing w:after="40"/>
      </w:pP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Ценностные положения не изображаются как статистические факты, а показатели не используются как доказательство философских утверждений. Для каждого тезиса применяется маркировка: факт, расчёт, гипотеза, сценарий или ценностное положение.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[П/Э]  </w:t>
      </w:r>
      <w:r>
        <w:rPr>
          <w:rFonts w:ascii="DejaVu Sans" w:hAnsi="DejaVu Sans" w:eastAsia="DejaVu Sans"/>
          <w:b/>
          <w:color w:val="0B2545"/>
          <w:sz w:val="32"/>
        </w:rPr>
        <w:t>6. Единый цикл управления развитием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F5F7F9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C7A23A"/>
              <w:top w:val="nil" w:sz="0" w:space="0" w:color="F5F7F9"/>
              <w:bottom w:val="nil" w:sz="0" w:space="0" w:color="F5F7F9"/>
              <w:end w:val="nil" w:sz="0" w:space="0" w:color="F5F7F9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C7A23A"/>
                <w:sz w:val="17"/>
              </w:rPr>
              <w:t>СКВОЗНОЙ МАРШРУТ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Наблюдение → данные → анализ → прогноз → экспертиза → моделирование → решение → исполнение → контроль → обратная связь</w:t>
            </w:r>
          </w:p>
        </w:tc>
      </w:tr>
    </w:tbl>
    <w:p>
      <w:pPr>
        <w:spacing w:after="0"/>
      </w:pP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1700"/>
        <w:gridCol w:w="7338"/>
      </w:tblGrid>
      <w:tr>
        <w:trPr>
          <w:tblHeader w:val="true"/>
        </w:trPr>
        <w:tc>
          <w:tcPr>
            <w:tcW w:type="dxa" w:w="6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№</w:t>
            </w:r>
          </w:p>
        </w:tc>
        <w:tc>
          <w:tcPr>
            <w:tcW w:type="dxa" w:w="17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Этап</w:t>
            </w:r>
          </w:p>
        </w:tc>
        <w:tc>
          <w:tcPr>
            <w:tcW w:type="dxa" w:w="733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Сигнал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Фиксируется факт, изменение или угроза; устанавливаются источник и качество данных.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2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Диагностика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Определяются отклонение, причинные связи и затронутые балансы.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3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Сценарий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Сравниваются варианты действий, ограничения, риски и стоимость бездействия.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4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Решение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Назначаются цель, полномочия, ответственные, критерии и правовое основание.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5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Обязательство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Фиксируются ресурс, срок, контрольные точки, риск и способ подтверждения.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6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Исполнение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Формируется кооперация и реализуется проект по этапам.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7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Верификация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Измеряются результат и воздействие; сохраняются как успехи, так и отрицательные результаты.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8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Память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Версия модели, данные, решения, ограничения и уроки возвращаются в следующий цикл.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[П]  </w:t>
      </w:r>
      <w:r>
        <w:rPr>
          <w:rFonts w:ascii="DejaVu Sans" w:hAnsi="DejaVu Sans" w:eastAsia="DejaVu Sans"/>
          <w:b/>
          <w:color w:val="0B2545"/>
          <w:sz w:val="32"/>
        </w:rPr>
        <w:t>7. Девятнадцать контуров национального баланса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Контур — не новое министерство и не дополнительный уровень власти. Это межведомственная область, в которой связываются решения нескольких действующих институтов, данные, ресурсы и территориальные последствия.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8938"/>
      </w:tblGrid>
      <w:tr>
        <w:trPr>
          <w:tblHeader w:val="true"/>
        </w:trPr>
        <w:tc>
          <w:tcPr>
            <w:tcW w:type="dxa" w:w="7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893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Контур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Стратегическое управление и суверенитет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2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Народонаселение, семья и человеческое развитие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3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Здоровье, профилактика, реабилитация и долголетие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4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Образование, воспитание, кадры и таланты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5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Наука, исследования и академическая среда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6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Культура, историческая память и смысловой суверенитет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7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Социальная связанность, труд и общественные инициативы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8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Земля, сельское хозяйство и продовольственная безопасность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9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Водные ресурсы и гидросфера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10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Воздух, климат и атмосферная безопасность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11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Экосистемы, биоценозы и биоразнообразие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12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Энергетика и ресурсная эффективность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13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Промышленность, материаловедение и технологический суверенитет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14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Строительство, ЖКХ и среда жизнедеятельности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15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Транспорт, логистика и пространственная связанность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16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Цифровая инфраструктура, данные, ИИ и государственные реестры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17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Финансы, инвестиции и ресурсные балансы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18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Национальная безопасность, устойчивость и предупреждение угроз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19</w:t>
            </w:r>
          </w:p>
        </w:tc>
        <w:tc>
          <w:tcPr>
            <w:tcW w:type="dxa" w:w="89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Международная, научная и гуманитарная кооперация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[П]  </w:t>
      </w:r>
      <w:r>
        <w:rPr>
          <w:rFonts w:ascii="DejaVu Sans" w:hAnsi="DejaVu Sans" w:eastAsia="DejaVu Sans"/>
          <w:b/>
          <w:color w:val="0B2545"/>
          <w:sz w:val="32"/>
        </w:rPr>
        <w:t>8. Матрица 260 и КРИСТАЛЛ 741</w:t>
      </w: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8.1. Ядро 260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Предварительная методическая гипотеза закрепляет 13 классов системного баланса и 20 обязательных позиций паспорта. Их произведение образует 260 позиций единого ядра мониторинга. Это не 260 заранее утверждённых федеральных KPI: конкретные метрики, пороги и целевые значения определяются после базовой линии и научно-методической экспертизы.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EAF2F8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C7A23A"/>
              <w:top w:val="nil" w:sz="0" w:space="0" w:color="EAF2F8"/>
              <w:bottom w:val="nil" w:sz="0" w:space="0" w:color="EAF2F8"/>
              <w:end w:val="nil" w:sz="0" w:space="0" w:color="EAF2F8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C7A23A"/>
                <w:sz w:val="17"/>
              </w:rPr>
              <w:t>ФОРМУЛА 260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13 классов баланса × 20 позиций паспорта = 260 элементов ядра мониторинга</w:t>
            </w:r>
          </w:p>
        </w:tc>
      </w:tr>
    </w:tbl>
    <w:p>
      <w:pPr>
        <w:spacing w:after="0"/>
      </w:pP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Классы баланса: демография; здоровье и жизнеспособность; образование и наука; культура и смыслы; социальные и институциональные связи; экология; пространство; природные ресурсы; энергетика; промышленность и технологии; инфраструктура и логистика; финансы и экономика; безопасность и устойчивость.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Позиции паспорта: состояние; динамика; норматив или целевой коридор; территориальный разрез; группы населения; источник; периодичность; владелец; методика; качество данных; критический порог; ранний сигнал; причинные факторы; зависимые показатели; ресурсы; действующие меры; дефицит мер; стоимость бездействия; ожидаемый эффект; статус верификации.</w:t>
      </w: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8.2. КРИСТАЛЛ 741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F5F7F9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1F4D78"/>
              <w:top w:val="nil" w:sz="0" w:space="0" w:color="F5F7F9"/>
              <w:bottom w:val="nil" w:sz="0" w:space="0" w:color="F5F7F9"/>
              <w:end w:val="nil" w:sz="0" w:space="0" w:color="F5F7F9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1F4D78"/>
                <w:sz w:val="17"/>
              </w:rPr>
              <w:t>МАТЕМАТИЧЕСКИ КОРРЕКТНАЯ ФОРМУЛА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19 контуров × 13 классов баланса × 3 управленческих слоя = 741 адресуемая ячейка</w:t>
            </w:r>
          </w:p>
        </w:tc>
      </w:tr>
    </w:tbl>
    <w:p>
      <w:pPr>
        <w:spacing w:after="0"/>
      </w:pP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Три слоя: (1) наблюдение и прогноз; (2) решение и ресурсное обеспечение; (3) исполнение и подтверждение результата. 741 — не число организаций и не символическая арифметика, а проектная матрица связей. Для каждой ячейки можно назначить показатель, источник, владельца данных, уполномоченного заказчика, оператора и метод проверки.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Таксономия 260/741 подлежит обязательной научно-методической валидации. Если пилот покажет избыточность или неполноту классификации, структура должна быть изменена без сохранения числа ради числа.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[П]  </w:t>
      </w:r>
      <w:r>
        <w:rPr>
          <w:rFonts w:ascii="DejaVu Sans" w:hAnsi="DejaVu Sans" w:eastAsia="DejaVu Sans"/>
          <w:b/>
          <w:color w:val="0B2545"/>
          <w:sz w:val="32"/>
        </w:rPr>
        <w:t>9. Двенадцать стратегических направлений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Человек, семья и демографическое развитие.</w:t>
      </w:r>
      <w:r>
        <w:rPr>
          <w:rFonts w:ascii="DejaVu Sans" w:hAnsi="DejaVu Sans" w:eastAsia="DejaVu Sans"/>
          <w:color w:val="17212B"/>
          <w:sz w:val="21"/>
        </w:rPr>
        <w:t xml:space="preserve"> Сбережение народа, поддержка семьи, развитие человеческого потенциала.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Здоровье, профилактика и восстановление человека.</w:t>
      </w:r>
      <w:r>
        <w:rPr>
          <w:rFonts w:ascii="DejaVu Sans" w:hAnsi="DejaVu Sans" w:eastAsia="DejaVu Sans"/>
          <w:color w:val="17212B"/>
          <w:sz w:val="21"/>
        </w:rPr>
        <w:t xml:space="preserve"> Раннее выявление рисков, реабилитация, доступность и качество среды здоровья.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Образование, таланты, труд и кадры будущего.</w:t>
      </w:r>
      <w:r>
        <w:rPr>
          <w:rFonts w:ascii="DejaVu Sans" w:hAnsi="DejaVu Sans" w:eastAsia="DejaVu Sans"/>
          <w:color w:val="17212B"/>
          <w:sz w:val="21"/>
        </w:rPr>
        <w:t xml:space="preserve"> Непрерывное образование, профориентация, производственные компетенции.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Наука, фундаментальные знания и технологии будущего.</w:t>
      </w:r>
      <w:r>
        <w:rPr>
          <w:rFonts w:ascii="DejaVu Sans" w:hAnsi="DejaVu Sans" w:eastAsia="DejaVu Sans"/>
          <w:color w:val="17212B"/>
          <w:sz w:val="21"/>
        </w:rPr>
        <w:t xml:space="preserve"> Связь РАН, университетов, отраслевой науки, инженерии и пилотных площадок.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Культура, историческая память и образ будущего.</w:t>
      </w:r>
      <w:r>
        <w:rPr>
          <w:rFonts w:ascii="DejaVu Sans" w:hAnsi="DejaVu Sans" w:eastAsia="DejaVu Sans"/>
          <w:color w:val="17212B"/>
          <w:sz w:val="21"/>
        </w:rPr>
        <w:t xml:space="preserve"> Архив сохранения наследия, культурное многообразие и созидательная идентичность.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Единая наука природных систем.</w:t>
      </w:r>
      <w:r>
        <w:rPr>
          <w:rFonts w:ascii="DejaVu Sans" w:hAnsi="DejaVu Sans" w:eastAsia="DejaVu Sans"/>
          <w:color w:val="17212B"/>
          <w:sz w:val="21"/>
        </w:rPr>
        <w:t xml:space="preserve"> Воздух, вода, земля, биоценозы и человек наблюдаются как связная система.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Землепользование, продовольствие и сельские территории.</w:t>
      </w:r>
      <w:r>
        <w:rPr>
          <w:rFonts w:ascii="DejaVu Sans" w:hAnsi="DejaVu Sans" w:eastAsia="DejaVu Sans"/>
          <w:color w:val="17212B"/>
          <w:sz w:val="21"/>
        </w:rPr>
        <w:t xml:space="preserve"> Состояние почв, вода, логистика, переработка, занятость и качество жизни.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Энергетика, промышленность и материаловедение.</w:t>
      </w:r>
      <w:r>
        <w:rPr>
          <w:rFonts w:ascii="DejaVu Sans" w:hAnsi="DejaVu Sans" w:eastAsia="DejaVu Sans"/>
          <w:color w:val="17212B"/>
          <w:sz w:val="21"/>
        </w:rPr>
        <w:t xml:space="preserve"> Ресурсная эффективность, технологический суверенитет и циклическая экономика.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Транспорт, строительство, ЖКХ и пространство.</w:t>
      </w:r>
      <w:r>
        <w:rPr>
          <w:rFonts w:ascii="DejaVu Sans" w:hAnsi="DejaVu Sans" w:eastAsia="DejaVu Sans"/>
          <w:color w:val="17212B"/>
          <w:sz w:val="21"/>
        </w:rPr>
        <w:t xml:space="preserve"> Связанность расселения, инфраструктурные дефициты и жизненный цикл объектов.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Цифровое государство, реестры, данные и доверенный ИИ.</w:t>
      </w:r>
      <w:r>
        <w:rPr>
          <w:rFonts w:ascii="DejaVu Sans" w:hAnsi="DejaVu Sans" w:eastAsia="DejaVu Sans"/>
          <w:color w:val="17212B"/>
          <w:sz w:val="21"/>
        </w:rPr>
        <w:t xml:space="preserve"> Совместимость, происхождение данных, объяснимость и человеческая проверка.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Финансы развития, кооперация и межотраслевые балансы.</w:t>
      </w:r>
      <w:r>
        <w:rPr>
          <w:rFonts w:ascii="DejaVu Sans" w:hAnsi="DejaVu Sans" w:eastAsia="DejaVu Sans"/>
          <w:color w:val="17212B"/>
          <w:sz w:val="21"/>
        </w:rPr>
        <w:t xml:space="preserve"> Ресурсные обязательства, длинный горизонт и прослеживаемый эффект.</w:t>
      </w:r>
    </w:p>
    <w:p>
      <w:pPr>
        <w:numPr>
          <w:ilvl w:val="0"/>
          <w:numId w:val="14"/>
        </w:numPr>
        <w:spacing w:before="0" w:after="120" w:line="264" w:lineRule="auto"/>
      </w:pPr>
      <w:r>
        <w:rPr>
          <w:rFonts w:ascii="DejaVu Sans" w:hAnsi="DejaVu Sans" w:eastAsia="DejaVu Sans"/>
          <w:b/>
          <w:color w:val="17212B"/>
          <w:sz w:val="21"/>
        </w:rPr>
        <w:t>Безопасность, устойчивость и международная кооперация во имя мира.</w:t>
      </w:r>
      <w:r>
        <w:rPr>
          <w:rFonts w:ascii="DejaVu Sans" w:hAnsi="DejaVu Sans" w:eastAsia="DejaVu Sans"/>
          <w:color w:val="17212B"/>
          <w:sz w:val="21"/>
        </w:rPr>
        <w:t xml:space="preserve"> Предупреждение угроз, устойчивость систем и взаимовыгодные проекты.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Каждое направление получает единый паспорт: проблема, целевой баланс, проекты, территории, ресурсы, правовое основание, ответственные, риски, показатели, данные и метод подтверждения.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[П/Э]  </w:t>
      </w:r>
      <w:r>
        <w:rPr>
          <w:rFonts w:ascii="DejaVu Sans" w:hAnsi="DejaVu Sans" w:eastAsia="DejaVu Sans"/>
          <w:b/>
          <w:color w:val="0B2545"/>
          <w:sz w:val="32"/>
        </w:rPr>
        <w:t>10. Проектируемая экосистема исполнения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50"/>
        <w:gridCol w:w="7188"/>
      </w:tblGrid>
      <w:tr>
        <w:trPr>
          <w:tblHeader w:val="true"/>
        </w:trPr>
        <w:tc>
          <w:tcPr>
            <w:tcW w:type="dxa" w:w="245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Элемент</w:t>
            </w:r>
          </w:p>
        </w:tc>
        <w:tc>
          <w:tcPr>
            <w:tcW w:type="dxa" w:w="718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Предлагаемая функция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ЭКВИЛИБРИУМ [П]</w:t>
            </w:r>
          </w:p>
        </w:tc>
        <w:tc>
          <w:tcPr>
            <w:tcW w:type="dxa" w:w="71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Аналитическое ядро: наблюдение, причинный анализ, сценарное моделирование, прогноз, рекомендации и институциональная память.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ИАЦ [П]</w:t>
            </w:r>
          </w:p>
        </w:tc>
        <w:tc>
          <w:tcPr>
            <w:tcW w:type="dxa" w:w="71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Стратегическая экспертиза, институциональное проектирование и подготовка решений для уполномоченных заказчиков.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СФЕРА [П]</w:t>
            </w:r>
          </w:p>
        </w:tc>
        <w:tc>
          <w:tcPr>
            <w:tcW w:type="dxa" w:w="71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Единое пространство инициатив, участников, знаний и обратной связи.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ECO-PPA [Э]</w:t>
            </w:r>
          </w:p>
        </w:tc>
        <w:tc>
          <w:tcPr>
            <w:tcW w:type="dxa" w:w="71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Экспериментальная договорная рамка фиксации результата, ресурсов, сроков, рисков и ответственности.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СПЕЦЗАЩИТА [П]</w:t>
            </w:r>
          </w:p>
        </w:tc>
        <w:tc>
          <w:tcPr>
            <w:tcW w:type="dxa" w:w="71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Авторская кооперационная модель; конкретные операторы и исполнители определяются в установленном порядке.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КРИСТАЛЛ 741 [П]</w:t>
            </w:r>
          </w:p>
        </w:tc>
        <w:tc>
          <w:tcPr>
            <w:tcW w:type="dxa" w:w="71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Онтология и адресация взаимосвязей между контурами, балансами и слоями управления.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SUR-810 [П]</w:t>
            </w:r>
          </w:p>
        </w:tc>
        <w:tc>
          <w:tcPr>
            <w:tcW w:type="dxa" w:w="71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Ресурсно-балансовый учёт обеспеченности решений; не государственная валюта, не эмиссионный и не платёжный инструмент.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ESG-IR 1.0 [Э]</w:t>
            </w:r>
          </w:p>
        </w:tc>
        <w:tc>
          <w:tcPr>
            <w:tcW w:type="dxa" w:w="71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Методика оценки воздействия, доказательности, валидации и верификации.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Архив сохранения наследия [П]</w:t>
            </w:r>
          </w:p>
        </w:tc>
        <w:tc>
          <w:tcPr>
            <w:tcW w:type="dxa" w:w="71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Долговременная память источников, решений, научных оснований, версий моделей и культурного наследия.</w:t>
            </w:r>
          </w:p>
        </w:tc>
      </w:tr>
    </w:tbl>
    <w:p>
      <w:pPr>
        <w:spacing w:after="40"/>
      </w:pP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F5F7F9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C7A23A"/>
              <w:top w:val="nil" w:sz="0" w:space="0" w:color="F5F7F9"/>
              <w:bottom w:val="nil" w:sz="0" w:space="0" w:color="F5F7F9"/>
              <w:end w:val="nil" w:sz="0" w:space="0" w:color="F5F7F9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C7A23A"/>
                <w:sz w:val="17"/>
              </w:rPr>
              <w:t>ОДИН ЦИКЛ, РАЗНЫЕ ФУНКЦИИ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СФЕРА принимает инициативу → ЭКВИЛИБРИУМ и ИАЦ проводят анализ и экспертизу → КРИСТАЛЛ 741 задаёт адресацию → SUR-810 проверяет ресурсную обеспеченность → ECO-PPA фиксирует обязательства → выбранный оператор организует исполнение → ESG-IR 1.0 подтверждает результат → Архив сохраняет доказательства и уроки.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[Д/П]  </w:t>
      </w:r>
      <w:r>
        <w:rPr>
          <w:rFonts w:ascii="DejaVu Sans" w:hAnsi="DejaVu Sans" w:eastAsia="DejaVu Sans"/>
          <w:b/>
          <w:color w:val="0B2545"/>
          <w:sz w:val="32"/>
        </w:rPr>
        <w:t>11. Государственный и общественный контуры ролей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638"/>
      </w:tblGrid>
      <w:tr>
        <w:trPr>
          <w:tblHeader w:val="true"/>
        </w:trPr>
        <w:tc>
          <w:tcPr>
            <w:tcW w:type="dxa" w:w="30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Участник</w:t>
            </w:r>
          </w:p>
        </w:tc>
        <w:tc>
          <w:tcPr>
            <w:tcW w:type="dxa" w:w="663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Роль в предлагаемой модели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Президент Российской Федерации [Д]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Определяет стратегические ориентиры и поручения в пределах конституционных полномочий.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Совет Безопасности [Д]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Оценивает угрозы, устойчивость и ограничения в пределах компетенции.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Государственный Совет [Д]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Обеспечивает согласование региональной проблематики и межкомиссионных связей в установленном порядке.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Правительство и ФОИВ [Д]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Формируют нормативную, программную, бюджетную и отраслевую реализацию.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Субъекты и муниципалитеты [Д]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Владеют территориальной проблематикой, формируют портфели и обеспечивают исполнение полномочий.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РАН и научные организации [Д]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Участвуют при согласии в методологии, экспертизе причинных моделей и оценке доказательности.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ТПП РФ, деловые объединения, институты развития [Д]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Обеспечивают деловой контур, подбор компетенций, экспертизу и масштабирование в рамках своих полномочий.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Общественные организации и граждане [Д]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Формируют инициативы, обратную связь и общественно значимые критерии результата.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6"/>
              </w:rPr>
              <w:t>Проектный офис [Э]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Организует пилот; полномочия, оператор и подотчётность закрепляются отдельным решением.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Независимый оценщик [Э]</w:t>
            </w:r>
          </w:p>
        </w:tc>
        <w:tc>
          <w:tcPr>
            <w:tcW w:type="dxa" w:w="6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Проверяет методику, данные, конфликт интересов и фактический эффект.</w:t>
            </w:r>
          </w:p>
        </w:tc>
      </w:tr>
    </w:tbl>
    <w:p>
      <w:pPr>
        <w:spacing w:after="40"/>
      </w:pP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Необходимо юридически разделить инициатора концепции, государственного заказчика, владельцев данных, методического оператора, технического оператора, исполнителей пилотов и независимого оценщика. Назначение операторов производится правовым актом, соглашением или конкурентной процедурой в зависимости от предмета.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[Д/П/Э]  </w:t>
      </w:r>
      <w:r>
        <w:rPr>
          <w:rFonts w:ascii="DejaVu Sans" w:hAnsi="DejaVu Sans" w:eastAsia="DejaVu Sans"/>
          <w:b/>
          <w:color w:val="0B2545"/>
          <w:sz w:val="32"/>
        </w:rPr>
        <w:t>12. Данные, реестры, ИИ и безопасность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Карта проектируется как интеграционный и аналитический слой. Первичными остаются официальные реестры, государственная статистика, ведомственные и региональные системы. Дублирование данных допускается только при наличии правового основания, цели обработки и регламента актуализации.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50"/>
        <w:gridCol w:w="7488"/>
      </w:tblGrid>
      <w:tr>
        <w:trPr>
          <w:tblHeader w:val="true"/>
        </w:trPr>
        <w:tc>
          <w:tcPr>
            <w:tcW w:type="dxa" w:w="215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Правило</w:t>
            </w:r>
          </w:p>
        </w:tc>
        <w:tc>
          <w:tcPr>
            <w:tcW w:type="dxa" w:w="748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Требование</w:t>
            </w:r>
          </w:p>
        </w:tc>
      </w:tr>
      <w:tr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Происхождение</w:t>
            </w:r>
          </w:p>
        </w:tc>
        <w:tc>
          <w:tcPr>
            <w:tcW w:type="dxa" w:w="7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Источник, владелец, метод, дата, версия и цепочка преобразований.</w:t>
            </w:r>
          </w:p>
        </w:tc>
      </w:tr>
      <w:tr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Минимизация</w:t>
            </w:r>
          </w:p>
        </w:tc>
        <w:tc>
          <w:tcPr>
            <w:tcW w:type="dxa" w:w="7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Собираются только данные, необходимые для утверждённой цели пилота.</w:t>
            </w:r>
          </w:p>
        </w:tc>
      </w:tr>
      <w:tr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Обезличивание</w:t>
            </w:r>
          </w:p>
        </w:tc>
        <w:tc>
          <w:tcPr>
            <w:tcW w:type="dxa" w:w="7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Персональные данные не используются там, где достаточно агрегированных значений.</w:t>
            </w:r>
          </w:p>
        </w:tc>
      </w:tr>
      <w:tr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Разграничение доступа</w:t>
            </w:r>
          </w:p>
        </w:tc>
        <w:tc>
          <w:tcPr>
            <w:tcW w:type="dxa" w:w="7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Публичный, служебный, конфиденциальный и защищённый уровни разделяются.</w:t>
            </w:r>
          </w:p>
        </w:tc>
      </w:tr>
      <w:tr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Человеческая проверка</w:t>
            </w:r>
          </w:p>
        </w:tc>
        <w:tc>
          <w:tcPr>
            <w:tcW w:type="dxa" w:w="7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ИИ формирует вероятностные сценарии и рекомендации, а не обязательные решения.</w:t>
            </w:r>
          </w:p>
        </w:tc>
      </w:tr>
      <w:tr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Объяснимость</w:t>
            </w:r>
          </w:p>
        </w:tc>
        <w:tc>
          <w:tcPr>
            <w:tcW w:type="dxa" w:w="7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Сохраняются факторы, допущения, неопределённость и ограничения модели.</w:t>
            </w:r>
          </w:p>
        </w:tc>
      </w:tr>
      <w:tr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Открытые интерфейсы</w:t>
            </w:r>
          </w:p>
        </w:tc>
        <w:tc>
          <w:tcPr>
            <w:tcW w:type="dxa" w:w="7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Документированная модель данных и переносимость снижают зависимость от поставщика.</w:t>
            </w:r>
          </w:p>
        </w:tc>
      </w:tr>
      <w:tr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Версионирование</w:t>
            </w:r>
          </w:p>
        </w:tc>
        <w:tc>
          <w:tcPr>
            <w:tcW w:type="dxa" w:w="7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Отрицательные результаты и ограничения сохраняются наравне с успешными.</w:t>
            </w:r>
          </w:p>
        </w:tc>
      </w:tr>
    </w:tbl>
    <w:p>
      <w:pPr>
        <w:spacing w:after="40"/>
      </w:pP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FFF7E3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C7A23A"/>
              <w:top w:val="nil" w:sz="0" w:space="0" w:color="FFF7E3"/>
              <w:bottom w:val="nil" w:sz="0" w:space="0" w:color="FFF7E3"/>
              <w:end w:val="nil" w:sz="0" w:space="0" w:color="FFF7E3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C7A23A"/>
                <w:sz w:val="17"/>
              </w:rPr>
              <w:t>ЭТИЧЕСКАЯ ГРАНИЦА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Карта оценивает условия и результаты развития территорий — не убеждения, не мировоззрение и не «уровень сознания» граждан.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[Э]  </w:t>
      </w:r>
      <w:r>
        <w:rPr>
          <w:rFonts w:ascii="DejaVu Sans" w:hAnsi="DejaVu Sans" w:eastAsia="DejaVu Sans"/>
          <w:b/>
          <w:color w:val="0B2545"/>
          <w:sz w:val="32"/>
        </w:rPr>
        <w:t>13. Экономическая модель и ECO-PPA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ECO-PPA рассматривается как проектная договорная рамка: стороны заранее фиксируют общественно значимый результат, ресурсные обязательства, контрольные точки, распределение рисков, права на данные и способ независимого подтверждения. Правовая форма выбирается после экспертизы и может опираться на действующие договорные, закупочные, концессионные, ГЧП, грантовые или кооперационные механизмы — без создания обязательного универсального договора.</w:t>
      </w: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Структура финансово-экономического обоснования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Разработка и научно-правовая экспертиза методики.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Инвентаризация, очистка, нормализация и паспортизация данных.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Интеграция с действующими системами и информационная безопасность.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Разработка или адаптация программного обеспечения.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Работа пилотных команд, обучение и сопровождение пользователей.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Реализация конкретных проектов портфеля.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Независимая оценка, аудит и верификация.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Эксплуатация, обновление и резерв рисков на полном жизненном цикле.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Финансовый, бюджетный, социальный, экологический и технологический эффекты рассчитываются раздельно. Окупаемость и стоимость предотвращённого ущерба не заявляются без раскрытой методики, исходных данных и допущений.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[Э]  </w:t>
      </w:r>
      <w:r>
        <w:rPr>
          <w:rFonts w:ascii="DejaVu Sans" w:hAnsi="DejaVu Sans" w:eastAsia="DejaVu Sans"/>
          <w:b/>
          <w:color w:val="0B2545"/>
          <w:sz w:val="32"/>
        </w:rPr>
        <w:t>14. Региональный пилот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EAF2F8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C7A23A"/>
              <w:top w:val="nil" w:sz="0" w:space="0" w:color="EAF2F8"/>
              <w:bottom w:val="nil" w:sz="0" w:space="0" w:color="EAF2F8"/>
              <w:end w:val="nil" w:sz="0" w:space="0" w:color="EAF2F8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C7A23A"/>
                <w:sz w:val="17"/>
              </w:rPr>
              <w:t>ПРИНЦИП ПИЛОТА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Проверить не всю философию проекта, а способность разных ведомств и организаций совместно решить 2-3 измеримые межотраслевые задачи на ограниченной территории.</w:t>
            </w:r>
          </w:p>
        </w:tc>
      </w:tr>
    </w:tbl>
    <w:p>
      <w:pPr>
        <w:spacing w:after="0"/>
      </w:pP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Кандидатный контур авторского проекта — Сызрань — Рамено — Смолькино. Его включение в официальный пилот возможно только после подтверждения территории, правового статуса объектов, согласия участников, качества исходных данных и решения уполномоченного заказчика. Альтернативный формат — один субъект Российской Федерации и три типа территории: городская, промышленная, сельская или природная.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2200"/>
        <w:gridCol w:w="5988"/>
      </w:tblGrid>
      <w:tr>
        <w:trPr>
          <w:tblHeader w:val="true"/>
        </w:trPr>
        <w:tc>
          <w:tcPr>
            <w:tcW w:type="dxa" w:w="145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Период</w:t>
            </w:r>
          </w:p>
        </w:tc>
        <w:tc>
          <w:tcPr>
            <w:tcW w:type="dxa" w:w="22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Ворота</w:t>
            </w:r>
          </w:p>
        </w:tc>
        <w:tc>
          <w:tcPr>
            <w:tcW w:type="dxa" w:w="598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0-30 дней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Правовая и информационная рамка</w:t>
            </w:r>
          </w:p>
        </w:tc>
        <w:tc>
          <w:tcPr>
            <w:tcW w:type="dxa" w:w="59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Периметр, участники, данные, безопасность, бюджетные ограничения.</w:t>
            </w:r>
          </w:p>
        </w:tc>
      </w:tr>
      <w:tr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31-60 дней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Базовая линия и сценарии</w:t>
            </w:r>
          </w:p>
        </w:tc>
        <w:tc>
          <w:tcPr>
            <w:tcW w:type="dxa" w:w="59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Профиль балансов, критические разрывы, 2-3 сценария, предварительный портфель.</w:t>
            </w:r>
          </w:p>
        </w:tc>
      </w:tr>
      <w:tr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61-90 дней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Паспорт пилота</w:t>
            </w:r>
          </w:p>
        </w:tc>
        <w:tc>
          <w:tcPr>
            <w:tcW w:type="dxa" w:w="59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KPI, ресурсы, роли, метод верификации, календарь и решение о запуске.</w:t>
            </w:r>
          </w:p>
        </w:tc>
      </w:tr>
      <w:tr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4-12 месяц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Исполнение и контроль</w:t>
            </w:r>
          </w:p>
        </w:tc>
        <w:tc>
          <w:tcPr>
            <w:tcW w:type="dxa" w:w="59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5-7 взаимосвязанных проектов; контроль на 180-й и 365-й день.</w:t>
            </w:r>
          </w:p>
        </w:tc>
      </w:tr>
      <w:tr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Итог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Независимая оценка</w:t>
            </w:r>
          </w:p>
        </w:tc>
        <w:tc>
          <w:tcPr>
            <w:tcW w:type="dxa" w:w="59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Сравнение базовой и итоговой линии; решение прекратить, изменить или масштабировать.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Органы управления пилотом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межведомственный координационный совет;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региональный проектный офис;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научно-методический совет с участием профильных организаций;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совет бизнеса и производственной кооперации;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общественно-экспертная площадка;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независимый центр валидации.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[Э]  </w:t>
      </w:r>
      <w:r>
        <w:rPr>
          <w:rFonts w:ascii="DejaVu Sans" w:hAnsi="DejaVu Sans" w:eastAsia="DejaVu Sans"/>
          <w:b/>
          <w:color w:val="0B2545"/>
          <w:sz w:val="32"/>
        </w:rPr>
        <w:t>15. KPI, валидация и доказательность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Фактические целевые значения по предметным эффектам устанавливаются после исходного обследования. На 90-дневном этапе применяются показатели готовности системы и качества доказательств.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7638"/>
      </w:tblGrid>
      <w:tr>
        <w:trPr>
          <w:tblHeader w:val="true"/>
        </w:trPr>
        <w:tc>
          <w:tcPr>
            <w:tcW w:type="dxa" w:w="20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Группа</w:t>
            </w:r>
          </w:p>
        </w:tc>
        <w:tc>
          <w:tcPr>
            <w:tcW w:type="dxa" w:w="763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Критерий пилота</w:t>
            </w:r>
          </w:p>
        </w:tc>
      </w:tr>
      <w:tr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Паспортизация</w:t>
            </w:r>
          </w:p>
        </w:tc>
        <w:tc>
          <w:tcPr>
            <w:tcW w:type="dxa" w:w="7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100% приоритетных показателей пилота имеют определение, источник, владельца, методику и цикл обновления.</w:t>
            </w:r>
          </w:p>
        </w:tc>
      </w:tr>
      <w:tr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Данные</w:t>
            </w:r>
          </w:p>
        </w:tc>
        <w:tc>
          <w:tcPr>
            <w:tcW w:type="dxa" w:w="7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Не менее 90% приоритетных наборов проходят проверку полноты, происхождения и правового основания.</w:t>
            </w:r>
          </w:p>
        </w:tc>
      </w:tr>
      <w:tr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Проекты</w:t>
            </w:r>
          </w:p>
        </w:tc>
        <w:tc>
          <w:tcPr>
            <w:tcW w:type="dxa" w:w="7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Каждый проект имеет уникальный идентификатор, базовую линию, ресурс, срок, риск и метод подтверждения.</w:t>
            </w:r>
          </w:p>
        </w:tc>
      </w:tr>
      <w:tr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Управляемость</w:t>
            </w:r>
          </w:p>
        </w:tc>
        <w:tc>
          <w:tcPr>
            <w:tcW w:type="dxa" w:w="7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Измеряется время подготовки межведомственной аналитики и согласования решения относительно базовой линии.</w:t>
            </w:r>
          </w:p>
        </w:tc>
      </w:tr>
      <w:tr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Исполнение</w:t>
            </w:r>
          </w:p>
        </w:tc>
        <w:tc>
          <w:tcPr>
            <w:tcW w:type="dxa" w:w="7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Контрольные точки портфеля отслеживаются по сроку, ресурсу и фактическому результату.</w:t>
            </w:r>
          </w:p>
        </w:tc>
      </w:tr>
      <w:tr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Баланс</w:t>
            </w:r>
          </w:p>
        </w:tc>
        <w:tc>
          <w:tcPr>
            <w:tcW w:type="dxa" w:w="7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Улучшение приоритетного эффекта не сопровождается недопустимым ухудшением связанных контуров.</w:t>
            </w:r>
          </w:p>
        </w:tc>
      </w:tr>
      <w:tr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Верификация</w:t>
            </w:r>
          </w:p>
        </w:tc>
        <w:tc>
          <w:tcPr>
            <w:tcW w:type="dxa" w:w="7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100% ключевых выводов имеют статус: подтверждён, частично подтверждён, не подтверждён или опровергнут.</w:t>
            </w:r>
          </w:p>
        </w:tc>
      </w:tr>
      <w:tr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Тиражирование</w:t>
            </w:r>
          </w:p>
        </w:tc>
        <w:tc>
          <w:tcPr>
            <w:tcW w:type="dxa" w:w="7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Подготовлен воспроизводимый стандарт, стоимость владения, ограничения и условия повторения.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ESG-IR 1.0: пять объектов проверки</w:t>
      </w:r>
    </w:p>
    <w:p>
      <w:pPr>
        <w:numPr>
          <w:ilvl w:val="0"/>
          <w:numId w:val="15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данные и их происхождение;</w:t>
      </w:r>
    </w:p>
    <w:p>
      <w:pPr>
        <w:numPr>
          <w:ilvl w:val="0"/>
          <w:numId w:val="15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методика расчёта и неопределённость;</w:t>
      </w:r>
    </w:p>
    <w:p>
      <w:pPr>
        <w:numPr>
          <w:ilvl w:val="0"/>
          <w:numId w:val="15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фактический результат;</w:t>
      </w:r>
    </w:p>
    <w:p>
      <w:pPr>
        <w:numPr>
          <w:ilvl w:val="0"/>
          <w:numId w:val="15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воздействие на связанные балансы;</w:t>
      </w:r>
    </w:p>
    <w:p>
      <w:pPr>
        <w:numPr>
          <w:ilvl w:val="0"/>
          <w:numId w:val="15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конфликт интересов, ограничения и отрицательные результаты.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[П/Э]  </w:t>
      </w:r>
      <w:r>
        <w:rPr>
          <w:rFonts w:ascii="DejaVu Sans" w:hAnsi="DejaVu Sans" w:eastAsia="DejaVu Sans"/>
          <w:b/>
          <w:color w:val="0B2545"/>
          <w:sz w:val="32"/>
        </w:rPr>
        <w:t>16. Дорожная карта</w:t>
      </w: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Первые 100 дней — проектирование и разрешение на пилот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сформировать межведомственную рабочую группу и научно-методический совет;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утвердить терминологию, границы проекта и статусы [Д]/[П]/[Э];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провести правовой, информационный, финансовый и технологический аудит;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выбрать территорию и 2-3 межотраслевых сценария;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инвентаризировать программы, данные, инициативы и инфраструктурные дефициты;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сформировать базовую линию, модель 260/741 и требования к безопасности;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подготовить паспорт пилота, бюджетные ограничения, KPI и метод независимой оценки.</w:t>
      </w: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Один год — ограниченная апробация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развернуть защищённый прототип аналитической панели и реестр показателей;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реализовать портфель из 5-7 взаимосвязанных проектов;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провести контрольные циклы на 90-й, 180-й и 365-й день;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апробировать ECO-PPA, КРИСТАЛЛ 741, SUR-810 и ESG-IR 1.0 в пределах разрешённого периметра;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представить открытую и закрытую части отчёта и независимое заключение;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принять решение о прекращении, корректировке или межрегиональной репликации.</w:t>
      </w:r>
    </w:p>
    <w:p>
      <w:pPr>
        <w:pStyle w:val="Heading2"/>
        <w:keepNext/>
      </w:pPr>
      <w:r>
        <w:rPr>
          <w:rFonts w:ascii="DejaVu Sans" w:hAnsi="DejaVu Sans" w:eastAsia="DejaVu Sans"/>
          <w:b/>
          <w:color w:val="1F4D78"/>
          <w:sz w:val="26"/>
        </w:rPr>
        <w:t>Три года — масштабирование только подтверждённых модулей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распространить проверенную модель на 8-12 регионов разных типов;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утвердить совместимые паспорта балансов, данных и проектов без дублирования государственных ИС;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сформировать национальный портфель межотраслевых проектов и программу подготовки команд;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ввести регулярный доклад о национальных и территориальных балансах;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подготовить предложения о нормативном закреплении только тех механизмов, эффективность и безопасность которых доказаны.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[П/Э]  </w:t>
      </w:r>
      <w:r>
        <w:rPr>
          <w:rFonts w:ascii="DejaVu Sans" w:hAnsi="DejaVu Sans" w:eastAsia="DejaVu Sans"/>
          <w:b/>
          <w:color w:val="0B2545"/>
          <w:sz w:val="32"/>
        </w:rPr>
        <w:t>17. Риски и предохранители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7138"/>
      </w:tblGrid>
      <w:tr>
        <w:trPr>
          <w:tblHeader w:val="true"/>
        </w:trPr>
        <w:tc>
          <w:tcPr>
            <w:tcW w:type="dxa" w:w="25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Риск</w:t>
            </w:r>
          </w:p>
        </w:tc>
        <w:tc>
          <w:tcPr>
            <w:tcW w:type="dxa" w:w="713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Предохранитель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Дублирование полномочий</w:t>
            </w:r>
          </w:p>
        </w:tc>
        <w:tc>
          <w:tcPr>
            <w:tcW w:type="dxa" w:w="71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Карта позиционируется как поддержка решений; полномочия органов власти не изменяются.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6"/>
              </w:rPr>
              <w:t>Идеологизация</w:t>
            </w:r>
          </w:p>
        </w:tc>
        <w:tc>
          <w:tcPr>
            <w:tcW w:type="dxa" w:w="71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Исключены оценка убеждений граждан и обязательная мировоззренческая классификация.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Символическая арифметика</w:t>
            </w:r>
          </w:p>
        </w:tc>
        <w:tc>
          <w:tcPr>
            <w:tcW w:type="dxa" w:w="71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Формулы 260/741 раскрыты; числа изменяются, если методическая проверка этого требует.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Низкое качество данных</w:t>
            </w:r>
          </w:p>
        </w:tc>
        <w:tc>
          <w:tcPr>
            <w:tcW w:type="dxa" w:w="71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Паспорта источников, уровни доверия, журнал происхождения и независимая проверка.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6"/>
              </w:rPr>
              <w:t>Персональные данные</w:t>
            </w:r>
          </w:p>
        </w:tc>
        <w:tc>
          <w:tcPr>
            <w:tcW w:type="dxa" w:w="71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Минимизация, обезличивание, законная цель, разграничение доступа и аудит.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Зависимость от поставщика</w:t>
            </w:r>
          </w:p>
        </w:tc>
        <w:tc>
          <w:tcPr>
            <w:tcW w:type="dxa" w:w="71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Открытые интерфейсы, переносимость данных, разделение методического и технического операторов.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Непрозрачное финансирование</w:t>
            </w:r>
          </w:p>
        </w:tc>
        <w:tc>
          <w:tcPr>
            <w:tcW w:type="dxa" w:w="71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Постатейная стоимость жизненного цикла, правовые основания и раскрытие конфликта интересов.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6"/>
              </w:rPr>
              <w:t>Завышенный эффект</w:t>
            </w:r>
          </w:p>
        </w:tc>
        <w:tc>
          <w:tcPr>
            <w:tcW w:type="dxa" w:w="71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Раздельный расчёт видов эффекта, сценарные диапазоны и запрет неподтверждённых обещаний.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6"/>
              </w:rPr>
              <w:t>Чрезмерный масштаб</w:t>
            </w:r>
          </w:p>
        </w:tc>
        <w:tc>
          <w:tcPr>
            <w:tcW w:type="dxa" w:w="71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Один ограниченный пилот, этапные ворота и возможность прекращения.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6"/>
              </w:rPr>
              <w:t>Централизация</w:t>
            </w:r>
          </w:p>
        </w:tc>
        <w:tc>
          <w:tcPr>
            <w:tcW w:type="dxa" w:w="71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6"/>
              </w:rPr>
              <w:t>Федеральный уровень задаёт совместимость; регионы сохраняют владение своей проблематикой и законные полномочия.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[П]  </w:t>
      </w:r>
      <w:r>
        <w:rPr>
          <w:rFonts w:ascii="DejaVu Sans" w:hAnsi="DejaVu Sans" w:eastAsia="DejaVu Sans"/>
          <w:b/>
          <w:color w:val="0B2545"/>
          <w:sz w:val="32"/>
        </w:rPr>
        <w:t>18. Проект управленческого решения</w:t>
      </w:r>
    </w:p>
    <w:p>
      <w:pPr>
        <w:numPr>
          <w:ilvl w:val="0"/>
          <w:numId w:val="16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Одобрить концепцию «Россия. Карта Пробуждения» как основу для научно-методической и организационной проработки ограниченной экспериментальной архитектуры согласованного управления развитием.</w:t>
      </w:r>
    </w:p>
    <w:p>
      <w:pPr>
        <w:numPr>
          <w:ilvl w:val="0"/>
          <w:numId w:val="16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Установить, что проектируемые элементы не подменяют полномочия органов государственной власти и до завершения пилота не приобретают статуса государственной информационной системы, стандарта, платёжного или финансового механизма.</w:t>
      </w:r>
    </w:p>
    <w:p>
      <w:pPr>
        <w:numPr>
          <w:ilvl w:val="0"/>
          <w:numId w:val="16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Определить уполномоченного координатора и сформировать межведомственную рабочую группу.</w:t>
      </w:r>
    </w:p>
    <w:p>
      <w:pPr>
        <w:numPr>
          <w:ilvl w:val="0"/>
          <w:numId w:val="16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В течение 30 дней представить варианты территории и предмета пилота, перечень участников, данных и правовых оснований.</w:t>
      </w:r>
    </w:p>
    <w:p>
      <w:pPr>
        <w:numPr>
          <w:ilvl w:val="0"/>
          <w:numId w:val="16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В течение 60 дней провести научно-методическую, правовую, финансово-экономическую, технологическую и информационную экспертизу проектируемых компонентов.</w:t>
      </w:r>
    </w:p>
    <w:p>
      <w:pPr>
        <w:numPr>
          <w:ilvl w:val="0"/>
          <w:numId w:val="16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В течение 90 дней представить паспорт пилота, базовую линию, модель 260/741, финансово-экономическое обоснование, требования безопасности, KPI и метод независимой верификации.</w:t>
      </w:r>
    </w:p>
    <w:p>
      <w:pPr>
        <w:numPr>
          <w:ilvl w:val="0"/>
          <w:numId w:val="16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Финансирование осуществлять исключительно из законных источников на основании утверждённых решений; SUR-810 не использовать как платёжный или эмиссионный инструмент.</w:t>
      </w:r>
    </w:p>
    <w:p>
      <w:pPr>
        <w:numPr>
          <w:ilvl w:val="0"/>
          <w:numId w:val="16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По итогам 12 месяцев представить сопоставление исходного и достигнутого состояния, оценку затрат, эффектов и рисков, а также предложение о прекращении, корректировке либо масштабировании отдельных модулей.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EAF2F8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C7A23A"/>
              <w:top w:val="nil" w:sz="0" w:space="0" w:color="EAF2F8"/>
              <w:bottom w:val="nil" w:sz="0" w:space="0" w:color="EAF2F8"/>
              <w:end w:val="nil" w:sz="0" w:space="0" w:color="EAF2F8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C7A23A"/>
                <w:sz w:val="17"/>
              </w:rPr>
              <w:t>ЗАПРАШИВАЕМЫЙ РЕЗУЛЬТАТ ПЕРВОГО РЕШЕНИЯ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Не полномасштабное внедрение, а разрешение на 90-дневную экспертную проработку и подготовку юридически ограниченного пилота.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after="80"/>
        <w:jc w:val="left"/>
      </w:pPr>
      <w:r>
        <w:rPr>
          <w:rFonts w:ascii="DejaVu Sans" w:hAnsi="DejaVu Sans" w:eastAsia="DejaVu Sans"/>
          <w:b/>
          <w:caps/>
          <w:color w:val="C7A23A"/>
          <w:sz w:val="18"/>
        </w:rPr>
        <w:t>ПРИЛОЖЕНИЕ 1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[П]  </w:t>
      </w:r>
      <w:r>
        <w:rPr>
          <w:rFonts w:ascii="DejaVu Sans" w:hAnsi="DejaVu Sans" w:eastAsia="DejaVu Sans"/>
          <w:b/>
          <w:color w:val="0B2545"/>
          <w:sz w:val="32"/>
        </w:rPr>
        <w:t>Единый паспорт инициативы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1800"/>
        <w:gridCol w:w="7238"/>
      </w:tblGrid>
      <w:tr>
        <w:trPr>
          <w:tblHeader w:val="true"/>
        </w:trPr>
        <w:tc>
          <w:tcPr>
            <w:tcW w:type="dxa" w:w="6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№</w:t>
            </w:r>
          </w:p>
        </w:tc>
        <w:tc>
          <w:tcPr>
            <w:tcW w:type="dxa" w:w="18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Раздел</w:t>
            </w:r>
          </w:p>
        </w:tc>
        <w:tc>
          <w:tcPr>
            <w:tcW w:type="dxa" w:w="723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Обязательное содержание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Проблема и территория</w:t>
            </w:r>
          </w:p>
        </w:tc>
        <w:tc>
          <w:tcPr>
            <w:tcW w:type="dxa" w:w="72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Факт, масштаб, затронутые группы, источник данных.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2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Целевой баланс</w:t>
            </w:r>
          </w:p>
        </w:tc>
        <w:tc>
          <w:tcPr>
            <w:tcW w:type="dxa" w:w="72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Исходное состояние, целевой коридор, срок и основание.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3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Сценарии</w:t>
            </w:r>
          </w:p>
        </w:tc>
        <w:tc>
          <w:tcPr>
            <w:tcW w:type="dxa" w:w="72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Варианты действий, стоимость бездействия, риски и ограничения.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4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Решение</w:t>
            </w:r>
          </w:p>
        </w:tc>
        <w:tc>
          <w:tcPr>
            <w:tcW w:type="dxa" w:w="72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Правовое основание, уполномоченный заказчик, владелец результата.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5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Проект</w:t>
            </w:r>
          </w:p>
        </w:tc>
        <w:tc>
          <w:tcPr>
            <w:tcW w:type="dxa" w:w="72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Этапы, исполнители, зависимости, контрольные точки.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6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Ресурс</w:t>
            </w:r>
          </w:p>
        </w:tc>
        <w:tc>
          <w:tcPr>
            <w:tcW w:type="dxa" w:w="72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Источник, объём, срок, условия, конфликт интересов.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7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Данные</w:t>
            </w:r>
          </w:p>
        </w:tc>
        <w:tc>
          <w:tcPr>
            <w:tcW w:type="dxa" w:w="72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Источник, владелец, методика, периодичность, качество и доступ.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8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Результат</w:t>
            </w:r>
          </w:p>
        </w:tc>
        <w:tc>
          <w:tcPr>
            <w:tcW w:type="dxa" w:w="72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Фактическое значение, воздействие на связанные балансы.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9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Верификация</w:t>
            </w:r>
          </w:p>
        </w:tc>
        <w:tc>
          <w:tcPr>
            <w:tcW w:type="dxa" w:w="72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Оценщик, метод, доказательства, ограничения, статус.</w:t>
            </w:r>
          </w:p>
        </w:tc>
      </w:tr>
      <w:tr>
        <w:tc>
          <w:tcPr>
            <w:tcW w:type="dxa" w:w="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10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Масштабирование</w:t>
            </w:r>
          </w:p>
        </w:tc>
        <w:tc>
          <w:tcPr>
            <w:tcW w:type="dxa" w:w="72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Воспроизводимость, стоимость владения, условия повторения.</w:t>
            </w:r>
          </w:p>
        </w:tc>
      </w:tr>
    </w:tbl>
    <w:p>
      <w:pPr>
        <w:spacing w:after="40"/>
      </w:pPr>
    </w:p>
    <w:p>
      <w:pPr>
        <w:keepNext/>
        <w:spacing w:after="80"/>
        <w:jc w:val="left"/>
      </w:pPr>
      <w:r>
        <w:rPr>
          <w:rFonts w:ascii="DejaVu Sans" w:hAnsi="DejaVu Sans" w:eastAsia="DejaVu Sans"/>
          <w:b/>
          <w:caps/>
          <w:color w:val="C7A23A"/>
          <w:sz w:val="18"/>
        </w:rPr>
        <w:t>ПРИЛОЖЕНИЕ 2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0B2545"/>
          <w:sz w:val="32"/>
        </w:rPr>
        <w:t>Глоссарий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338"/>
      </w:tblGrid>
      <w:tr>
        <w:trPr>
          <w:tblHeader w:val="true"/>
        </w:trPr>
        <w:tc>
          <w:tcPr>
            <w:tcW w:type="dxa" w:w="2300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Термин</w:t>
            </w:r>
          </w:p>
        </w:tc>
        <w:tc>
          <w:tcPr>
            <w:tcW w:type="dxa" w:w="7338"/>
            <w:shd w:fill="0B2545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Рабочее определение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Баланс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Наблюдаемое состояние взаимосвязанной системы с допустимым коридором, рисками и правилами реакции.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Контур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Межведомственная область координации; не новое ведомство.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Базовая линия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Подтверждённое исходное состояние до начала воздействия.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Паспорт показателя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Определение, единица, источник, владелец, метод, период, качество, ограничения и статус проверки.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Доказательный маршрут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Связь решения с данными, ресурсом, исполнением, результатом и подтверждающими документами.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Валидация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Подтверждение пригодности метода для заявленной цели.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Верификация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Проверка того, что заявленный результат получен и корректно измерен.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center"/>
            </w:pPr>
            <w:r>
              <w:rPr>
                <w:rFonts w:ascii="DejaVu Sans" w:hAnsi="DejaVu Sans" w:eastAsia="DejaVu Sans"/>
                <w:b/>
                <w:color w:val="17212B"/>
                <w:sz w:val="17"/>
              </w:rPr>
              <w:t>Цифровой двойник</w:t>
            </w:r>
          </w:p>
        </w:tc>
        <w:tc>
          <w:tcPr>
            <w:tcW w:type="dxa" w:w="73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9"/>
          </w:tcPr>
          <w:p>
            <w:pPr>
              <w:spacing w:before="0" w:after="0" w:line="259" w:lineRule="auto"/>
              <w:jc w:val="left"/>
            </w:pPr>
            <w:r>
              <w:rPr>
                <w:rFonts w:ascii="DejaVu Sans" w:hAnsi="DejaVu Sans" w:eastAsia="DejaVu Sans"/>
                <w:b w:val="0"/>
                <w:color w:val="17212B"/>
                <w:sz w:val="17"/>
              </w:rPr>
              <w:t>Версионируемая модель объекта или территории; не замена реальности и не автономный субъект решения.</w:t>
            </w:r>
          </w:p>
        </w:tc>
      </w:tr>
    </w:tbl>
    <w:p>
      <w:pPr>
        <w:spacing w:after="40"/>
      </w:pPr>
    </w:p>
    <w:p>
      <w:pPr>
        <w:keepNext/>
        <w:spacing w:after="80"/>
        <w:jc w:val="left"/>
      </w:pPr>
      <w:r>
        <w:rPr>
          <w:rFonts w:ascii="DejaVu Sans" w:hAnsi="DejaVu Sans" w:eastAsia="DejaVu Sans"/>
          <w:b/>
          <w:caps/>
          <w:color w:val="C7A23A"/>
          <w:sz w:val="18"/>
        </w:rPr>
        <w:t>ПРИЛОЖЕНИЕ 3</w:t>
      </w:r>
    </w:p>
    <w:p>
      <w:pPr>
        <w:pStyle w:val="Heading1"/>
        <w:keepNext/>
      </w:pPr>
      <w:r>
        <w:rPr>
          <w:rFonts w:ascii="DejaVu Sans" w:hAnsi="DejaVu Sans" w:eastAsia="DejaVu Sans"/>
          <w:b/>
          <w:color w:val="C7A23A"/>
          <w:sz w:val="32"/>
        </w:rPr>
        <w:t xml:space="preserve">[Д]  </w:t>
      </w:r>
      <w:r>
        <w:rPr>
          <w:rFonts w:ascii="DejaVu Sans" w:hAnsi="DejaVu Sans" w:eastAsia="DejaVu Sans"/>
          <w:b/>
          <w:color w:val="0B2545"/>
          <w:sz w:val="32"/>
        </w:rPr>
        <w:t>Нормативная и методическая опора</w:t>
      </w:r>
    </w:p>
    <w:p>
      <w:pPr>
        <w:spacing w:before="0" w:after="140" w:line="269" w:lineRule="auto"/>
        <w:jc w:val="both"/>
      </w:pPr>
      <w:r>
        <w:rPr>
          <w:rFonts w:ascii="DejaVu Sans" w:hAnsi="DejaVu Sans" w:eastAsia="DejaVu Sans"/>
          <w:i w:val="0"/>
          <w:color w:val="17212B"/>
          <w:sz w:val="21"/>
        </w:rPr>
        <w:t>Перечень используется для рамочного согласования проекта. Конкретный пилот требует отдельного правового заключения, отраслевых актов, соглашений о данных и финансово-экономического обоснования.</w:t>
      </w:r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Указ Президента РФ от 07.05.2024 № 309 «О национальных целях развития Российской Федерации на период до 2030 года и на перспективу до 2036 года». </w:t>
      </w:r>
      <w:hyperlink r:id="rId12">
        <w:r>
          <w:rPr>
            <w:rFonts w:ascii="DejaVu Sans" w:hAnsi="DejaVu Sans"/>
            <w:color w:val="1F4D78"/>
            <w:u w:val="single"/>
          </w:rPr>
          <w:t>https://www.kremlin.ru/acts/bank/50542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Федеральный закон от 28.06.2014 № 172-ФЗ «О стратегическом планировании в Российской Федерации». </w:t>
      </w:r>
      <w:hyperlink r:id="rId13">
        <w:r>
          <w:rPr>
            <w:rFonts w:ascii="DejaVu Sans" w:hAnsi="DejaVu Sans"/>
            <w:color w:val="1F4D78"/>
            <w:u w:val="single"/>
          </w:rPr>
          <w:t>https://publication.pravo.gov.ru/Document/View/0001201406300016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Постановление Правительства РФ от 19.06.2026 № 761 о системе управления реализацией Единого плана достижения национальных целей развития. </w:t>
      </w:r>
      <w:hyperlink r:id="rId14">
        <w:r>
          <w:rPr>
            <w:rFonts w:ascii="DejaVu Sans" w:hAnsi="DejaVu Sans"/>
            <w:color w:val="1F4D78"/>
            <w:u w:val="single"/>
          </w:rPr>
          <w:t>https://publication.pravo.gov.ru/document/0001202606200017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Распоряжение Правительства РФ от 28.12.2024 № 4146-р: Стратегия пространственного развития до 2030 года с прогнозом до 2036 года. </w:t>
      </w:r>
      <w:hyperlink r:id="rId15">
        <w:r>
          <w:rPr>
            <w:rFonts w:ascii="DejaVu Sans" w:hAnsi="DejaVu Sans"/>
            <w:color w:val="1F4D78"/>
            <w:u w:val="single"/>
          </w:rPr>
          <w:t>https://publication.pravo.gov.ru/document/0001202501060001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Распоряжение Правительства РФ от 11.08.2025 № 2149-р: план реализации Стратегии пространственного развития. </w:t>
      </w:r>
      <w:hyperlink r:id="rId16">
        <w:r>
          <w:rPr>
            <w:rFonts w:ascii="DejaVu Sans" w:hAnsi="DejaVu Sans"/>
            <w:color w:val="1F4D78"/>
            <w:u w:val="single"/>
          </w:rPr>
          <w:t>https://publication.pravo.gov.ru/document/0001202508110016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Указ Президента РФ от 28.02.2024 № 145 «О Стратегии научно-технологического развития Российской Федерации». </w:t>
      </w:r>
      <w:hyperlink r:id="rId17">
        <w:r>
          <w:rPr>
            <w:rFonts w:ascii="DejaVu Sans" w:hAnsi="DejaVu Sans"/>
            <w:color w:val="1F4D78"/>
            <w:u w:val="single"/>
          </w:rPr>
          <w:t>https://www.kremlin.ru/acts/bank/50358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Указ Президента РФ от 18.06.2024 № 529 о приоритетных направлениях научно-технологического развития и важнейших наукоёмких технологиях. </w:t>
      </w:r>
      <w:hyperlink r:id="rId18">
        <w:r>
          <w:rPr>
            <w:rFonts w:ascii="DejaVu Sans" w:hAnsi="DejaVu Sans"/>
            <w:color w:val="1F4D78"/>
            <w:u w:val="single"/>
          </w:rPr>
          <w:t>https://www.kremlin.ru/acts/bank/50755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Распоряжение Правительства РФ от 09.07.2026 № 1779-р: стратегическое направление цифровой трансформации государственного управления до 2030 года. </w:t>
      </w:r>
      <w:hyperlink r:id="rId19">
        <w:r>
          <w:rPr>
            <w:rFonts w:ascii="DejaVu Sans" w:hAnsi="DejaVu Sans"/>
            <w:color w:val="1F4D78"/>
            <w:u w:val="single"/>
          </w:rPr>
          <w:t>https://publication.pravo.gov.ru/document/0001202607150016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Распоряжение Правительства РФ от 02.03.2026 № 398-р: цифровая трансформация строительства и ЖКХ. </w:t>
      </w:r>
      <w:hyperlink r:id="rId20">
        <w:r>
          <w:rPr>
            <w:rFonts w:ascii="DejaVu Sans" w:hAnsi="DejaVu Sans"/>
            <w:color w:val="1F4D78"/>
            <w:u w:val="single"/>
          </w:rPr>
          <w:t>https://publication.pravo.gov.ru/document/0001202603030012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Федеральный закон от 08.12.2020 № 394-ФЗ «О Государственном Совете Российской Федерации». </w:t>
      </w:r>
      <w:hyperlink r:id="rId21">
        <w:r>
          <w:rPr>
            <w:rFonts w:ascii="DejaVu Sans" w:hAnsi="DejaVu Sans"/>
            <w:color w:val="1F4D78"/>
            <w:u w:val="single"/>
          </w:rPr>
          <w:t>https://publication.pravo.gov.ru/Document/View/0001202012080064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Указ Президента РФ от 04.03.2013 № 183 о рассмотрении общественных инициатив, направленных гражданами с использованием интернет-ресурса «Российская общественная инициатива». </w:t>
      </w:r>
      <w:hyperlink r:id="rId22">
        <w:r>
          <w:rPr>
            <w:rFonts w:ascii="DejaVu Sans" w:hAnsi="DejaVu Sans"/>
            <w:color w:val="1F4D78"/>
            <w:u w:val="single"/>
          </w:rPr>
          <w:t>https://kremlin.ru/acts/bank/36853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Федеральный закон от 21.07.2014 № 212-ФЗ «Об основах общественного контроля в Российской Федерации». </w:t>
      </w:r>
      <w:hyperlink r:id="rId23">
        <w:r>
          <w:rPr>
            <w:rFonts w:ascii="DejaVu Sans" w:hAnsi="DejaVu Sans"/>
            <w:color w:val="1F4D78"/>
            <w:u w:val="single"/>
          </w:rPr>
          <w:t>https://www.kremlin.ru/acts/bank/38702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Федеральный закон от 27.07.2006 № 149-ФЗ «Об информации, информационных технологиях и о защите информации». </w:t>
      </w:r>
      <w:hyperlink r:id="rId24">
        <w:r>
          <w:rPr>
            <w:rFonts w:ascii="DejaVu Sans" w:hAnsi="DejaVu Sans"/>
            <w:color w:val="1F4D78"/>
            <w:u w:val="single"/>
          </w:rPr>
          <w:t>https://pravo.gov.ru/proxy/ips/?docbody=&amp;nd=102108264</w:t>
        </w:r>
      </w:hyperlink>
    </w:p>
    <w:p>
      <w:pPr>
        <w:numPr>
          <w:ilvl w:val="0"/>
          <w:numId w:val="17"/>
        </w:numPr>
        <w:spacing w:before="0" w:after="100" w:line="252" w:lineRule="auto"/>
      </w:pPr>
      <w:r>
        <w:rPr>
          <w:rFonts w:ascii="DejaVu Sans" w:hAnsi="DejaVu Sans" w:eastAsia="DejaVu Sans"/>
          <w:color w:val="17212B"/>
          <w:sz w:val="18"/>
        </w:rPr>
        <w:t xml:space="preserve">Федеральный закон от 27.07.2006 № 152-ФЗ «О персональных данных». </w:t>
      </w:r>
      <w:hyperlink r:id="rId25">
        <w:r>
          <w:rPr>
            <w:rFonts w:ascii="DejaVu Sans" w:hAnsi="DejaVu Sans"/>
            <w:color w:val="1F4D78"/>
            <w:u w:val="single"/>
          </w:rPr>
          <w:t>https://pravo.gov.ru/proxy/ips/?docbody=&amp;nd=102108261</w:t>
        </w:r>
      </w:hyperlink>
    </w:p>
    <w:p>
      <w:pPr>
        <w:pStyle w:val="Heading2"/>
        <w:keepNext/>
      </w:pPr>
      <w:r>
        <w:rPr>
          <w:rFonts w:ascii="DejaVu Sans" w:hAnsi="DejaVu Sans" w:eastAsia="DejaVu Sans"/>
          <w:b/>
          <w:color w:val="C7A23A"/>
          <w:sz w:val="26"/>
        </w:rPr>
        <w:t xml:space="preserve">[П/Э]  </w:t>
      </w:r>
      <w:r>
        <w:rPr>
          <w:rFonts w:ascii="DejaVu Sans" w:hAnsi="DejaVu Sans" w:eastAsia="DejaVu Sans"/>
          <w:b/>
          <w:color w:val="1F4D78"/>
          <w:sz w:val="26"/>
        </w:rPr>
        <w:t>Авторская методическая база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ЭКВИЛИБРИУМ: наблюдение, прогнозирование, сценарное моделирование и институциональная память.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СФЕРА: маршрутизация инициатив, участие и кооперация.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ECO-PPA: фиксация обязательств результата, ресурсов, сроков и рисков.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СПЕЦЗАЩИТА: кооперационная модель исполнения; операторы определяются законным порядком.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КРИСТАЛЛ 741: адресация 19 контуров × 13 классов баланса × 3 слоя.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SUR-810: проектная модель ресурсно-балансового учёта без платёжной или эмиссионной функции.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ESG-IR 1.0: экспериментальная методика доказательности и оценки воздействия.</w:t>
      </w:r>
    </w:p>
    <w:p>
      <w:pPr>
        <w:numPr>
          <w:ilvl w:val="0"/>
          <w:numId w:val="10"/>
        </w:numPr>
        <w:spacing w:before="0" w:after="120" w:line="264" w:lineRule="auto"/>
      </w:pPr>
      <w:r>
        <w:rPr>
          <w:rFonts w:ascii="DejaVu Sans" w:hAnsi="DejaVu Sans" w:eastAsia="DejaVu Sans"/>
          <w:color w:val="17212B"/>
          <w:sz w:val="21"/>
        </w:rPr>
        <w:t>OAIS/PREMIS, W3C PROV, ISO/IEC 17029, ISO/IEC 17025 и NIST AI RMF/TEVV — ориентиры для архивирования, происхождения данных, валидации и управления рисками ИИ; применимость уточняется профильной экспертизой.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shd w:fill="EAF2F8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space="0" w:color="C7A23A"/>
              <w:top w:val="nil" w:sz="0" w:space="0" w:color="EAF2F8"/>
              <w:bottom w:val="nil" w:sz="0" w:space="0" w:color="EAF2F8"/>
              <w:end w:val="nil" w:sz="0" w:space="0" w:color="EAF2F8"/>
            </w:tcBorders>
          </w:tcPr>
          <w:p>
            <w:pPr>
              <w:spacing w:before="0" w:after="0" w:line="269" w:lineRule="auto"/>
              <w:jc w:val="left"/>
            </w:pPr>
            <w:r>
              <w:rPr>
                <w:rFonts w:ascii="DejaVu Sans" w:hAnsi="DejaVu Sans" w:eastAsia="DejaVu Sans"/>
                <w:b/>
                <w:caps/>
                <w:color w:val="C7A23A"/>
                <w:sz w:val="17"/>
              </w:rPr>
              <w:t>ИТОГ</w:t>
              <w:br/>
            </w:r>
            <w:r>
              <w:rPr>
                <w:rFonts w:ascii="DejaVu Sans" w:hAnsi="DejaVu Sans" w:eastAsia="DejaVu Sans"/>
                <w:b/>
                <w:color w:val="0B2545"/>
                <w:sz w:val="24"/>
              </w:rPr>
              <w:t>Карта Пробуждения предлагает России не ещё одну вертикаль, а единый доказательный маршрут — от смысла и раннего сигнала до проверенного результата и институциональной памяти.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510" w:footer="51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ans" w:hAnsi="DejaVu Sans" w:eastAsia="DejaVu Sans"/>
        <w:color w:val="5C6773"/>
        <w:sz w:val="17"/>
      </w:rPr>
      <w:t xml:space="preserve">Стр.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0B2545"/>
        <w:sz w:val="16"/>
      </w:rPr>
      <w:t>РОССИЯ  •  КАРТА ПРОБУЖДЕНИЯ</w:t>
    </w:r>
    <w:r>
      <w:rPr>
        <w:rFonts w:ascii="DejaVu Sans" w:hAnsi="DejaVu Sans" w:eastAsia="DejaVu Sans"/>
        <w:color w:val="5C6773"/>
        <w:sz w:val="15"/>
      </w:rPr>
      <w:t xml:space="preserve">                                      СТРАТЕГИЧЕСКАЯ КОНЦЕПЦИЯ  •  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620"/>
        </w:tabs>
        <w:ind w:left="620" w:hanging="300"/>
        <w:spacing w:after="120" w:line="280" w:lineRule="auto"/>
      </w:pPr>
      <w:rPr>
        <w:rFonts w:ascii="DejaVu Sans" w:hAnsi="DejaVu Sans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620"/>
        </w:tabs>
        <w:ind w:left="620" w:hanging="300"/>
        <w:spacing w:after="120" w:line="280" w:lineRule="auto"/>
      </w:pPr>
      <w:rPr>
        <w:rFonts w:ascii="DejaVu Sans" w:hAnsi="DejaVu Sans"/>
      </w:rPr>
    </w:lvl>
  </w:abstractNum>
  <w:num w:numId="11">
    <w:abstractNumId w:val="10"/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DejaVu Sans" w:hAnsi="DejaVu Sans"/>
      <w:color w:val="1721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0B25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D7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0B254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kremlin.ru/acts/bank/50542" TargetMode="External"/><Relationship Id="rId13" Type="http://schemas.openxmlformats.org/officeDocument/2006/relationships/hyperlink" Target="https://publication.pravo.gov.ru/Document/View/0001201406300016" TargetMode="External"/><Relationship Id="rId14" Type="http://schemas.openxmlformats.org/officeDocument/2006/relationships/hyperlink" Target="https://publication.pravo.gov.ru/document/0001202606200017" TargetMode="External"/><Relationship Id="rId15" Type="http://schemas.openxmlformats.org/officeDocument/2006/relationships/hyperlink" Target="https://publication.pravo.gov.ru/document/0001202501060001" TargetMode="External"/><Relationship Id="rId16" Type="http://schemas.openxmlformats.org/officeDocument/2006/relationships/hyperlink" Target="https://publication.pravo.gov.ru/document/0001202508110016" TargetMode="External"/><Relationship Id="rId17" Type="http://schemas.openxmlformats.org/officeDocument/2006/relationships/hyperlink" Target="https://www.kremlin.ru/acts/bank/50358" TargetMode="External"/><Relationship Id="rId18" Type="http://schemas.openxmlformats.org/officeDocument/2006/relationships/hyperlink" Target="https://www.kremlin.ru/acts/bank/50755" TargetMode="External"/><Relationship Id="rId19" Type="http://schemas.openxmlformats.org/officeDocument/2006/relationships/hyperlink" Target="https://publication.pravo.gov.ru/document/0001202607150016" TargetMode="External"/><Relationship Id="rId20" Type="http://schemas.openxmlformats.org/officeDocument/2006/relationships/hyperlink" Target="https://publication.pravo.gov.ru/document/0001202603030012" TargetMode="External"/><Relationship Id="rId21" Type="http://schemas.openxmlformats.org/officeDocument/2006/relationships/hyperlink" Target="https://publication.pravo.gov.ru/Document/View/0001202012080064" TargetMode="External"/><Relationship Id="rId22" Type="http://schemas.openxmlformats.org/officeDocument/2006/relationships/hyperlink" Target="https://kremlin.ru/acts/bank/36853" TargetMode="External"/><Relationship Id="rId23" Type="http://schemas.openxmlformats.org/officeDocument/2006/relationships/hyperlink" Target="https://www.kremlin.ru/acts/bank/38702" TargetMode="External"/><Relationship Id="rId24" Type="http://schemas.openxmlformats.org/officeDocument/2006/relationships/hyperlink" Target="https://pravo.gov.ru/proxy/ips/?docbody=&amp;nd=102108264" TargetMode="External"/><Relationship Id="rId25" Type="http://schemas.openxmlformats.org/officeDocument/2006/relationships/hyperlink" Target="https://pravo.gov.ru/proxy/ips/?docbody=&amp;nd=10210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Россия. Карта Пробуждения</dc:title>
  <dc:subject>Стратегическая архитектура согласованного управления развитием</dc:subject>
  <dc:creator>Соколов Сергей Леонидович</dc:creator>
  <cp:keywords>Россия, Карта Пробуждения, ЭКВИЛИБРИУМ, балансы, ECO-PPA, СПЕЦЗАЩИТА, КРИСТАЛЛ 741</cp:keywords>
  <dc:description>Проектное предложение. Версия 1.0 от 28.08.2026.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