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Eyebrow"/>
        <w:spacing w:before="840" w:after="320"/>
        <w:jc w:val="center"/>
      </w:pPr>
      <w:r>
        <w:t>СТРАТЕГИЧЕСКАЯ КОНЦЕПЦИЯ  •  РЕДАКЦИЯ 1.0</w:t>
      </w:r>
    </w:p>
    <w:p>
      <w:pPr>
        <w:spacing w:after="160"/>
        <w:jc w:val="center"/>
      </w:pPr>
      <w:r>
        <w:rPr>
          <w:rFonts w:ascii="Calibri" w:hAnsi="Calibri"/>
          <w:b/>
          <w:color w:val="163B59"/>
          <w:sz w:val="60"/>
        </w:rPr>
        <w:t>РОССИЯ — ИНДИЯ</w:t>
      </w:r>
    </w:p>
    <w:p>
      <w:pPr>
        <w:spacing w:after="360"/>
        <w:jc w:val="center"/>
      </w:pPr>
      <w:r>
        <w:rPr>
          <w:rFonts w:ascii="Calibri" w:hAnsi="Calibri"/>
          <w:b/>
          <w:color w:val="2F7D68"/>
          <w:sz w:val="48"/>
        </w:rPr>
        <w:t>БИОЦЕНОЗЫ</w:t>
      </w:r>
    </w:p>
    <w:p>
      <w:pPr>
        <w:spacing w:after="360"/>
        <w:jc w:val="center"/>
      </w:pPr>
      <w:r>
        <w:rPr>
          <w:rFonts w:ascii="Calibri" w:hAnsi="Calibri"/>
          <w:color w:val="5E6878"/>
          <w:sz w:val="28"/>
        </w:rPr>
        <w:t>Биосферное партнёрство, очистка Ганга и совместная система раннего предупреждения</w:t>
      </w:r>
    </w:p>
    <w:p>
      <w:r>
        <w:drawing>
          <wp:inline xmlns:a="http://schemas.openxmlformats.org/drawingml/2006/main" xmlns:pic="http://schemas.openxmlformats.org/drawingml/2006/picture">
            <wp:extent cx="5943600" cy="334505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ec-9ad86b8e-abd3-49d8-8114-eafad40adc2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50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mall"/>
        <w:spacing w:before="140"/>
        <w:jc w:val="center"/>
      </w:pPr>
      <w:r>
        <w:t>ВОДА  •  ПОЧВА  •  БИОРАЗНООБРАЗИЕ  •  ЧЕЛОВЕК  •  ДОКАЗАННЫЙ РЕЗУЛЬТАТ</w:t>
      </w:r>
    </w:p>
    <w:p>
      <w:pPr>
        <w:pStyle w:val="Small"/>
        <w:jc w:val="center"/>
      </w:pPr>
      <w:r>
        <w:t>Концепция: Соколов Сергей Леонидович  |  2026</w:t>
      </w:r>
    </w:p>
    <w:p>
      <w:r>
        <w:br w:type="page"/>
      </w:r>
    </w:p>
    <w:p>
      <w:pPr>
        <w:pStyle w:val="Eyebrow"/>
      </w:pPr>
      <w:r>
        <w:t>02  /  РЕЗЮМЕ</w:t>
      </w:r>
    </w:p>
    <w:p>
      <w:pPr>
        <w:pStyle w:val="Heading1"/>
        <w:pBdr>
          <w:bottom w:val="single" w:sz="10" w:space="2" w:color="65BBD4"/>
        </w:pBdr>
      </w:pPr>
      <w:r>
        <w:t>Одна программа — от загрязнения к восстановленному биоценозу</w:t>
      </w:r>
    </w:p>
    <w:p>
      <w:pPr>
        <w:pStyle w:val="Lead"/>
      </w:pPr>
      <w:r>
        <w:t>Совместная система не заменяет национальные программы. Она соединяет данные, решения, финансирование и проверяемый природный эффект.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90"/>
        <w:gridCol w:w="9170"/>
      </w:tblGrid>
      <w:tr>
        <w:tc>
          <w:tcPr>
            <w:tcW w:type="dxa" w:w="19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2F7D68"/>
          </w:tcPr>
          <w:p>
            <w:r/>
          </w:p>
        </w:tc>
        <w:tc>
          <w:tcPr>
            <w:tcW w:type="dxa" w:w="917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EAF4EF"/>
          </w:tcPr>
          <w:p>
            <w:pPr>
              <w:pStyle w:val="Callout"/>
            </w:pPr>
            <w:r>
              <w:rPr>
                <w:b/>
              </w:rPr>
              <w:t>Предлагаемое решение</w:t>
            </w:r>
          </w:p>
          <w:p>
            <w:pPr>
              <w:pStyle w:val="Small"/>
              <w:spacing w:after="0"/>
            </w:pPr>
            <w:r>
              <w:t>Создать российско-индийский контур ЭКВИЛИБРИУМ для бассейнового управления: пилот Ганга как флагман, сопоставимые российские водосборы как лаборатория технологий, единая «Счётная книга» доказательств и масштабирование на почвы, воздух, леса и города.</w:t>
            </w:r>
          </w:p>
        </w:tc>
      </w:tr>
    </w:tbl>
    <w:p>
      <w:pPr>
        <w:spacing w:after="20"/>
      </w:pPr>
    </w:p>
    <w:p>
      <w:pPr>
        <w:spacing w:after="80" w:line="290" w:lineRule="auto"/>
        <w:jc w:val="left"/>
        <w:numPr>
          <w:ilvl w:val="0"/>
          <w:numId w:val="10"/>
        </w:numPr>
      </w:pPr>
      <w:r>
        <w:t>Главный индийский пилот — Ганг и притоки: сточные воды, промышленные сбросы, твёрдые отходы, агростоки, пойменные почвы и водная биота.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t>Российский вклад — спутниковая и наземная диагностика, холодный климат и большие водосборы, моделирование пожаров и мерзлоты, лабораторная верификация, инженерия очистки и цифровые двойники.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t>Совместный стандарт — паспорт биоценоза, цепочка «сигнал → источник → риск → действие → результат», интероперабельные данные и независимый аудит.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t>Финансовый механизм ECO‑PPA мобилизует ресурсы до ущерба и оплачивает не оборудование как таковое, а подтверждённое снижение нагрузки и восстановление функций экосистемы.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t>Первая цель — за 100 дней согласовать пилотный створ Ганга, российский референсный водосбор, базовую линию, владельцев данных и пакет из 12 измеримых показателей.</w:t>
      </w:r>
    </w:p>
    <w:p>
      <w:r>
        <w:br w:type="page"/>
      </w:r>
    </w:p>
    <w:p>
      <w:pPr>
        <w:pStyle w:val="Eyebrow"/>
      </w:pPr>
      <w:r>
        <w:t>03  /  ОСНОВАНИЕ</w:t>
      </w:r>
    </w:p>
    <w:p>
      <w:pPr>
        <w:pStyle w:val="Heading1"/>
        <w:pBdr>
          <w:bottom w:val="single" w:sz="10" w:space="2" w:color="65BBD4"/>
        </w:pBdr>
      </w:pPr>
      <w:r>
        <w:t>Действующая база сотрудничества и национальных программ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3550"/>
        <w:gridCol w:w="4110"/>
      </w:tblGrid>
      <w:tr>
        <w:trPr>
          <w:tblHeader w:val="true"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163B59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  <w:t>Контур</w:t>
            </w:r>
          </w:p>
        </w:tc>
        <w:tc>
          <w:tcPr>
            <w:tcW w:type="dxa" w:w="35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163B59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  <w:t>Что уже действует</w:t>
            </w:r>
          </w:p>
        </w:tc>
        <w:tc>
          <w:tcPr>
            <w:tcW w:type="dxa" w:w="411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163B59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  <w:t>Как использует концепция</w:t>
            </w:r>
          </w:p>
        </w:tc>
      </w:tr>
      <w:tr>
        <w:tc>
          <w:tcPr>
            <w:tcW w:type="dxa" w:w="17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Россия — Индия</w:t>
            </w:r>
          </w:p>
        </w:tc>
        <w:tc>
          <w:tcPr>
            <w:tcW w:type="dxa" w:w="355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Совместное заявление 2025: рабочая группа по климату и низкоуглеродному развитию; научно-технологическая дорожная карта; устойчивое финансирование.</w:t>
            </w:r>
          </w:p>
        </w:tc>
        <w:tc>
          <w:tcPr>
            <w:tcW w:type="dxa" w:w="411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Правовое окно для совместного R&amp;D, климатических данных и пилотов. Отдельное соглашение по биоценозам ещё требуется.</w:t>
            </w:r>
          </w:p>
        </w:tc>
      </w:tr>
      <w:tr>
        <w:tc>
          <w:tcPr>
            <w:tcW w:type="dxa" w:w="17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Россия</w:t>
            </w:r>
          </w:p>
        </w:tc>
        <w:tc>
          <w:tcPr>
            <w:tcW w:type="dxa" w:w="355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Нацпроект «Экологическое благополучие»: вода, воздух, отходы, леса и биоразнообразие в федеральных проектах.</w:t>
            </w:r>
          </w:p>
        </w:tc>
        <w:tc>
          <w:tcPr>
            <w:tcW w:type="dxa" w:w="411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Подключение российских бассейнов, ООПТ, лабораторий и платформ наблюдения.</w:t>
            </w:r>
          </w:p>
        </w:tc>
      </w:tr>
      <w:tr>
        <w:tc>
          <w:tcPr>
            <w:tcW w:type="dxa" w:w="17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Индия</w:t>
            </w:r>
          </w:p>
        </w:tc>
        <w:tc>
          <w:tcPr>
            <w:tcW w:type="dxa" w:w="355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Namami Gange: канализация, очистка поверхности, промышленный мониторинг, биоразнообразие, лесовосстановление, Ganga Gram.</w:t>
            </w:r>
          </w:p>
        </w:tc>
        <w:tc>
          <w:tcPr>
            <w:tcW w:type="dxa" w:w="411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Не дублировать миссию, а усилить сквозную диагностику бассейна и доказательность природного результата.</w:t>
            </w:r>
          </w:p>
        </w:tc>
      </w:tr>
      <w:tr>
        <w:tc>
          <w:tcPr>
            <w:tcW w:type="dxa" w:w="17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Многосторонний</w:t>
            </w:r>
          </w:p>
        </w:tc>
        <w:tc>
          <w:tcPr>
            <w:tcW w:type="dxa" w:w="355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Куньминско-Монреальская глобальная рамочная программа по биоразнообразию и климатическая повестка BRICS.</w:t>
            </w:r>
          </w:p>
        </w:tc>
        <w:tc>
          <w:tcPr>
            <w:tcW w:type="dxa" w:w="411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Совместимые индикаторы, отчётность и масштабирование в странах Глобального Юга.</w:t>
            </w:r>
          </w:p>
        </w:tc>
      </w:tr>
    </w:tbl>
    <w:p>
      <w:pPr>
        <w:pStyle w:val="Source"/>
        <w:spacing w:before="80" w:after="80"/>
      </w:pPr>
      <w:r>
        <w:t>Источники: PIB, Joint Statement following the 23rd India–Russia Annual Summit, 05.12.2025; Правительство РФ, нацпроект «Экологическое благополучие»; NMCG, Namami Gange Programme; CBD, GBF.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90"/>
        <w:gridCol w:w="9170"/>
      </w:tblGrid>
      <w:tr>
        <w:tc>
          <w:tcPr>
            <w:tcW w:type="dxa" w:w="19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D58A2B"/>
          </w:tcPr>
          <w:p>
            <w:r/>
          </w:p>
        </w:tc>
        <w:tc>
          <w:tcPr>
            <w:tcW w:type="dxa" w:w="917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FFF4E5"/>
          </w:tcPr>
          <w:p>
            <w:pPr>
              <w:pStyle w:val="Callout"/>
            </w:pPr>
            <w:r>
              <w:rPr>
                <w:b/>
              </w:rPr>
              <w:t>Граница утверждения</w:t>
            </w:r>
          </w:p>
          <w:p>
            <w:pPr>
              <w:pStyle w:val="Small"/>
              <w:spacing w:after="0"/>
            </w:pPr>
            <w:r>
              <w:t>Все новые органы, фонды, протоколы данных и показатели ниже — проектные предложения. Они становятся обязательными только после решения уполномоченных органов России и Индии.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Eyebrow"/>
      </w:pPr>
      <w:r>
        <w:t>04  /  БИОЦЕНОЗЫ</w:t>
      </w:r>
    </w:p>
    <w:p>
      <w:pPr>
        <w:pStyle w:val="Heading1"/>
        <w:pBdr>
          <w:bottom w:val="single" w:sz="10" w:space="2" w:color="65BBD4"/>
        </w:pBdr>
      </w:pPr>
      <w:r>
        <w:t>Две страны — взаимодополняющая природная лаборатория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900"/>
        <w:gridCol w:w="2900"/>
        <w:gridCol w:w="3560"/>
      </w:tblGrid>
      <w:tr>
        <w:trPr>
          <w:tblHeader w:val="true"/>
        </w:trPr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163B59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  <w:t>Россия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163B59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  <w:t>Индия</w:t>
            </w:r>
          </w:p>
        </w:tc>
        <w:tc>
          <w:tcPr>
            <w:tcW w:type="dxa" w:w="35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163B59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  <w:t>Совместная научная задача</w:t>
            </w:r>
          </w:p>
        </w:tc>
      </w:tr>
      <w:tr>
        <w:tc>
          <w:tcPr>
            <w:tcW w:type="dxa" w:w="29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Арктика, тундра, мерзлота</w:t>
            </w:r>
          </w:p>
        </w:tc>
        <w:tc>
          <w:tcPr>
            <w:tcW w:type="dxa" w:w="29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Гималаи, ледники, высокогорья</w:t>
            </w:r>
          </w:p>
        </w:tc>
        <w:tc>
          <w:tcPr>
            <w:tcW w:type="dxa" w:w="356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Криосфера, сток, экстремальные события, адаптация горных сообществ.</w:t>
            </w:r>
          </w:p>
        </w:tc>
      </w:tr>
      <w:tr>
        <w:tc>
          <w:tcPr>
            <w:tcW w:type="dxa" w:w="29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Тайга и бореальные леса</w:t>
            </w:r>
          </w:p>
        </w:tc>
        <w:tc>
          <w:tcPr>
            <w:tcW w:type="dxa" w:w="29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Муссонные, сухие и горные леса</w:t>
            </w:r>
          </w:p>
        </w:tc>
        <w:tc>
          <w:tcPr>
            <w:tcW w:type="dxa" w:w="356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Пожары, углерод, вредители, фрагментация, восстановление.</w:t>
            </w:r>
          </w:p>
        </w:tc>
      </w:tr>
      <w:tr>
        <w:tc>
          <w:tcPr>
            <w:tcW w:type="dxa" w:w="29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Волга, Обь, Енисей, Лена; озёра и болота</w:t>
            </w:r>
          </w:p>
        </w:tc>
        <w:tc>
          <w:tcPr>
            <w:tcW w:type="dxa" w:w="29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Ганг, Брахмапутра и крупные водно-болотные системы</w:t>
            </w:r>
          </w:p>
        </w:tc>
        <w:tc>
          <w:tcPr>
            <w:tcW w:type="dxa" w:w="356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Качество воды, экологический сток, эвтрофикация, поймы и биота.</w:t>
            </w:r>
          </w:p>
        </w:tc>
      </w:tr>
      <w:tr>
        <w:tc>
          <w:tcPr>
            <w:tcW w:type="dxa" w:w="29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Степи и чернозёмы</w:t>
            </w:r>
          </w:p>
        </w:tc>
        <w:tc>
          <w:tcPr>
            <w:tcW w:type="dxa" w:w="29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Индо-Гангская равнина и агроландшафты</w:t>
            </w:r>
          </w:p>
        </w:tc>
        <w:tc>
          <w:tcPr>
            <w:tcW w:type="dxa" w:w="356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Почвенное плодородие, эрозия, засоление, агрохимическая нагрузка.</w:t>
            </w:r>
          </w:p>
        </w:tc>
      </w:tr>
      <w:tr>
        <w:tc>
          <w:tcPr>
            <w:tcW w:type="dxa" w:w="29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Балтика, Арктика, Тихий океан, Каспий</w:t>
            </w:r>
          </w:p>
        </w:tc>
        <w:tc>
          <w:tcPr>
            <w:tcW w:type="dxa" w:w="29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Аравийское море, Бенгальский залив, острова и мангры</w:t>
            </w:r>
          </w:p>
        </w:tc>
        <w:tc>
          <w:tcPr>
            <w:tcW w:type="dxa" w:w="356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Прибрежная устойчивость, пластик, рыболовство, «голубой» углерод.</w:t>
            </w:r>
          </w:p>
        </w:tc>
      </w:tr>
      <w:tr>
        <w:tc>
          <w:tcPr>
            <w:tcW w:type="dxa" w:w="29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Индустриальные и северные города</w:t>
            </w:r>
          </w:p>
        </w:tc>
        <w:tc>
          <w:tcPr>
            <w:tcW w:type="dxa" w:w="29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Мегаполисы и быстрорастущие города</w:t>
            </w:r>
          </w:p>
        </w:tc>
        <w:tc>
          <w:tcPr>
            <w:tcW w:type="dxa" w:w="356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Воздух, жара, ливневый сток, отходы, зелёно-голубая инфраструктура.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90"/>
        <w:gridCol w:w="9170"/>
      </w:tblGrid>
      <w:tr>
        <w:tc>
          <w:tcPr>
            <w:tcW w:type="dxa" w:w="19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65BBD4"/>
          </w:tcPr>
          <w:p>
            <w:r/>
          </w:p>
        </w:tc>
        <w:tc>
          <w:tcPr>
            <w:tcW w:type="dxa" w:w="917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EAF5F8"/>
          </w:tcPr>
          <w:p>
            <w:pPr>
              <w:pStyle w:val="Callout"/>
            </w:pPr>
            <w:r>
              <w:rPr>
                <w:b/>
              </w:rPr>
              <w:t>Единица управления</w:t>
            </w:r>
          </w:p>
          <w:p>
            <w:pPr>
              <w:pStyle w:val="Small"/>
              <w:spacing w:after="0"/>
            </w:pPr>
            <w:r>
              <w:t>Не отдельный объект очистки и не единственный вид, а функционирующий биоценоз: вода, почва, растения, животные, микроорганизмы, человек и техногенная нагрузка в конкретном пространстве и времени.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Eyebrow"/>
      </w:pPr>
      <w:r>
        <w:t>05  /  РИСКИ</w:t>
      </w:r>
    </w:p>
    <w:p>
      <w:pPr>
        <w:pStyle w:val="Heading1"/>
        <w:pBdr>
          <w:bottom w:val="single" w:sz="10" w:space="2" w:color="65BBD4"/>
        </w:pBdr>
      </w:pPr>
      <w:r>
        <w:t>Общие угрозы требуют общей доказательной логики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3600"/>
        <w:gridCol w:w="3260"/>
      </w:tblGrid>
      <w:tr>
        <w:trPr>
          <w:tblHeader w:val="true"/>
        </w:trP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163B59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  <w:t>Угроза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163B59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  <w:t>Ранний сигнал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163B59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  <w:t>Решение</w:t>
            </w:r>
          </w:p>
        </w:tc>
      </w:tr>
      <w:tr>
        <w:tc>
          <w:tcPr>
            <w:tcW w:type="dxa" w:w="25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Сточные воды и промышленные сбросы</w:t>
            </w:r>
          </w:p>
        </w:tc>
        <w:tc>
          <w:tcPr>
            <w:tcW w:type="dxa" w:w="36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BOD/COD, DO, аммоний, металлы, микробные маркеры, аварийные пики.</w:t>
            </w:r>
          </w:p>
        </w:tc>
        <w:tc>
          <w:tcPr>
            <w:tcW w:type="dxa" w:w="326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Источник → локализация → технологический барьер → проверка ниже по течению.</w:t>
            </w:r>
          </w:p>
        </w:tc>
      </w:tr>
      <w:tr>
        <w:tc>
          <w:tcPr>
            <w:tcW w:type="dxa" w:w="25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Деградация почв</w:t>
            </w:r>
          </w:p>
        </w:tc>
        <w:tc>
          <w:tcPr>
            <w:tcW w:type="dxa" w:w="36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Органический углерод, эрозия, засоление, остатки пестицидов, микробиом.</w:t>
            </w:r>
          </w:p>
        </w:tc>
        <w:tc>
          <w:tcPr>
            <w:tcW w:type="dxa" w:w="326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Буферные полосы, регенеративные практики, фиторемедиация, контроль агростоков.</w:t>
            </w:r>
          </w:p>
        </w:tc>
      </w:tr>
      <w:tr>
        <w:tc>
          <w:tcPr>
            <w:tcW w:type="dxa" w:w="25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Пожары, жара и засуха</w:t>
            </w:r>
          </w:p>
        </w:tc>
        <w:tc>
          <w:tcPr>
            <w:tcW w:type="dxa" w:w="36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Влага, температура, горючая масса, дым, дефицит стока.</w:t>
            </w:r>
          </w:p>
        </w:tc>
        <w:tc>
          <w:tcPr>
            <w:tcW w:type="dxa" w:w="326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Прогноз, превентивное управление, защита населения, восстановление мозаики.</w:t>
            </w:r>
          </w:p>
        </w:tc>
      </w:tr>
      <w:tr>
        <w:tc>
          <w:tcPr>
            <w:tcW w:type="dxa" w:w="25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Наводнения и оползни</w:t>
            </w:r>
          </w:p>
        </w:tc>
        <w:tc>
          <w:tcPr>
            <w:tcW w:type="dxa" w:w="36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Осадки, насыщение почвы, склоновые смещения, уровни и скорости потока.</w:t>
            </w:r>
          </w:p>
        </w:tc>
        <w:tc>
          <w:tcPr>
            <w:tcW w:type="dxa" w:w="326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Раннее предупреждение, пойменные решения, природные барьеры, план эвакуации.</w:t>
            </w:r>
          </w:p>
        </w:tc>
      </w:tr>
      <w:tr>
        <w:tc>
          <w:tcPr>
            <w:tcW w:type="dxa" w:w="25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Утрата биоразнообразия</w:t>
            </w:r>
          </w:p>
        </w:tc>
        <w:tc>
          <w:tcPr>
            <w:tcW w:type="dxa" w:w="36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eDNA, биоакустика, индикаторные виды, разрывы местообитаний.</w:t>
            </w:r>
          </w:p>
        </w:tc>
        <w:tc>
          <w:tcPr>
            <w:tcW w:type="dxa" w:w="326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Охрана ключевых зон, коридоры, восстановление местообитаний, контроль инвазий.</w:t>
            </w:r>
          </w:p>
        </w:tc>
      </w:tr>
      <w:tr>
        <w:tc>
          <w:tcPr>
            <w:tcW w:type="dxa" w:w="25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Отходы и пластик</w:t>
            </w:r>
          </w:p>
        </w:tc>
        <w:tc>
          <w:tcPr>
            <w:tcW w:type="dxa" w:w="36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Потоки материалов, спутниковые и полевые наблюдения, морфология отходов.</w:t>
            </w:r>
          </w:p>
        </w:tc>
        <w:tc>
          <w:tcPr>
            <w:tcW w:type="dxa" w:w="326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Предотвращение, сбор, переработка, ответственность производителя, очистка.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90"/>
        <w:gridCol w:w="9170"/>
      </w:tblGrid>
      <w:tr>
        <w:tc>
          <w:tcPr>
            <w:tcW w:type="dxa" w:w="19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D58A2B"/>
          </w:tcPr>
          <w:p>
            <w:r/>
          </w:p>
        </w:tc>
        <w:tc>
          <w:tcPr>
            <w:tcW w:type="dxa" w:w="917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FFF4E5"/>
          </w:tcPr>
          <w:p>
            <w:pPr>
              <w:pStyle w:val="Callout"/>
            </w:pPr>
            <w:r>
              <w:rPr>
                <w:b/>
              </w:rPr>
              <w:t>Правило приоритета</w:t>
            </w:r>
          </w:p>
          <w:p>
            <w:pPr>
              <w:pStyle w:val="Small"/>
              <w:spacing w:after="0"/>
            </w:pPr>
            <w:r>
              <w:t>Сначала предотвращаем поступление загрязнения, затем перехватываем поток, после — восстанавливаем экосистему. Очистка без устранения источника создаёт бесконечный расход.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Eyebrow"/>
      </w:pPr>
      <w:r>
        <w:t>06  /  ФЛАГМАН</w:t>
      </w:r>
    </w:p>
    <w:p>
      <w:pPr>
        <w:pStyle w:val="Heading1"/>
        <w:pBdr>
          <w:bottom w:val="single" w:sz="10" w:space="2" w:color="65BBD4"/>
        </w:pBdr>
      </w:pPr>
      <w:r>
        <w:t>Ганг: от очистки русла к здоровью всего водосбора</w:t>
      </w:r>
    </w:p>
    <w:p>
      <w:pPr>
        <w:pStyle w:val="Lead"/>
      </w:pPr>
      <w:r>
        <w:t>Проект усиливает Namami Gange сквозным управлением «приток — город — предприятие — поле — почва — река — дельта».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550"/>
        <w:gridCol w:w="4810"/>
        <w:gridCol w:w="3000"/>
      </w:tblGrid>
      <w:tr>
        <w:trPr>
          <w:tblHeader w:val="true"/>
        </w:trPr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163B59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  <w:t>Пакет</w:t>
            </w:r>
          </w:p>
        </w:tc>
        <w:tc>
          <w:tcPr>
            <w:tcW w:type="dxa" w:w="481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163B59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  <w:t>Действие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163B59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  <w:t>Проверяемый эффект</w:t>
            </w:r>
          </w:p>
        </w:tc>
      </w:tr>
      <w:tr>
        <w:tc>
          <w:tcPr>
            <w:tcW w:type="dxa" w:w="155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1. Источники</w:t>
            </w:r>
          </w:p>
        </w:tc>
        <w:tc>
          <w:tcPr>
            <w:tcW w:type="dxa" w:w="481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Реестр выпусков, ливневых стоков, свалок, агрозон и аварийных рисков; онлайн-датчики и спутниковая сверка.</w:t>
            </w:r>
          </w:p>
        </w:tc>
        <w:tc>
          <w:tcPr>
            <w:tcW w:type="dxa" w:w="30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Доля идентифицированной нагрузки; время обнаружения; закрытие нелегальных точек.</w:t>
            </w:r>
          </w:p>
        </w:tc>
      </w:tr>
      <w:tr>
        <w:tc>
          <w:tcPr>
            <w:tcW w:type="dxa" w:w="155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2. Вода</w:t>
            </w:r>
          </w:p>
        </w:tc>
        <w:tc>
          <w:tcPr>
            <w:tcW w:type="dxa" w:w="481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Оптимизация STP/CETP, децентрализованная очистка, контроль DO/BOD/COD, патогенов, питательных веществ и металлов.</w:t>
            </w:r>
          </w:p>
        </w:tc>
        <w:tc>
          <w:tcPr>
            <w:tcW w:type="dxa" w:w="30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Снижение нагрузки на створе, соблюдение целевых классов воды, устойчивость работы сооружений.</w:t>
            </w:r>
          </w:p>
        </w:tc>
      </w:tr>
      <w:tr>
        <w:tc>
          <w:tcPr>
            <w:tcW w:type="dxa" w:w="155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3. Почва и пойма</w:t>
            </w:r>
          </w:p>
        </w:tc>
        <w:tc>
          <w:tcPr>
            <w:tcW w:type="dxa" w:w="481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Буферные полосы, восстановление органического вещества, фиторемедиация, противоэрозионные меры.</w:t>
            </w:r>
          </w:p>
        </w:tc>
        <w:tc>
          <w:tcPr>
            <w:tcW w:type="dxa" w:w="30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Снижение выноса азота/фосфора и наносов; рост почвенного углерода и инфильтрации.</w:t>
            </w:r>
          </w:p>
        </w:tc>
      </w:tr>
      <w:tr>
        <w:tc>
          <w:tcPr>
            <w:tcW w:type="dxa" w:w="155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4. Отходы</w:t>
            </w:r>
          </w:p>
        </w:tc>
        <w:tc>
          <w:tcPr>
            <w:tcW w:type="dxa" w:w="481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Перехват пластика, управление илом, предотвращение открытого сжигания, циркулярные цепочки.</w:t>
            </w:r>
          </w:p>
        </w:tc>
        <w:tc>
          <w:tcPr>
            <w:tcW w:type="dxa" w:w="30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Масса предотвращённых поступлений; безопасная утилизация осадка; снижение токсичных выбросов.</w:t>
            </w:r>
          </w:p>
        </w:tc>
      </w:tr>
      <w:tr>
        <w:tc>
          <w:tcPr>
            <w:tcW w:type="dxa" w:w="155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5. Биота</w:t>
            </w:r>
          </w:p>
        </w:tc>
        <w:tc>
          <w:tcPr>
            <w:tcW w:type="dxa" w:w="481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eDNA, рыбы, дельфины, черепахи, птицы, макрозообентос; восстановление местообитаний и экологического стока.</w:t>
            </w:r>
          </w:p>
        </w:tc>
        <w:tc>
          <w:tcPr>
            <w:tcW w:type="dxa" w:w="30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Возврат индикаторных видов; связность местообитаний; биотический индекс.</w:t>
            </w:r>
          </w:p>
        </w:tc>
      </w:tr>
      <w:tr>
        <w:tc>
          <w:tcPr>
            <w:tcW w:type="dxa" w:w="155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6. Люди</w:t>
            </w:r>
          </w:p>
        </w:tc>
        <w:tc>
          <w:tcPr>
            <w:tcW w:type="dxa" w:w="481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Открытая панель, санитарные сигналы, участие Ganga Gram, договоры с городами и предприятиями.</w:t>
            </w:r>
          </w:p>
        </w:tc>
        <w:tc>
          <w:tcPr>
            <w:tcW w:type="dxa" w:w="30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Снижение рисков для здоровья; скорость реакции; доверие и участие сообществ.</w:t>
            </w:r>
          </w:p>
        </w:tc>
      </w:tr>
    </w:tbl>
    <w:p>
      <w:pPr>
        <w:pStyle w:val="Source"/>
        <w:spacing w:before="80" w:after="80"/>
      </w:pPr>
      <w:r>
        <w:t>Основа: NMCG определяет Namami Gange как интегрированную миссию по снижению загрязнения, сохранению и восстановлению Ганга; официальный перечень включает восемь опорных направлений.</w:t>
      </w:r>
    </w:p>
    <w:p>
      <w:r>
        <w:br w:type="page"/>
      </w:r>
    </w:p>
    <w:p>
      <w:pPr>
        <w:pStyle w:val="Eyebrow"/>
      </w:pPr>
      <w:r>
        <w:t>07  /  СВЯЗНОСТЬ</w:t>
      </w:r>
    </w:p>
    <w:p>
      <w:pPr>
        <w:pStyle w:val="Heading1"/>
        <w:pBdr>
          <w:bottom w:val="single" w:sz="10" w:space="2" w:color="65BBD4"/>
        </w:pBdr>
      </w:pPr>
      <w:r>
        <w:t>Вода, почва, воздух и отходы — один причинный контур</w:t>
      </w:r>
    </w:p>
    <w:p>
      <w:pPr>
        <w:spacing w:after="100" w:line="290" w:lineRule="auto"/>
        <w:jc w:val="left"/>
        <w:numPr>
          <w:ilvl w:val="0"/>
          <w:numId w:val="11"/>
        </w:numPr>
      </w:pPr>
      <w:r>
        <w:rPr>
          <w:b/>
        </w:rPr>
        <w:t xml:space="preserve">Источник — </w:t>
      </w:r>
      <w:r>
        <w:t>Город, предприятие, ферма, транспорт, полигон или природное событие формируют поток вещества и энергии.</w:t>
      </w:r>
    </w:p>
    <w:p>
      <w:pPr>
        <w:spacing w:after="100" w:line="290" w:lineRule="auto"/>
        <w:jc w:val="left"/>
        <w:numPr>
          <w:ilvl w:val="0"/>
          <w:numId w:val="11"/>
        </w:numPr>
      </w:pPr>
      <w:r>
        <w:rPr>
          <w:b/>
        </w:rPr>
        <w:t xml:space="preserve">Путь переноса — </w:t>
      </w:r>
      <w:r>
        <w:t>Канализация, ливень, грунтовые воды, эрозия, воздух и пищевые цепи переносят нагрузку.</w:t>
      </w:r>
    </w:p>
    <w:p>
      <w:pPr>
        <w:spacing w:after="100" w:line="290" w:lineRule="auto"/>
        <w:jc w:val="left"/>
        <w:numPr>
          <w:ilvl w:val="0"/>
          <w:numId w:val="11"/>
        </w:numPr>
      </w:pPr>
      <w:r>
        <w:rPr>
          <w:b/>
        </w:rPr>
        <w:t xml:space="preserve">Биоценоз — </w:t>
      </w:r>
      <w:r>
        <w:t>Изменяются кислород, микробиом, плодородие, виды, продуктивность, устойчивость и санитарные свойства.</w:t>
      </w:r>
    </w:p>
    <w:p>
      <w:pPr>
        <w:spacing w:after="100" w:line="290" w:lineRule="auto"/>
        <w:jc w:val="left"/>
        <w:numPr>
          <w:ilvl w:val="0"/>
          <w:numId w:val="11"/>
        </w:numPr>
      </w:pPr>
      <w:r>
        <w:rPr>
          <w:b/>
        </w:rPr>
        <w:t xml:space="preserve">Человек — </w:t>
      </w:r>
      <w:r>
        <w:t>Возникают риски питьевой воды, пищи, доходов, здоровья, культурной практики и безопасности.</w:t>
      </w:r>
    </w:p>
    <w:p>
      <w:pPr>
        <w:spacing w:after="100" w:line="290" w:lineRule="auto"/>
        <w:jc w:val="left"/>
        <w:numPr>
          <w:ilvl w:val="0"/>
          <w:numId w:val="11"/>
        </w:numPr>
      </w:pPr>
      <w:r>
        <w:rPr>
          <w:b/>
        </w:rPr>
        <w:t xml:space="preserve">Ответ — </w:t>
      </w:r>
      <w:r>
        <w:t>Регулирование, инженерный барьер, природное восстановление, поведенческая мера и экономический стимул.</w:t>
      </w:r>
    </w:p>
    <w:p>
      <w:pPr>
        <w:spacing w:after="100" w:line="290" w:lineRule="auto"/>
        <w:jc w:val="left"/>
        <w:numPr>
          <w:ilvl w:val="0"/>
          <w:numId w:val="11"/>
        </w:numPr>
      </w:pPr>
      <w:r>
        <w:rPr>
          <w:b/>
        </w:rPr>
        <w:t xml:space="preserve">Доказательство — </w:t>
      </w:r>
      <w:r>
        <w:t>До/после, контрольный участок, происхождение данных, независимая проверка и запись в Счётной книге.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90"/>
        <w:gridCol w:w="9170"/>
      </w:tblGrid>
      <w:tr>
        <w:tc>
          <w:tcPr>
            <w:tcW w:type="dxa" w:w="19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2F7D68"/>
          </w:tcPr>
          <w:p>
            <w:r/>
          </w:p>
        </w:tc>
        <w:tc>
          <w:tcPr>
            <w:tcW w:type="dxa" w:w="917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EAF4EF"/>
          </w:tcPr>
          <w:p>
            <w:pPr>
              <w:pStyle w:val="Callout"/>
            </w:pPr>
            <w:r>
              <w:rPr>
                <w:b/>
              </w:rPr>
              <w:t>Запрет на «перенос проблемы»</w:t>
            </w:r>
          </w:p>
          <w:p>
            <w:pPr>
              <w:pStyle w:val="Small"/>
              <w:spacing w:after="0"/>
            </w:pPr>
            <w:r>
              <w:t>Решение не считается успешным, если загрязнение ушло из воды в токсичный ил, из почвы — в воздух, из города — в соседний район или из одного сезона — в следующий.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Eyebrow"/>
      </w:pPr>
      <w:r>
        <w:t>08  /  ОБЪЕКТ</w:t>
      </w:r>
    </w:p>
    <w:p>
      <w:pPr>
        <w:pStyle w:val="Heading1"/>
        <w:pBdr>
          <w:bottom w:val="single" w:sz="10" w:space="2" w:color="65BBD4"/>
        </w:pBdr>
      </w:pPr>
      <w:r>
        <w:t>Паспорт биоценоза — минимальная единица совместного управления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160"/>
      </w:tblGrid>
      <w:tr>
        <w:trPr>
          <w:tblHeader w:val="true"/>
        </w:trP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163B59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  <w:t>Раздел паспорта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163B59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  <w:t>Содержание</w:t>
            </w:r>
          </w:p>
        </w:tc>
      </w:tr>
      <w:tr>
        <w:tc>
          <w:tcPr>
            <w:tcW w:type="dxa" w:w="22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Идентичность</w:t>
            </w:r>
          </w:p>
        </w:tc>
        <w:tc>
          <w:tcPr>
            <w:tcW w:type="dxa" w:w="716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Границы, водосбор, сезонность, землепользование, население, природоохранный статус.</w:t>
            </w:r>
          </w:p>
        </w:tc>
      </w:tr>
      <w:tr>
        <w:tc>
          <w:tcPr>
            <w:tcW w:type="dxa" w:w="22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Состояние</w:t>
            </w:r>
          </w:p>
        </w:tc>
        <w:tc>
          <w:tcPr>
            <w:tcW w:type="dxa" w:w="716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Вода, почва, воздух, растительность, животные, микроорганизмы, здоровье людей.</w:t>
            </w:r>
          </w:p>
        </w:tc>
      </w:tr>
      <w:tr>
        <w:tc>
          <w:tcPr>
            <w:tcW w:type="dxa" w:w="22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Функции</w:t>
            </w:r>
          </w:p>
        </w:tc>
        <w:tc>
          <w:tcPr>
            <w:tcW w:type="dxa" w:w="716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Очистка воды, плодородие, опыление, регулирование стока, углерод, охлаждение, культурная ценность.</w:t>
            </w:r>
          </w:p>
        </w:tc>
      </w:tr>
      <w:tr>
        <w:tc>
          <w:tcPr>
            <w:tcW w:type="dxa" w:w="22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Нагрузка</w:t>
            </w:r>
          </w:p>
        </w:tc>
        <w:tc>
          <w:tcPr>
            <w:tcW w:type="dxa" w:w="716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Источники, массы и концентрации, частота, правовой статус, владелец риска.</w:t>
            </w:r>
          </w:p>
        </w:tc>
      </w:tr>
      <w:tr>
        <w:tc>
          <w:tcPr>
            <w:tcW w:type="dxa" w:w="22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Порог</w:t>
            </w:r>
          </w:p>
        </w:tc>
        <w:tc>
          <w:tcPr>
            <w:tcW w:type="dxa" w:w="716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Норматив, научная граница, локальный целевой диапазон, уровень тревоги.</w:t>
            </w:r>
          </w:p>
        </w:tc>
      </w:tr>
      <w:tr>
        <w:tc>
          <w:tcPr>
            <w:tcW w:type="dxa" w:w="22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Действие</w:t>
            </w:r>
          </w:p>
        </w:tc>
        <w:tc>
          <w:tcPr>
            <w:tcW w:type="dxa" w:w="716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Ответственный, срок, ресурс, технология, зависимость, социальные ограничения.</w:t>
            </w:r>
          </w:p>
        </w:tc>
      </w:tr>
      <w:tr>
        <w:tc>
          <w:tcPr>
            <w:tcW w:type="dxa" w:w="22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Результат</w:t>
            </w:r>
          </w:p>
        </w:tc>
        <w:tc>
          <w:tcPr>
            <w:tcW w:type="dxa" w:w="716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Метрика, базовая линия, контрольная точка, неопределённость, верификатор.</w:t>
            </w:r>
          </w:p>
        </w:tc>
      </w:tr>
      <w:tr>
        <w:tc>
          <w:tcPr>
            <w:tcW w:type="dxa" w:w="22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История</w:t>
            </w:r>
          </w:p>
        </w:tc>
        <w:tc>
          <w:tcPr>
            <w:tcW w:type="dxa" w:w="716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Версии данных, решения, затраты, изменения, инциденты и уроки.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90"/>
        <w:gridCol w:w="9170"/>
      </w:tblGrid>
      <w:tr>
        <w:tc>
          <w:tcPr>
            <w:tcW w:type="dxa" w:w="19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65BBD4"/>
          </w:tcPr>
          <w:p>
            <w:r/>
          </w:p>
        </w:tc>
        <w:tc>
          <w:tcPr>
            <w:tcW w:type="dxa" w:w="917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EAF5F8"/>
          </w:tcPr>
          <w:p>
            <w:pPr>
              <w:pStyle w:val="Callout"/>
            </w:pPr>
            <w:r>
              <w:rPr>
                <w:b/>
              </w:rPr>
              <w:t>Счётная книга</w:t>
            </w:r>
          </w:p>
          <w:p>
            <w:pPr>
              <w:pStyle w:val="Small"/>
              <w:spacing w:after="0"/>
            </w:pPr>
            <w:r>
              <w:t>Каждая запись отвечает на вопрос: кто на каком основании утверждает, что действие изменило состояние биоценоза, какой ценой и с какой неопределённостью.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Eyebrow"/>
      </w:pPr>
      <w:r>
        <w:t>09  /  СЕНСОРНЫЙ ОРГАН</w:t>
      </w:r>
    </w:p>
    <w:p>
      <w:pPr>
        <w:pStyle w:val="Heading1"/>
        <w:pBdr>
          <w:bottom w:val="single" w:sz="10" w:space="2" w:color="65BBD4"/>
        </w:pBdr>
      </w:pPr>
      <w:r>
        <w:t>Биоценозная точка мониторинга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163B59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  <w:t>Звено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163B59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  <w:t>Примеры сигналов</w:t>
            </w:r>
          </w:p>
        </w:tc>
      </w:tr>
      <w:tr>
        <w:tc>
          <w:tcPr>
            <w:tcW w:type="dxa" w:w="27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АТМОСФЕРА</w:t>
            </w:r>
          </w:p>
        </w:tc>
        <w:tc>
          <w:tcPr>
            <w:tcW w:type="dxa" w:w="666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PM2.5, NOx, запахи, аэрозоли, метеоусловия</w:t>
            </w:r>
          </w:p>
        </w:tc>
      </w:tr>
      <w:tr>
        <w:tc>
          <w:tcPr>
            <w:tcW w:type="dxa" w:w="27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ВОДА</w:t>
            </w:r>
          </w:p>
        </w:tc>
        <w:tc>
          <w:tcPr>
            <w:tcW w:type="dxa" w:w="666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DO, BOD/COD, pH, проводимость, мутность, питательные вещества, патогены</w:t>
            </w:r>
          </w:p>
        </w:tc>
      </w:tr>
      <w:tr>
        <w:tc>
          <w:tcPr>
            <w:tcW w:type="dxa" w:w="27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ПОЧВА</w:t>
            </w:r>
          </w:p>
        </w:tc>
        <w:tc>
          <w:tcPr>
            <w:tcW w:type="dxa" w:w="666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влага, органический углерод, эрозия, засоление, остатки химикатов</w:t>
            </w:r>
          </w:p>
        </w:tc>
      </w:tr>
      <w:tr>
        <w:tc>
          <w:tcPr>
            <w:tcW w:type="dxa" w:w="27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РАСТЕНИЯ</w:t>
            </w:r>
          </w:p>
        </w:tc>
        <w:tc>
          <w:tcPr>
            <w:tcW w:type="dxa" w:w="666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индексы растительности, стресс, продуктивность, инвазивные виды</w:t>
            </w:r>
          </w:p>
        </w:tc>
      </w:tr>
      <w:tr>
        <w:tc>
          <w:tcPr>
            <w:tcW w:type="dxa" w:w="27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ЖИВОТНЫЕ</w:t>
            </w:r>
          </w:p>
        </w:tc>
        <w:tc>
          <w:tcPr>
            <w:tcW w:type="dxa" w:w="666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eDNA, биоакустика, индикаторные виды, миграции, смертность</w:t>
            </w:r>
          </w:p>
        </w:tc>
      </w:tr>
      <w:tr>
        <w:tc>
          <w:tcPr>
            <w:tcW w:type="dxa" w:w="27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МИКРООРГАНИЗМЫ</w:t>
            </w:r>
          </w:p>
        </w:tc>
        <w:tc>
          <w:tcPr>
            <w:tcW w:type="dxa" w:w="666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микробиом, резистом, функции разложения и круговорота веществ</w:t>
            </w:r>
          </w:p>
        </w:tc>
      </w:tr>
      <w:tr>
        <w:tc>
          <w:tcPr>
            <w:tcW w:type="dxa" w:w="27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ЧЕЛОВЕК</w:t>
            </w:r>
          </w:p>
        </w:tc>
        <w:tc>
          <w:tcPr>
            <w:tcW w:type="dxa" w:w="666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санитарные данные, доступ к воде, жалобы, занятость, культурные практики</w:t>
            </w:r>
          </w:p>
        </w:tc>
      </w:tr>
      <w:tr>
        <w:tc>
          <w:tcPr>
            <w:tcW w:type="dxa" w:w="27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ТЕХНОГЕННАЯ НАГРУЗКА</w:t>
            </w:r>
          </w:p>
        </w:tc>
        <w:tc>
          <w:tcPr>
            <w:tcW w:type="dxa" w:w="666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выпуски, отходы, землепользование, транспорт, аварии, энергопотребление</w:t>
            </w:r>
          </w:p>
        </w:tc>
      </w:tr>
    </w:tbl>
    <w:p>
      <w:pPr>
        <w:pStyle w:val="Heading2"/>
      </w:pPr>
      <w:r>
        <w:t>Пять обязательных вопросов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t>Что происходит?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t>Это естественное изменение или опасное отклонение?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t>Где источник?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t>Каков эффект для биоценоза и человека?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t>Что делать сейчас и как проверить результат?</w:t>
      </w:r>
    </w:p>
    <w:p>
      <w:r>
        <w:br w:type="page"/>
      </w:r>
    </w:p>
    <w:p>
      <w:pPr>
        <w:pStyle w:val="Eyebrow"/>
      </w:pPr>
      <w:r>
        <w:t>10  /  АРХИТЕКТУРА</w:t>
      </w:r>
    </w:p>
    <w:p>
      <w:pPr>
        <w:pStyle w:val="Heading1"/>
        <w:pBdr>
          <w:bottom w:val="single" w:sz="10" w:space="2" w:color="65BBD4"/>
        </w:pBdr>
      </w:pPr>
      <w:r>
        <w:t>ЭКВИЛИБРИУМ соединяет наблюдение, решение и исполнение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4700"/>
        <w:gridCol w:w="3160"/>
      </w:tblGrid>
      <w:tr>
        <w:trPr>
          <w:tblHeader w:val="true"/>
        </w:trP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163B59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  <w:t>Слой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163B59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  <w:t>Назначение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163B59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  <w:t>Продукт</w:t>
            </w:r>
          </w:p>
        </w:tc>
      </w:tr>
      <w:tr>
        <w:tc>
          <w:tcPr>
            <w:tcW w:type="dxa" w:w="15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1. Наблюдение</w:t>
            </w:r>
          </w:p>
        </w:tc>
        <w:tc>
          <w:tcPr>
            <w:tcW w:type="dxa" w:w="47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Спутники, дроны, станции, лаборатории, eDNA, гражданские сигналы.</w:t>
            </w:r>
          </w:p>
        </w:tc>
        <w:tc>
          <w:tcPr>
            <w:tcW w:type="dxa" w:w="316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Версионированный поток данных и оценка качества.</w:t>
            </w:r>
          </w:p>
        </w:tc>
      </w:tr>
      <w:tr>
        <w:tc>
          <w:tcPr>
            <w:tcW w:type="dxa" w:w="15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2. Модель</w:t>
            </w:r>
          </w:p>
        </w:tc>
        <w:tc>
          <w:tcPr>
            <w:tcW w:type="dxa" w:w="47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Цифровой двойник водосбора и биоценоза; причинные гипотезы и сценарии.</w:t>
            </w:r>
          </w:p>
        </w:tc>
        <w:tc>
          <w:tcPr>
            <w:tcW w:type="dxa" w:w="316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Прогноз, зона воздействия, неопределённость.</w:t>
            </w:r>
          </w:p>
        </w:tc>
      </w:tr>
      <w:tr>
        <w:tc>
          <w:tcPr>
            <w:tcW w:type="dxa" w:w="15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3. Норма</w:t>
            </w:r>
          </w:p>
        </w:tc>
        <w:tc>
          <w:tcPr>
            <w:tcW w:type="dxa" w:w="47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Национальные требования, локальные пороги, права доступа и суверенитет данных.</w:t>
            </w:r>
          </w:p>
        </w:tc>
        <w:tc>
          <w:tcPr>
            <w:tcW w:type="dxa" w:w="316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Машиночитаемое основание решения.</w:t>
            </w:r>
          </w:p>
        </w:tc>
      </w:tr>
      <w:tr>
        <w:tc>
          <w:tcPr>
            <w:tcW w:type="dxa" w:w="15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4. Решение</w:t>
            </w:r>
          </w:p>
        </w:tc>
        <w:tc>
          <w:tcPr>
            <w:tcW w:type="dxa" w:w="47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Приоритизация угроз, сравнение мер, стоимость бездействия.</w:t>
            </w:r>
          </w:p>
        </w:tc>
        <w:tc>
          <w:tcPr>
            <w:tcW w:type="dxa" w:w="316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Рекомендация и санкционированный план.</w:t>
            </w:r>
          </w:p>
        </w:tc>
      </w:tr>
      <w:tr>
        <w:tc>
          <w:tcPr>
            <w:tcW w:type="dxa" w:w="15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5. Ресурс</w:t>
            </w:r>
          </w:p>
        </w:tc>
        <w:tc>
          <w:tcPr>
            <w:tcW w:type="dxa" w:w="47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Бюджет, ECO‑PPA, грант, PPP, вклад предприятия или сообщества.</w:t>
            </w:r>
          </w:p>
        </w:tc>
        <w:tc>
          <w:tcPr>
            <w:tcW w:type="dxa" w:w="316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Закреплённый источник финансирования.</w:t>
            </w:r>
          </w:p>
        </w:tc>
      </w:tr>
      <w:tr>
        <w:tc>
          <w:tcPr>
            <w:tcW w:type="dxa" w:w="15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6. Исполнение</w:t>
            </w:r>
          </w:p>
        </w:tc>
        <w:tc>
          <w:tcPr>
            <w:tcW w:type="dxa" w:w="47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СПЕЦЗАЩИТА: инженерное, природное и организационное действие.</w:t>
            </w:r>
          </w:p>
        </w:tc>
        <w:tc>
          <w:tcPr>
            <w:tcW w:type="dxa" w:w="316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Завершённый пакет работ и операционный контроль.</w:t>
            </w:r>
          </w:p>
        </w:tc>
      </w:tr>
      <w:tr>
        <w:tc>
          <w:tcPr>
            <w:tcW w:type="dxa" w:w="15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7. Доказательство</w:t>
            </w:r>
          </w:p>
        </w:tc>
        <w:tc>
          <w:tcPr>
            <w:tcW w:type="dxa" w:w="47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Счётная книга: происхождение, подпись, до/после, аудит, корректировка.</w:t>
            </w:r>
          </w:p>
        </w:tc>
        <w:tc>
          <w:tcPr>
            <w:tcW w:type="dxa" w:w="316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Подтверждённый результат и новое знание.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90"/>
        <w:gridCol w:w="9170"/>
      </w:tblGrid>
      <w:tr>
        <w:tc>
          <w:tcPr>
            <w:tcW w:type="dxa" w:w="19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D58A2B"/>
          </w:tcPr>
          <w:p>
            <w:r/>
          </w:p>
        </w:tc>
        <w:tc>
          <w:tcPr>
            <w:tcW w:type="dxa" w:w="917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FFF4E5"/>
          </w:tcPr>
          <w:p>
            <w:pPr>
              <w:pStyle w:val="Callout"/>
            </w:pPr>
            <w:r>
              <w:rPr>
                <w:b/>
              </w:rPr>
              <w:t>Принцип суверенности</w:t>
            </w:r>
          </w:p>
          <w:p>
            <w:pPr>
              <w:pStyle w:val="Small"/>
              <w:spacing w:after="0"/>
            </w:pPr>
            <w:r>
              <w:t>Индийские данные остаются под индийским управлением, российские — под российским. Между сторонами передаются согласованные показатели, модели и доказательства по федеративному протоколу.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Eyebrow"/>
      </w:pPr>
      <w:r>
        <w:t>11  /  МАТЕМАТИКА</w:t>
      </w:r>
    </w:p>
    <w:p>
      <w:pPr>
        <w:pStyle w:val="Heading1"/>
        <w:pBdr>
          <w:bottom w:val="single" w:sz="10" w:space="2" w:color="65BBD4"/>
        </w:pBdr>
      </w:pPr>
      <w:r>
        <w:t>19 балансов и 741 интеграция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650"/>
        <w:gridCol w:w="2350"/>
        <w:gridCol w:w="6360"/>
      </w:tblGrid>
      <w:tr>
        <w:trPr>
          <w:tblHeader w:val="true"/>
        </w:trP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163B59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  <w:t>№</w:t>
            </w:r>
          </w:p>
        </w:tc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163B59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  <w:t>Баланс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163B59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  <w:t>Контрольный вопрос</w:t>
            </w:r>
          </w:p>
        </w:tc>
      </w:tr>
      <w:tr>
        <w:tc>
          <w:tcPr>
            <w:tcW w:type="dxa" w:w="65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1</w:t>
            </w:r>
          </w:p>
        </w:tc>
        <w:tc>
          <w:tcPr>
            <w:tcW w:type="dxa" w:w="235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вода</w:t>
            </w:r>
          </w:p>
        </w:tc>
        <w:tc>
          <w:tcPr>
            <w:tcW w:type="dxa" w:w="636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Улучшили ли качество и экологический сток?</w:t>
            </w:r>
          </w:p>
        </w:tc>
      </w:tr>
      <w:tr>
        <w:tc>
          <w:tcPr>
            <w:tcW w:type="dxa" w:w="65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2</w:t>
            </w:r>
          </w:p>
        </w:tc>
        <w:tc>
          <w:tcPr>
            <w:tcW w:type="dxa" w:w="235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почва</w:t>
            </w:r>
          </w:p>
        </w:tc>
        <w:tc>
          <w:tcPr>
            <w:tcW w:type="dxa" w:w="636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Не перенесли ли нагрузку в почву?</w:t>
            </w:r>
          </w:p>
        </w:tc>
      </w:tr>
      <w:tr>
        <w:tc>
          <w:tcPr>
            <w:tcW w:type="dxa" w:w="65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3</w:t>
            </w:r>
          </w:p>
        </w:tc>
        <w:tc>
          <w:tcPr>
            <w:tcW w:type="dxa" w:w="235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атмосфера</w:t>
            </w:r>
          </w:p>
        </w:tc>
        <w:tc>
          <w:tcPr>
            <w:tcW w:type="dxa" w:w="636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Не выросли ли выбросы и запахи?</w:t>
            </w:r>
          </w:p>
        </w:tc>
      </w:tr>
      <w:tr>
        <w:tc>
          <w:tcPr>
            <w:tcW w:type="dxa" w:w="65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4</w:t>
            </w:r>
          </w:p>
        </w:tc>
        <w:tc>
          <w:tcPr>
            <w:tcW w:type="dxa" w:w="235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биота</w:t>
            </w:r>
          </w:p>
        </w:tc>
        <w:tc>
          <w:tcPr>
            <w:tcW w:type="dxa" w:w="636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Восстанавливаются ли виды и функции?</w:t>
            </w:r>
          </w:p>
        </w:tc>
      </w:tr>
      <w:tr>
        <w:tc>
          <w:tcPr>
            <w:tcW w:type="dxa" w:w="65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5</w:t>
            </w:r>
          </w:p>
        </w:tc>
        <w:tc>
          <w:tcPr>
            <w:tcW w:type="dxa" w:w="235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микробиом</w:t>
            </w:r>
          </w:p>
        </w:tc>
        <w:tc>
          <w:tcPr>
            <w:tcW w:type="dxa" w:w="636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Сохраняется ли функциональный микробиом?</w:t>
            </w:r>
          </w:p>
        </w:tc>
      </w:tr>
      <w:tr>
        <w:tc>
          <w:tcPr>
            <w:tcW w:type="dxa" w:w="65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6</w:t>
            </w:r>
          </w:p>
        </w:tc>
        <w:tc>
          <w:tcPr>
            <w:tcW w:type="dxa" w:w="235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углерод</w:t>
            </w:r>
          </w:p>
        </w:tc>
        <w:tc>
          <w:tcPr>
            <w:tcW w:type="dxa" w:w="636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Каков полный углеродный эффект?</w:t>
            </w:r>
          </w:p>
        </w:tc>
      </w:tr>
      <w:tr>
        <w:tc>
          <w:tcPr>
            <w:tcW w:type="dxa" w:w="65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7</w:t>
            </w:r>
          </w:p>
        </w:tc>
        <w:tc>
          <w:tcPr>
            <w:tcW w:type="dxa" w:w="235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питательные вещества</w:t>
            </w:r>
          </w:p>
        </w:tc>
        <w:tc>
          <w:tcPr>
            <w:tcW w:type="dxa" w:w="636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Замкнуты ли N/P без эвтрофикации?</w:t>
            </w:r>
          </w:p>
        </w:tc>
      </w:tr>
      <w:tr>
        <w:tc>
          <w:tcPr>
            <w:tcW w:type="dxa" w:w="65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8</w:t>
            </w:r>
          </w:p>
        </w:tc>
        <w:tc>
          <w:tcPr>
            <w:tcW w:type="dxa" w:w="235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энергия</w:t>
            </w:r>
          </w:p>
        </w:tc>
        <w:tc>
          <w:tcPr>
            <w:tcW w:type="dxa" w:w="636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Каковы энергоёмкость и надёжность?</w:t>
            </w:r>
          </w:p>
        </w:tc>
      </w:tr>
      <w:tr>
        <w:tc>
          <w:tcPr>
            <w:tcW w:type="dxa" w:w="65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9</w:t>
            </w:r>
          </w:p>
        </w:tc>
        <w:tc>
          <w:tcPr>
            <w:tcW w:type="dxa" w:w="235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материалы и отходы</w:t>
            </w:r>
          </w:p>
        </w:tc>
        <w:tc>
          <w:tcPr>
            <w:tcW w:type="dxa" w:w="636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Предотвращён ли поток и безопасен ли осадок?</w:t>
            </w:r>
          </w:p>
        </w:tc>
      </w:tr>
      <w:tr>
        <w:tc>
          <w:tcPr>
            <w:tcW w:type="dxa" w:w="65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10</w:t>
            </w:r>
          </w:p>
        </w:tc>
        <w:tc>
          <w:tcPr>
            <w:tcW w:type="dxa" w:w="235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землепользование</w:t>
            </w:r>
          </w:p>
        </w:tc>
        <w:tc>
          <w:tcPr>
            <w:tcW w:type="dxa" w:w="636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Снижена ли конфликтность использования?</w:t>
            </w:r>
          </w:p>
        </w:tc>
      </w:tr>
      <w:tr>
        <w:tc>
          <w:tcPr>
            <w:tcW w:type="dxa" w:w="65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11</w:t>
            </w:r>
          </w:p>
        </w:tc>
        <w:tc>
          <w:tcPr>
            <w:tcW w:type="dxa" w:w="235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здоровье</w:t>
            </w:r>
          </w:p>
        </w:tc>
        <w:tc>
          <w:tcPr>
            <w:tcW w:type="dxa" w:w="636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Уменьшен ли санитарный риск?</w:t>
            </w:r>
          </w:p>
        </w:tc>
      </w:tr>
      <w:tr>
        <w:tc>
          <w:tcPr>
            <w:tcW w:type="dxa" w:w="65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12</w:t>
            </w:r>
          </w:p>
        </w:tc>
        <w:tc>
          <w:tcPr>
            <w:tcW w:type="dxa" w:w="235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продовольствие</w:t>
            </w:r>
          </w:p>
        </w:tc>
        <w:tc>
          <w:tcPr>
            <w:tcW w:type="dxa" w:w="636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Безопаснее ли вода и пища?</w:t>
            </w:r>
          </w:p>
        </w:tc>
      </w:tr>
      <w:tr>
        <w:tc>
          <w:tcPr>
            <w:tcW w:type="dxa" w:w="65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13</w:t>
            </w:r>
          </w:p>
        </w:tc>
        <w:tc>
          <w:tcPr>
            <w:tcW w:type="dxa" w:w="235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экономика</w:t>
            </w:r>
          </w:p>
        </w:tc>
        <w:tc>
          <w:tcPr>
            <w:tcW w:type="dxa" w:w="636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Достижим ли эффект по жизненному циклу?</w:t>
            </w:r>
          </w:p>
        </w:tc>
      </w:tr>
      <w:tr>
        <w:tc>
          <w:tcPr>
            <w:tcW w:type="dxa" w:w="65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14</w:t>
            </w:r>
          </w:p>
        </w:tc>
        <w:tc>
          <w:tcPr>
            <w:tcW w:type="dxa" w:w="235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занятость</w:t>
            </w:r>
          </w:p>
        </w:tc>
        <w:tc>
          <w:tcPr>
            <w:tcW w:type="dxa" w:w="636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Создаются ли безопасные местные рабочие места?</w:t>
            </w:r>
          </w:p>
        </w:tc>
      </w:tr>
      <w:tr>
        <w:tc>
          <w:tcPr>
            <w:tcW w:type="dxa" w:w="65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15</w:t>
            </w:r>
          </w:p>
        </w:tc>
        <w:tc>
          <w:tcPr>
            <w:tcW w:type="dxa" w:w="235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культура</w:t>
            </w:r>
          </w:p>
        </w:tc>
        <w:tc>
          <w:tcPr>
            <w:tcW w:type="dxa" w:w="636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Сохранены ли культурные функции реки?</w:t>
            </w:r>
          </w:p>
        </w:tc>
      </w:tr>
      <w:tr>
        <w:tc>
          <w:tcPr>
            <w:tcW w:type="dxa" w:w="65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16</w:t>
            </w:r>
          </w:p>
        </w:tc>
        <w:tc>
          <w:tcPr>
            <w:tcW w:type="dxa" w:w="235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право</w:t>
            </w:r>
          </w:p>
        </w:tc>
        <w:tc>
          <w:tcPr>
            <w:tcW w:type="dxa" w:w="636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Есть ли полномочие, ответственность и защита прав?</w:t>
            </w:r>
          </w:p>
        </w:tc>
      </w:tr>
      <w:tr>
        <w:tc>
          <w:tcPr>
            <w:tcW w:type="dxa" w:w="65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17</w:t>
            </w:r>
          </w:p>
        </w:tc>
        <w:tc>
          <w:tcPr>
            <w:tcW w:type="dxa" w:w="235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безопасность</w:t>
            </w:r>
          </w:p>
        </w:tc>
        <w:tc>
          <w:tcPr>
            <w:tcW w:type="dxa" w:w="636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Не создан ли новый системный риск?</w:t>
            </w:r>
          </w:p>
        </w:tc>
      </w:tr>
      <w:tr>
        <w:tc>
          <w:tcPr>
            <w:tcW w:type="dxa" w:w="65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18</w:t>
            </w:r>
          </w:p>
        </w:tc>
        <w:tc>
          <w:tcPr>
            <w:tcW w:type="dxa" w:w="235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данные и доверие</w:t>
            </w:r>
          </w:p>
        </w:tc>
        <w:tc>
          <w:tcPr>
            <w:tcW w:type="dxa" w:w="636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Доказуемы ли происхождение и качество?</w:t>
            </w:r>
          </w:p>
        </w:tc>
      </w:tr>
      <w:tr>
        <w:tc>
          <w:tcPr>
            <w:tcW w:type="dxa" w:w="65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19</w:t>
            </w:r>
          </w:p>
        </w:tc>
        <w:tc>
          <w:tcPr>
            <w:tcW w:type="dxa" w:w="235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межпоколенческий эффект</w:t>
            </w:r>
          </w:p>
        </w:tc>
        <w:tc>
          <w:tcPr>
            <w:tcW w:type="dxa" w:w="636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Не куплен ли краткосрочный эффект ценой будущего?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90"/>
        <w:gridCol w:w="9170"/>
      </w:tblGrid>
      <w:tr>
        <w:tc>
          <w:tcPr>
            <w:tcW w:type="dxa" w:w="19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65BBD4"/>
          </w:tcPr>
          <w:p>
            <w:r/>
          </w:p>
        </w:tc>
        <w:tc>
          <w:tcPr>
            <w:tcW w:type="dxa" w:w="917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EAF5F8"/>
          </w:tcPr>
          <w:p>
            <w:pPr>
              <w:pStyle w:val="Callout"/>
            </w:pPr>
            <w:r>
              <w:rPr>
                <w:b/>
              </w:rPr>
              <w:t>741</w:t>
            </w:r>
          </w:p>
          <w:p>
            <w:pPr>
              <w:pStyle w:val="Small"/>
              <w:spacing w:after="0"/>
            </w:pPr>
            <w:r>
              <w:t>3 масштаба (человек — государство — планета) × 13 фаз жизненного цикла × 19 балансов = 741 контрольная позиция инженерной полноты.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Eyebrow"/>
      </w:pPr>
      <w:r>
        <w:t>12  /  ЦИКЛ</w:t>
      </w:r>
    </w:p>
    <w:p>
      <w:pPr>
        <w:pStyle w:val="Heading1"/>
        <w:pBdr>
          <w:bottom w:val="single" w:sz="10" w:space="2" w:color="65BBD4"/>
        </w:pBdr>
      </w:pPr>
      <w:r>
        <w:t>13 фаз: раннее предупреждение до корректировки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7260"/>
      </w:tblGrid>
      <w:tr>
        <w:trPr>
          <w:tblHeader w:val="true"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163B59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  <w:t>Фаза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163B59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  <w:t>Смысл</w:t>
            </w:r>
          </w:p>
        </w:tc>
      </w:tr>
      <w:tr>
        <w:tc>
          <w:tcPr>
            <w:tcW w:type="dxa" w:w="21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Сигнал</w:t>
            </w:r>
          </w:p>
        </w:tc>
        <w:tc>
          <w:tcPr>
            <w:tcW w:type="dxa" w:w="726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фиксация изменения</w:t>
            </w:r>
          </w:p>
        </w:tc>
      </w:tr>
      <w:tr>
        <w:tc>
          <w:tcPr>
            <w:tcW w:type="dxa" w:w="21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Качество</w:t>
            </w:r>
          </w:p>
        </w:tc>
        <w:tc>
          <w:tcPr>
            <w:tcW w:type="dxa" w:w="726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проверка датчика и данных</w:t>
            </w:r>
          </w:p>
        </w:tc>
      </w:tr>
      <w:tr>
        <w:tc>
          <w:tcPr>
            <w:tcW w:type="dxa" w:w="21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Контекст</w:t>
            </w:r>
          </w:p>
        </w:tc>
        <w:tc>
          <w:tcPr>
            <w:tcW w:type="dxa" w:w="726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сезон, погода, фон</w:t>
            </w:r>
          </w:p>
        </w:tc>
      </w:tr>
      <w:tr>
        <w:tc>
          <w:tcPr>
            <w:tcW w:type="dxa" w:w="21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Источник</w:t>
            </w:r>
          </w:p>
        </w:tc>
        <w:tc>
          <w:tcPr>
            <w:tcW w:type="dxa" w:w="726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причинная гипотеза</w:t>
            </w:r>
          </w:p>
        </w:tc>
      </w:tr>
      <w:tr>
        <w:tc>
          <w:tcPr>
            <w:tcW w:type="dxa" w:w="21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Риск</w:t>
            </w:r>
          </w:p>
        </w:tc>
        <w:tc>
          <w:tcPr>
            <w:tcW w:type="dxa" w:w="726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экологический и человеческий ущерб</w:t>
            </w:r>
          </w:p>
        </w:tc>
      </w:tr>
      <w:tr>
        <w:tc>
          <w:tcPr>
            <w:tcW w:type="dxa" w:w="21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Порог</w:t>
            </w:r>
          </w:p>
        </w:tc>
        <w:tc>
          <w:tcPr>
            <w:tcW w:type="dxa" w:w="726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правило эскалации</w:t>
            </w:r>
          </w:p>
        </w:tc>
      </w:tr>
      <w:tr>
        <w:tc>
          <w:tcPr>
            <w:tcW w:type="dxa" w:w="21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Решение</w:t>
            </w:r>
          </w:p>
        </w:tc>
        <w:tc>
          <w:tcPr>
            <w:tcW w:type="dxa" w:w="726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выбор меры</w:t>
            </w:r>
          </w:p>
        </w:tc>
      </w:tr>
      <w:tr>
        <w:tc>
          <w:tcPr>
            <w:tcW w:type="dxa" w:w="21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Право</w:t>
            </w:r>
          </w:p>
        </w:tc>
        <w:tc>
          <w:tcPr>
            <w:tcW w:type="dxa" w:w="726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полномочие и защита прав</w:t>
            </w:r>
          </w:p>
        </w:tc>
      </w:tr>
      <w:tr>
        <w:tc>
          <w:tcPr>
            <w:tcW w:type="dxa" w:w="21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Ресурс</w:t>
            </w:r>
          </w:p>
        </w:tc>
        <w:tc>
          <w:tcPr>
            <w:tcW w:type="dxa" w:w="726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финансирование и мощности</w:t>
            </w:r>
          </w:p>
        </w:tc>
      </w:tr>
      <w:tr>
        <w:tc>
          <w:tcPr>
            <w:tcW w:type="dxa" w:w="21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Действие</w:t>
            </w:r>
          </w:p>
        </w:tc>
        <w:tc>
          <w:tcPr>
            <w:tcW w:type="dxa" w:w="726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СПЕЦЗАЩИТА</w:t>
            </w:r>
          </w:p>
        </w:tc>
      </w:tr>
      <w:tr>
        <w:tc>
          <w:tcPr>
            <w:tcW w:type="dxa" w:w="21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Контроль</w:t>
            </w:r>
          </w:p>
        </w:tc>
        <w:tc>
          <w:tcPr>
            <w:tcW w:type="dxa" w:w="726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операционный надзор</w:t>
            </w:r>
          </w:p>
        </w:tc>
      </w:tr>
      <w:tr>
        <w:tc>
          <w:tcPr>
            <w:tcW w:type="dxa" w:w="21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Результат</w:t>
            </w:r>
          </w:p>
        </w:tc>
        <w:tc>
          <w:tcPr>
            <w:tcW w:type="dxa" w:w="726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до/после и верификация</w:t>
            </w:r>
          </w:p>
        </w:tc>
      </w:tr>
      <w:tr>
        <w:tc>
          <w:tcPr>
            <w:tcW w:type="dxa" w:w="21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Коррекция</w:t>
            </w:r>
          </w:p>
        </w:tc>
        <w:tc>
          <w:tcPr>
            <w:tcW w:type="dxa" w:w="726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обновление модели и нормы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90"/>
        <w:gridCol w:w="9170"/>
      </w:tblGrid>
      <w:tr>
        <w:tc>
          <w:tcPr>
            <w:tcW w:type="dxa" w:w="19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2F7D68"/>
          </w:tcPr>
          <w:p>
            <w:r/>
          </w:p>
        </w:tc>
        <w:tc>
          <w:tcPr>
            <w:tcW w:type="dxa" w:w="917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EAF4EF"/>
          </w:tcPr>
          <w:p>
            <w:pPr>
              <w:pStyle w:val="Callout"/>
            </w:pPr>
            <w:r>
              <w:rPr>
                <w:b/>
              </w:rPr>
              <w:t>Срок реакции</w:t>
            </w:r>
          </w:p>
          <w:p>
            <w:pPr>
              <w:pStyle w:val="Small"/>
              <w:spacing w:after="0"/>
            </w:pPr>
            <w:r>
              <w:t>Для аварийного сброса цикл занимает часы; для восстановления почвы — сезоны; для биоразнообразия — годы. Одинакова не скорость, а дисциплина доказательства.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Eyebrow"/>
      </w:pPr>
      <w:r>
        <w:t>13  /  УПРАВЛЕНИЕ</w:t>
      </w:r>
    </w:p>
    <w:p>
      <w:pPr>
        <w:pStyle w:val="Heading1"/>
        <w:pBdr>
          <w:bottom w:val="single" w:sz="10" w:space="2" w:color="65BBD4"/>
        </w:pBdr>
      </w:pPr>
      <w:r>
        <w:t>Совместный контур без потери национальной ответственности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3600"/>
        <w:gridCol w:w="3560"/>
      </w:tblGrid>
      <w:tr>
        <w:trPr>
          <w:tblHeader w:val="true"/>
        </w:trP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163B59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  <w:t>Орган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163B59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  <w:t>Состав</w:t>
            </w:r>
          </w:p>
        </w:tc>
        <w:tc>
          <w:tcPr>
            <w:tcW w:type="dxa" w:w="35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163B59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  <w:t>Ответственность</w:t>
            </w:r>
          </w:p>
        </w:tc>
      </w:tr>
      <w:tr>
        <w:tc>
          <w:tcPr>
            <w:tcW w:type="dxa" w:w="22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Стратегический совет</w:t>
            </w:r>
          </w:p>
        </w:tc>
        <w:tc>
          <w:tcPr>
            <w:tcW w:type="dxa" w:w="36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Уполномоченные органы России и Индии; наблюдатели по согласованию.</w:t>
            </w:r>
          </w:p>
        </w:tc>
        <w:tc>
          <w:tcPr>
            <w:tcW w:type="dxa" w:w="356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Мандат, приоритеты, бюджетные рамки, разрешение межгосударственных вопросов.</w:t>
            </w:r>
          </w:p>
        </w:tc>
      </w:tr>
      <w:tr>
        <w:tc>
          <w:tcPr>
            <w:tcW w:type="dxa" w:w="22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Научно-технический совет</w:t>
            </w:r>
          </w:p>
        </w:tc>
        <w:tc>
          <w:tcPr>
            <w:tcW w:type="dxa" w:w="36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Гидрологи, почвоведы, экологи, эпидемиологи, инженеры, специалисты по данным.</w:t>
            </w:r>
          </w:p>
        </w:tc>
        <w:tc>
          <w:tcPr>
            <w:tcW w:type="dxa" w:w="356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Методы, базовые линии, модели, неопределённость, открытые публикации.</w:t>
            </w:r>
          </w:p>
        </w:tc>
      </w:tr>
      <w:tr>
        <w:tc>
          <w:tcPr>
            <w:tcW w:type="dxa" w:w="22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Офис Ганга-пилота</w:t>
            </w:r>
          </w:p>
        </w:tc>
        <w:tc>
          <w:tcPr>
            <w:tcW w:type="dxa" w:w="36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NMCG и индийские органы бассейна; российские технологические и научные партнёры.</w:t>
            </w:r>
          </w:p>
        </w:tc>
        <w:tc>
          <w:tcPr>
            <w:tcW w:type="dxa" w:w="356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План створов, интеграция с PRAYAG и действующими проектами, операционный результат.</w:t>
            </w:r>
          </w:p>
        </w:tc>
      </w:tr>
      <w:tr>
        <w:tc>
          <w:tcPr>
            <w:tcW w:type="dxa" w:w="22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Российский референсный полигон</w:t>
            </w:r>
          </w:p>
        </w:tc>
        <w:tc>
          <w:tcPr>
            <w:tcW w:type="dxa" w:w="36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Профильные федеральные/региональные органы, бассейновые структуры и лаборатории.</w:t>
            </w:r>
          </w:p>
        </w:tc>
        <w:tc>
          <w:tcPr>
            <w:tcW w:type="dxa" w:w="356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Параллельная проверка технологий и методов в российском водосборе.</w:t>
            </w:r>
          </w:p>
        </w:tc>
      </w:tr>
      <w:tr>
        <w:tc>
          <w:tcPr>
            <w:tcW w:type="dxa" w:w="22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Независимая верификация</w:t>
            </w:r>
          </w:p>
        </w:tc>
        <w:tc>
          <w:tcPr>
            <w:tcW w:type="dxa" w:w="36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Аккредитованные лаборатории и аудиторы двух стран.</w:t>
            </w:r>
          </w:p>
        </w:tc>
        <w:tc>
          <w:tcPr>
            <w:tcW w:type="dxa" w:w="356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Подтверждение данных, конфликт интересов, выборочная перепроверка.</w:t>
            </w:r>
          </w:p>
        </w:tc>
      </w:tr>
      <w:tr>
        <w:tc>
          <w:tcPr>
            <w:tcW w:type="dxa" w:w="22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Общественный контур</w:t>
            </w:r>
          </w:p>
        </w:tc>
        <w:tc>
          <w:tcPr>
            <w:tcW w:type="dxa" w:w="36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Муниципалитеты, Ganga Gram, фермеры, предприятия, НКО, коренные и местные сообщества.</w:t>
            </w:r>
          </w:p>
        </w:tc>
        <w:tc>
          <w:tcPr>
            <w:tcW w:type="dxa" w:w="356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Сигналы, согласование мер, локальные знания, социальная лицензия.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90"/>
        <w:gridCol w:w="9170"/>
      </w:tblGrid>
      <w:tr>
        <w:tc>
          <w:tcPr>
            <w:tcW w:type="dxa" w:w="19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D58A2B"/>
          </w:tcPr>
          <w:p>
            <w:r/>
          </w:p>
        </w:tc>
        <w:tc>
          <w:tcPr>
            <w:tcW w:type="dxa" w:w="917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FFF4E5"/>
          </w:tcPr>
          <w:p>
            <w:pPr>
              <w:pStyle w:val="Callout"/>
            </w:pPr>
            <w:r>
              <w:rPr>
                <w:b/>
              </w:rPr>
              <w:t>Правило ответственности</w:t>
            </w:r>
          </w:p>
          <w:p>
            <w:pPr>
              <w:pStyle w:val="Small"/>
              <w:spacing w:after="0"/>
            </w:pPr>
            <w:r>
              <w:t>Алгоритм рекомендует; уполномоченный человек принимает решение; орган отвечает; лаборатория подтверждает; общество видит понятную версию доказательства.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Eyebrow"/>
      </w:pPr>
      <w:r>
        <w:t>14  /  ПИЛОТЫ</w:t>
      </w:r>
    </w:p>
    <w:p>
      <w:pPr>
        <w:pStyle w:val="Heading1"/>
        <w:pBdr>
          <w:bottom w:val="single" w:sz="10" w:space="2" w:color="65BBD4"/>
        </w:pBdr>
      </w:pPr>
      <w:r>
        <w:t>Шесть совместных программ 2026–2030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2380"/>
        <w:gridCol w:w="2380"/>
        <w:gridCol w:w="2400"/>
      </w:tblGrid>
      <w:tr>
        <w:trPr>
          <w:tblHeader w:val="true"/>
        </w:trP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163B59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  <w:t>Пилот</w:t>
            </w:r>
          </w:p>
        </w:tc>
        <w:tc>
          <w:tcPr>
            <w:tcW w:type="dxa" w:w="23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163B59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  <w:t>Россия</w:t>
            </w:r>
          </w:p>
        </w:tc>
        <w:tc>
          <w:tcPr>
            <w:tcW w:type="dxa" w:w="23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163B59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  <w:t>Индия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163B59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  <w:t>Первый результат</w:t>
            </w:r>
          </w:p>
        </w:tc>
      </w:tr>
      <w:tr>
        <w:tc>
          <w:tcPr>
            <w:tcW w:type="dxa" w:w="22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Ганг: чистая вода и здоровая пойма</w:t>
            </w:r>
          </w:p>
        </w:tc>
        <w:tc>
          <w:tcPr>
            <w:tcW w:type="dxa" w:w="238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Инженерия, мониторинг больших водосборов, лаборатории, цифровой двойник.</w:t>
            </w:r>
          </w:p>
        </w:tc>
        <w:tc>
          <w:tcPr>
            <w:tcW w:type="dxa" w:w="238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NMCG, штаты, города, STP/CETP, Ganga Gram.</w:t>
            </w:r>
          </w:p>
        </w:tc>
        <w:tc>
          <w:tcPr>
            <w:tcW w:type="dxa" w:w="24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Пилотный створ с полной причинной моделью и 12 KPI.</w:t>
            </w:r>
          </w:p>
        </w:tc>
      </w:tr>
      <w:tr>
        <w:tc>
          <w:tcPr>
            <w:tcW w:type="dxa" w:w="22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Ганг — Волга: бассейновая школа</w:t>
            </w:r>
          </w:p>
        </w:tc>
        <w:tc>
          <w:tcPr>
            <w:tcW w:type="dxa" w:w="238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Референсные участки Волги и других водосборов.</w:t>
            </w:r>
          </w:p>
        </w:tc>
        <w:tc>
          <w:tcPr>
            <w:tcW w:type="dxa" w:w="238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Ганг и притоки.</w:t>
            </w:r>
          </w:p>
        </w:tc>
        <w:tc>
          <w:tcPr>
            <w:tcW w:type="dxa" w:w="24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Сопоставимые протоколы качества воды, ила, почв и биоты.</w:t>
            </w:r>
          </w:p>
        </w:tc>
      </w:tr>
      <w:tr>
        <w:tc>
          <w:tcPr>
            <w:tcW w:type="dxa" w:w="22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Арктика — Гималаи</w:t>
            </w:r>
          </w:p>
        </w:tc>
        <w:tc>
          <w:tcPr>
            <w:tcW w:type="dxa" w:w="238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Мерзлота, снег, северный сток.</w:t>
            </w:r>
          </w:p>
        </w:tc>
        <w:tc>
          <w:tcPr>
            <w:tcW w:type="dxa" w:w="238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Ледники, высокогорные водосборы, оползни.</w:t>
            </w:r>
          </w:p>
        </w:tc>
        <w:tc>
          <w:tcPr>
            <w:tcW w:type="dxa" w:w="24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Совместный сезонный прогноз риска для воды и населения.</w:t>
            </w:r>
          </w:p>
        </w:tc>
      </w:tr>
      <w:tr>
        <w:tc>
          <w:tcPr>
            <w:tcW w:type="dxa" w:w="22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Леса и пожары</w:t>
            </w:r>
          </w:p>
        </w:tc>
        <w:tc>
          <w:tcPr>
            <w:tcW w:type="dxa" w:w="238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Тайга, спутниковый мониторинг, дым.</w:t>
            </w:r>
          </w:p>
        </w:tc>
        <w:tc>
          <w:tcPr>
            <w:tcW w:type="dxa" w:w="238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Муссонные и сухие леса, общинное управление.</w:t>
            </w:r>
          </w:p>
        </w:tc>
        <w:tc>
          <w:tcPr>
            <w:tcW w:type="dxa" w:w="24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Раннее предупреждение и план восстановления мозаики.</w:t>
            </w:r>
          </w:p>
        </w:tc>
      </w:tr>
      <w:tr>
        <w:tc>
          <w:tcPr>
            <w:tcW w:type="dxa" w:w="22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Агробиоценозы и почвы</w:t>
            </w:r>
          </w:p>
        </w:tc>
        <w:tc>
          <w:tcPr>
            <w:tcW w:type="dxa" w:w="238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Чернозёмы, степи, точное земледелие.</w:t>
            </w:r>
          </w:p>
        </w:tc>
        <w:tc>
          <w:tcPr>
            <w:tcW w:type="dxa" w:w="238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Индо-Гангская равнина, малые фермеры.</w:t>
            </w:r>
          </w:p>
        </w:tc>
        <w:tc>
          <w:tcPr>
            <w:tcW w:type="dxa" w:w="24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Снижение выноса N/P при сохранении урожайности и дохода.</w:t>
            </w:r>
          </w:p>
        </w:tc>
      </w:tr>
      <w:tr>
        <w:tc>
          <w:tcPr>
            <w:tcW w:type="dxa" w:w="22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Города и отходы</w:t>
            </w:r>
          </w:p>
        </w:tc>
        <w:tc>
          <w:tcPr>
            <w:tcW w:type="dxa" w:w="238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Холодный климат, промышленные города.</w:t>
            </w:r>
          </w:p>
        </w:tc>
        <w:tc>
          <w:tcPr>
            <w:tcW w:type="dxa" w:w="238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Мегаполисы, жара, ливни, пластик.</w:t>
            </w:r>
          </w:p>
        </w:tc>
        <w:tc>
          <w:tcPr>
            <w:tcW w:type="dxa" w:w="24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Зелёно-голубая инфраструктура и предотвращённый поток отходов.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90"/>
        <w:gridCol w:w="9170"/>
      </w:tblGrid>
      <w:tr>
        <w:tc>
          <w:tcPr>
            <w:tcW w:type="dxa" w:w="19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2F7D68"/>
          </w:tcPr>
          <w:p>
            <w:r/>
          </w:p>
        </w:tc>
        <w:tc>
          <w:tcPr>
            <w:tcW w:type="dxa" w:w="917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EAF4EF"/>
          </w:tcPr>
          <w:p>
            <w:pPr>
              <w:pStyle w:val="Callout"/>
            </w:pPr>
            <w:r>
              <w:rPr>
                <w:b/>
              </w:rPr>
              <w:t>Приоритет</w:t>
            </w:r>
          </w:p>
          <w:p>
            <w:pPr>
              <w:pStyle w:val="Small"/>
              <w:spacing w:after="0"/>
            </w:pPr>
            <w:r>
              <w:t>Сначала Ганг и почва его водосбора. Остальные пилоты запускаются только после того, как общий протокол докажет работоспособность на одном реальном створе.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Eyebrow"/>
      </w:pPr>
      <w:r>
        <w:t>15  /  ФИНАНСИРОВАНИЕ</w:t>
      </w:r>
    </w:p>
    <w:p>
      <w:pPr>
        <w:pStyle w:val="Heading1"/>
        <w:pBdr>
          <w:bottom w:val="single" w:sz="10" w:space="2" w:color="65BBD4"/>
        </w:pBdr>
      </w:pPr>
      <w:r>
        <w:t>ECO‑PPA: ресурс до угрозы, платёж после результата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3600"/>
        <w:gridCol w:w="3660"/>
      </w:tblGrid>
      <w:tr>
        <w:trPr>
          <w:tblHeader w:val="true"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163B59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  <w:t>Контур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163B59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  <w:t>Источник</w:t>
            </w:r>
          </w:p>
        </w:tc>
        <w:tc>
          <w:tcPr>
            <w:tcW w:type="dxa" w:w="36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163B59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  <w:t>Условие</w:t>
            </w:r>
          </w:p>
        </w:tc>
      </w:tr>
      <w:tr>
        <w:tc>
          <w:tcPr>
            <w:tcW w:type="dxa" w:w="21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Базовая инфраструктура</w:t>
            </w:r>
          </w:p>
        </w:tc>
        <w:tc>
          <w:tcPr>
            <w:tcW w:type="dxa" w:w="36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Национальные и региональные бюджеты, действующие программы, PPP.</w:t>
            </w:r>
          </w:p>
        </w:tc>
        <w:tc>
          <w:tcPr>
            <w:tcW w:type="dxa" w:w="366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Соответствие праву, жизненный цикл O&amp;M, открытая стоимость владения.</w:t>
            </w:r>
          </w:p>
        </w:tc>
      </w:tr>
      <w:tr>
        <w:tc>
          <w:tcPr>
            <w:tcW w:type="dxa" w:w="21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Совместное R&amp;D</w:t>
            </w:r>
          </w:p>
        </w:tc>
        <w:tc>
          <w:tcPr>
            <w:tcW w:type="dxa" w:w="36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Научные фонды, университеты, технологические компании двух стран.</w:t>
            </w:r>
          </w:p>
        </w:tc>
        <w:tc>
          <w:tcPr>
            <w:tcW w:type="dxa" w:w="366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Открытые методы, взаимная проверка, совместная интеллектуальная собственность по договору.</w:t>
            </w:r>
          </w:p>
        </w:tc>
      </w:tr>
      <w:tr>
        <w:tc>
          <w:tcPr>
            <w:tcW w:type="dxa" w:w="21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Предотвращение угроз</w:t>
            </w:r>
          </w:p>
        </w:tc>
        <w:tc>
          <w:tcPr>
            <w:tcW w:type="dxa" w:w="36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ECO‑PPA, страхование, вклад загрязнителя, резервные фонды.</w:t>
            </w:r>
          </w:p>
        </w:tc>
        <w:tc>
          <w:tcPr>
            <w:tcW w:type="dxa" w:w="366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Платёж за готовность и за измеримое снижение вероятности/масштаба ущерба.</w:t>
            </w:r>
          </w:p>
        </w:tc>
      </w:tr>
      <w:tr>
        <w:tc>
          <w:tcPr>
            <w:tcW w:type="dxa" w:w="21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Восстановление</w:t>
            </w:r>
          </w:p>
        </w:tc>
        <w:tc>
          <w:tcPr>
            <w:tcW w:type="dxa" w:w="36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Природные и климатические фонды, гранты, результативные контракты.</w:t>
            </w:r>
          </w:p>
        </w:tc>
        <w:tc>
          <w:tcPr>
            <w:tcW w:type="dxa" w:w="366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Baseline, дополнительность, отсутствие переноса нагрузки, независимая верификация.</w:t>
            </w:r>
          </w:p>
        </w:tc>
      </w:tr>
      <w:tr>
        <w:tc>
          <w:tcPr>
            <w:tcW w:type="dxa" w:w="21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Местная экономика</w:t>
            </w:r>
          </w:p>
        </w:tc>
        <w:tc>
          <w:tcPr>
            <w:tcW w:type="dxa" w:w="36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Микрогранты, закупки у сообществ, Ganga Gram, кооперативы.</w:t>
            </w:r>
          </w:p>
        </w:tc>
        <w:tc>
          <w:tcPr>
            <w:tcW w:type="dxa" w:w="366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Доход связан с поддержанием функции биоценоза, а не с разовой кампанией.</w:t>
            </w:r>
          </w:p>
        </w:tc>
      </w:tr>
    </w:tbl>
    <w:p>
      <w:pPr>
        <w:pStyle w:val="Heading2"/>
      </w:pPr>
      <w:r>
        <w:t>Платёжная логика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t>20–30% — готовность и базовая линия; 40–60% — завершённое действие; 20–30% — подтверждённый природный результат и устойчивость после сезона.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t>Точная доля определяется конкурсом и риском; это проектная модель, не действующая бюджетная норма.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t>При ухудшении смежного баланса платёж приостанавливается до корректировки.</w:t>
      </w:r>
    </w:p>
    <w:p>
      <w:r>
        <w:br w:type="page"/>
      </w:r>
    </w:p>
    <w:p>
      <w:pPr>
        <w:pStyle w:val="Eyebrow"/>
      </w:pPr>
      <w:r>
        <w:t>16  /  ДОРОЖНАЯ КАРТА</w:t>
      </w:r>
    </w:p>
    <w:p>
      <w:pPr>
        <w:pStyle w:val="Heading1"/>
        <w:pBdr>
          <w:bottom w:val="single" w:sz="10" w:space="2" w:color="65BBD4"/>
        </w:pBdr>
      </w:pPr>
      <w:r>
        <w:t>2026–2030: от одного створа к совместимой сети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4700"/>
        <w:gridCol w:w="2860"/>
      </w:tblGrid>
      <w:tr>
        <w:trPr>
          <w:tblHeader w:val="true"/>
        </w:trP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163B59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  <w:t>Период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163B59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  <w:t>Результат</w:t>
            </w:r>
          </w:p>
        </w:tc>
        <w:tc>
          <w:tcPr>
            <w:tcW w:type="dxa" w:w="28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163B59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  <w:t>Контрольная точка</w:t>
            </w:r>
          </w:p>
        </w:tc>
      </w:tr>
      <w:tr>
        <w:tc>
          <w:tcPr>
            <w:tcW w:type="dxa" w:w="18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0–100 дней</w:t>
            </w:r>
          </w:p>
        </w:tc>
        <w:tc>
          <w:tcPr>
            <w:tcW w:type="dxa" w:w="47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Мандат, створ Ганга, российский водосбор, владельцы данных, паспорт, 12 KPI, карта рисков.</w:t>
            </w:r>
          </w:p>
        </w:tc>
        <w:tc>
          <w:tcPr>
            <w:tcW w:type="dxa" w:w="286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Подписанный пилотный протокол и опубликованная базовая линия.</w:t>
            </w:r>
          </w:p>
        </w:tc>
      </w:tr>
      <w:tr>
        <w:tc>
          <w:tcPr>
            <w:tcW w:type="dxa" w:w="18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4–12 месяцев</w:t>
            </w:r>
          </w:p>
        </w:tc>
        <w:tc>
          <w:tcPr>
            <w:tcW w:type="dxa" w:w="47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Датчики, лабораторный QA/QC, реестр источников, MVP цифрового двойника и Счётной книги.</w:t>
            </w:r>
          </w:p>
        </w:tc>
        <w:tc>
          <w:tcPr>
            <w:tcW w:type="dxa" w:w="286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Проверенный сигнал проходит полный 13-фазный цикл.</w:t>
            </w:r>
          </w:p>
        </w:tc>
      </w:tr>
      <w:tr>
        <w:tc>
          <w:tcPr>
            <w:tcW w:type="dxa" w:w="18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12–24 месяца</w:t>
            </w:r>
          </w:p>
        </w:tc>
        <w:tc>
          <w:tcPr>
            <w:tcW w:type="dxa" w:w="47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Пакеты вода–почва–отходы–биота; ECO‑PPA; участие сообществ; независимая проверка.</w:t>
            </w:r>
          </w:p>
        </w:tc>
        <w:tc>
          <w:tcPr>
            <w:tcW w:type="dxa" w:w="286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Измеримое снижение нагрузки без переноса проблемы.</w:t>
            </w:r>
          </w:p>
        </w:tc>
      </w:tr>
      <w:tr>
        <w:tc>
          <w:tcPr>
            <w:tcW w:type="dxa" w:w="18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24–36 месяцев</w:t>
            </w:r>
          </w:p>
        </w:tc>
        <w:tc>
          <w:tcPr>
            <w:tcW w:type="dxa" w:w="47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Ганг–Волга школа, Арктика–Гималаи, агропочвы, леса и города.</w:t>
            </w:r>
          </w:p>
        </w:tc>
        <w:tc>
          <w:tcPr>
            <w:tcW w:type="dxa" w:w="286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Не менее трёх совместимых паспортов биоценоза.</w:t>
            </w:r>
          </w:p>
        </w:tc>
      </w:tr>
      <w:tr>
        <w:tc>
          <w:tcPr>
            <w:tcW w:type="dxa" w:w="18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36–48 месяцев</w:t>
            </w:r>
          </w:p>
        </w:tc>
        <w:tc>
          <w:tcPr>
            <w:tcW w:type="dxa" w:w="47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Федеративный обмен показателями, сертифицированные методы, каталог технологий.</w:t>
            </w:r>
          </w:p>
        </w:tc>
        <w:tc>
          <w:tcPr>
            <w:tcW w:type="dxa" w:w="286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Решение о масштабировании в регионы двух стран и BRICS.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90"/>
        <w:gridCol w:w="9170"/>
      </w:tblGrid>
      <w:tr>
        <w:tc>
          <w:tcPr>
            <w:tcW w:type="dxa" w:w="19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65BBD4"/>
          </w:tcPr>
          <w:p>
            <w:r/>
          </w:p>
        </w:tc>
        <w:tc>
          <w:tcPr>
            <w:tcW w:type="dxa" w:w="917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EAF5F8"/>
          </w:tcPr>
          <w:p>
            <w:pPr>
              <w:pStyle w:val="Callout"/>
            </w:pPr>
            <w:r>
              <w:rPr>
                <w:b/>
              </w:rPr>
              <w:t>Критерий перехода</w:t>
            </w:r>
          </w:p>
          <w:p>
            <w:pPr>
              <w:pStyle w:val="Small"/>
              <w:spacing w:after="0"/>
            </w:pPr>
            <w:r>
              <w:t>Новая стадия финансируется только после независимой проверки предыдущей. Масштабирование не должно опережать доказательство причинной связи.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Eyebrow"/>
      </w:pPr>
      <w:r>
        <w:t>17  /  ПОКАЗАТЕЛИ</w:t>
      </w:r>
    </w:p>
    <w:p>
      <w:pPr>
        <w:pStyle w:val="Heading1"/>
        <w:pBdr>
          <w:bottom w:val="single" w:sz="10" w:space="2" w:color="65BBD4"/>
        </w:pBdr>
      </w:pPr>
      <w:r>
        <w:t>12 KPI флагманского пилота Ганга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300"/>
        <w:gridCol w:w="7060"/>
      </w:tblGrid>
      <w:tr>
        <w:trPr>
          <w:tblHeader w:val="true"/>
        </w:trP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163B59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  <w:t>Блок</w:t>
            </w:r>
          </w:p>
        </w:tc>
        <w:tc>
          <w:tcPr>
            <w:tcW w:type="dxa" w:w="70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163B59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  <w:t>Показатели</w:t>
            </w:r>
          </w:p>
        </w:tc>
      </w:tr>
      <w:tr>
        <w:tc>
          <w:tcPr>
            <w:tcW w:type="dxa" w:w="23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Вода</w:t>
            </w:r>
          </w:p>
        </w:tc>
        <w:tc>
          <w:tcPr>
            <w:tcW w:type="dxa" w:w="706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1) DO/BOD/COD и целевые загрязнители; 2) доля времени в целевом классе; 3) масса предотвращённой нагрузки.</w:t>
            </w:r>
          </w:p>
        </w:tc>
      </w:tr>
      <w:tr>
        <w:tc>
          <w:tcPr>
            <w:tcW w:type="dxa" w:w="23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Почва и пойма</w:t>
            </w:r>
          </w:p>
        </w:tc>
        <w:tc>
          <w:tcPr>
            <w:tcW w:type="dxa" w:w="706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4) органический углерод/инфильтрация; 5) вынос N/P и наносов; 6) площадь восстановленных буферов.</w:t>
            </w:r>
          </w:p>
        </w:tc>
      </w:tr>
      <w:tr>
        <w:tc>
          <w:tcPr>
            <w:tcW w:type="dxa" w:w="23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Биота</w:t>
            </w:r>
          </w:p>
        </w:tc>
        <w:tc>
          <w:tcPr>
            <w:tcW w:type="dxa" w:w="706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7) индекс eDNA/макрозообентоса; 8) состояние индикаторных видов и местообитаний.</w:t>
            </w:r>
          </w:p>
        </w:tc>
      </w:tr>
      <w:tr>
        <w:tc>
          <w:tcPr>
            <w:tcW w:type="dxa" w:w="23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Отходы</w:t>
            </w:r>
          </w:p>
        </w:tc>
        <w:tc>
          <w:tcPr>
            <w:tcW w:type="dxa" w:w="706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9) предотвращённый пластик и нелегальные сбросы; 10) безопасное обращение с илом.</w:t>
            </w:r>
          </w:p>
        </w:tc>
      </w:tr>
      <w:tr>
        <w:tc>
          <w:tcPr>
            <w:tcW w:type="dxa" w:w="23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Управление</w:t>
            </w:r>
          </w:p>
        </w:tc>
        <w:tc>
          <w:tcPr>
            <w:tcW w:type="dxa" w:w="706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11) время «сигнал → подтверждение → действие»; 12) доля записей с полной трассировкой и независимой проверкой.</w:t>
            </w:r>
          </w:p>
        </w:tc>
      </w:tr>
    </w:tbl>
    <w:p>
      <w:pPr>
        <w:pStyle w:val="Heading2"/>
      </w:pPr>
      <w:r>
        <w:t>К KPI добавляются защитные метрики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t>здоровье и санитарный риск населения;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t>стоимость жизненного цикла и надёжность эксплуатации;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t>доход и участие местных сообществ;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t>углеродный и воздушный след решения;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t>жалобы, конфликты землепользования и соблюдение прав.</w:t>
      </w:r>
    </w:p>
    <w:p>
      <w:r>
        <w:br w:type="page"/>
      </w:r>
    </w:p>
    <w:p>
      <w:pPr>
        <w:pStyle w:val="Eyebrow"/>
      </w:pPr>
      <w:r>
        <w:t>18  /  РЕШЕНИЕ</w:t>
      </w:r>
    </w:p>
    <w:p>
      <w:pPr>
        <w:pStyle w:val="Heading1"/>
        <w:pBdr>
          <w:bottom w:val="single" w:sz="10" w:space="2" w:color="65BBD4"/>
        </w:pBdr>
      </w:pPr>
      <w:r>
        <w:t>Первый пакет на 100 дней</w:t>
      </w:r>
    </w:p>
    <w:p>
      <w:pPr>
        <w:spacing w:after="100" w:line="290" w:lineRule="auto"/>
        <w:jc w:val="left"/>
        <w:numPr>
          <w:ilvl w:val="0"/>
          <w:numId w:val="12"/>
        </w:numPr>
      </w:pPr>
      <w:r>
        <w:rPr>
          <w:b/>
        </w:rPr>
        <w:t xml:space="preserve">Назначить совместную группу — </w:t>
      </w:r>
      <w:r>
        <w:t>по биоценозам и бассейновому мониторингу в рамках существующих механизмов науки, климата и экономического сотрудничества.</w:t>
      </w:r>
    </w:p>
    <w:p>
      <w:pPr>
        <w:spacing w:after="100" w:line="290" w:lineRule="auto"/>
        <w:jc w:val="left"/>
        <w:numPr>
          <w:ilvl w:val="0"/>
          <w:numId w:val="12"/>
        </w:numPr>
      </w:pPr>
      <w:r>
        <w:rPr>
          <w:b/>
        </w:rPr>
        <w:t xml:space="preserve">Выбрать участок Ганга — </w:t>
      </w:r>
      <w:r>
        <w:t>с сочетанием городского, промышленного и аграрного давления, доступными данными NMCG и заинтересованными местными органами.</w:t>
      </w:r>
    </w:p>
    <w:p>
      <w:pPr>
        <w:spacing w:after="100" w:line="290" w:lineRule="auto"/>
        <w:jc w:val="left"/>
        <w:numPr>
          <w:ilvl w:val="0"/>
          <w:numId w:val="12"/>
        </w:numPr>
      </w:pPr>
      <w:r>
        <w:rPr>
          <w:b/>
        </w:rPr>
        <w:t xml:space="preserve">Выбрать российский полигон — </w:t>
      </w:r>
      <w:r>
        <w:t>не как «копию Ганга», а как референс для методов мониторинга, очистки, почв и доказательства результата.</w:t>
      </w:r>
    </w:p>
    <w:p>
      <w:pPr>
        <w:spacing w:after="100" w:line="290" w:lineRule="auto"/>
        <w:jc w:val="left"/>
        <w:numPr>
          <w:ilvl w:val="0"/>
          <w:numId w:val="12"/>
        </w:numPr>
      </w:pPr>
      <w:r>
        <w:rPr>
          <w:b/>
        </w:rPr>
        <w:t xml:space="preserve">Зафиксировать базовую линию — </w:t>
      </w:r>
      <w:r>
        <w:t>одна методика, сезонность, контрольные участки, неопределённость, права на данные и публичная версия.</w:t>
      </w:r>
    </w:p>
    <w:p>
      <w:pPr>
        <w:spacing w:after="100" w:line="290" w:lineRule="auto"/>
        <w:jc w:val="left"/>
        <w:numPr>
          <w:ilvl w:val="0"/>
          <w:numId w:val="12"/>
        </w:numPr>
      </w:pPr>
      <w:r>
        <w:rPr>
          <w:b/>
        </w:rPr>
        <w:t xml:space="preserve">Запустить три быстрых пакета — </w:t>
      </w:r>
      <w:r>
        <w:t>источники загрязнения; вода/очистные; почва/агростоки — с параллельной биотической и социальной оценкой.</w:t>
      </w:r>
    </w:p>
    <w:p>
      <w:pPr>
        <w:spacing w:after="100" w:line="290" w:lineRule="auto"/>
        <w:jc w:val="left"/>
        <w:numPr>
          <w:ilvl w:val="0"/>
          <w:numId w:val="12"/>
        </w:numPr>
      </w:pPr>
      <w:r>
        <w:rPr>
          <w:b/>
        </w:rPr>
        <w:t xml:space="preserve">Подготовить ECO‑PPA — </w:t>
      </w:r>
      <w:r>
        <w:t>контракт готовности и результата с независимой верификацией, O&amp;M и запретом переноса нагрузки.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90"/>
        <w:gridCol w:w="9170"/>
      </w:tblGrid>
      <w:tr>
        <w:tc>
          <w:tcPr>
            <w:tcW w:type="dxa" w:w="19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2F7D68"/>
          </w:tcPr>
          <w:p>
            <w:r/>
          </w:p>
        </w:tc>
        <w:tc>
          <w:tcPr>
            <w:tcW w:type="dxa" w:w="917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EAF4EF"/>
          </w:tcPr>
          <w:p>
            <w:pPr>
              <w:pStyle w:val="Callout"/>
            </w:pPr>
            <w:r>
              <w:rPr>
                <w:b/>
              </w:rPr>
              <w:t>Решение, которое требуется</w:t>
            </w:r>
          </w:p>
          <w:p>
            <w:pPr>
              <w:pStyle w:val="Small"/>
              <w:spacing w:after="0"/>
            </w:pPr>
            <w:r>
              <w:t>Одобрить разработку межведомственного паспорта пилота «Ганг: вода — почва — биоценоз» и назначить российских и индийских координаторов для подготовки совместного ТЭО.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Eyebrow"/>
      </w:pPr>
      <w:r>
        <w:t>19  /  ИСТОЧНИКИ</w:t>
      </w:r>
    </w:p>
    <w:p>
      <w:pPr>
        <w:pStyle w:val="Heading1"/>
        <w:pBdr>
          <w:bottom w:val="single" w:sz="10" w:space="2" w:color="65BBD4"/>
        </w:pBdr>
      </w:pPr>
      <w:r>
        <w:t>Основные официальные материалы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500"/>
        <w:gridCol w:w="5660"/>
        <w:gridCol w:w="3200"/>
      </w:tblGrid>
      <w:tr>
        <w:trPr>
          <w:tblHeader w:val="true"/>
        </w:trP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163B59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  <w:t>№</w:t>
            </w:r>
          </w:p>
        </w:tc>
        <w:tc>
          <w:tcPr>
            <w:tcW w:type="dxa" w:w="56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163B59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  <w:t>Материал</w:t>
            </w:r>
          </w:p>
        </w:tc>
        <w:tc>
          <w:tcPr>
            <w:tcW w:type="dxa" w:w="32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  <w:shd w:fill="163B59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  <w:t>Ссылка</w:t>
            </w:r>
          </w:p>
        </w:tc>
      </w:tr>
      <w:tr>
        <w:tc>
          <w:tcPr>
            <w:tcW w:type="dxa" w:w="5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1</w:t>
            </w:r>
          </w:p>
        </w:tc>
        <w:tc>
          <w:tcPr>
            <w:tcW w:type="dxa" w:w="566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Press Information Bureau, Government of India. Joint Statement following the 23rd India–Russia Annual Summit, 5 December 2025.</w:t>
            </w:r>
          </w:p>
        </w:tc>
        <w:tc>
          <w:tcPr>
            <w:tcW w:type="dxa" w:w="32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https://www.pib.gov.in/PressReleasePage.aspx?PRID=2199494&amp;lang=2&amp;reg=3</w:t>
            </w:r>
          </w:p>
        </w:tc>
      </w:tr>
      <w:tr>
        <w:tc>
          <w:tcPr>
            <w:tcW w:type="dxa" w:w="5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2</w:t>
            </w:r>
          </w:p>
        </w:tc>
        <w:tc>
          <w:tcPr>
            <w:tcW w:type="dxa" w:w="566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Press Information Bureau. Joint Statement following the 22nd India–Russia Annual Summit, 9 July 2024.</w:t>
            </w:r>
          </w:p>
        </w:tc>
        <w:tc>
          <w:tcPr>
            <w:tcW w:type="dxa" w:w="32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https://www.pib.gov.in/PressReleasePage.aspx?PRID=2031946</w:t>
            </w:r>
          </w:p>
        </w:tc>
      </w:tr>
      <w:tr>
        <w:tc>
          <w:tcPr>
            <w:tcW w:type="dxa" w:w="5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3</w:t>
            </w:r>
          </w:p>
        </w:tc>
        <w:tc>
          <w:tcPr>
            <w:tcW w:type="dxa" w:w="566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National Mission for Clean Ganga. Namami Gange Programme.</w:t>
            </w:r>
          </w:p>
        </w:tc>
        <w:tc>
          <w:tcPr>
            <w:tcW w:type="dxa" w:w="32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https://nmcg.nic.in/NamamiGanga.aspx</w:t>
            </w:r>
          </w:p>
        </w:tc>
      </w:tr>
      <w:tr>
        <w:tc>
          <w:tcPr>
            <w:tcW w:type="dxa" w:w="5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4</w:t>
            </w:r>
          </w:p>
        </w:tc>
        <w:tc>
          <w:tcPr>
            <w:tcW w:type="dxa" w:w="566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National Mission for Clean Ganga. Aquatic Biodiversity Conservation in Ganga River Basin.</w:t>
            </w:r>
          </w:p>
        </w:tc>
        <w:tc>
          <w:tcPr>
            <w:tcW w:type="dxa" w:w="32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https://nmcg.nic.in/AboutBio.aspx</w:t>
            </w:r>
          </w:p>
        </w:tc>
      </w:tr>
      <w:tr>
        <w:tc>
          <w:tcPr>
            <w:tcW w:type="dxa" w:w="5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5</w:t>
            </w:r>
          </w:p>
        </w:tc>
        <w:tc>
          <w:tcPr>
            <w:tcW w:type="dxa" w:w="566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Press Information Bureau. Targets achieved under Namami Gange Mission, 31 July 2025.</w:t>
            </w:r>
          </w:p>
        </w:tc>
        <w:tc>
          <w:tcPr>
            <w:tcW w:type="dxa" w:w="32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https://www.pib.gov.in/PressReleasePage.aspx?PRID=2150716&amp;lang=2&amp;reg=3</w:t>
            </w:r>
          </w:p>
        </w:tc>
      </w:tr>
      <w:tr>
        <w:tc>
          <w:tcPr>
            <w:tcW w:type="dxa" w:w="5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6</w:t>
            </w:r>
          </w:p>
        </w:tc>
        <w:tc>
          <w:tcPr>
            <w:tcW w:type="dxa" w:w="566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Press Information Bureau. Progress under Namami Gange Programme, 2 April 2026.</w:t>
            </w:r>
          </w:p>
        </w:tc>
        <w:tc>
          <w:tcPr>
            <w:tcW w:type="dxa" w:w="32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https://www.pib.gov.in/PressReleasePage.aspx?PRID=2248377&amp;lang=2&amp;reg=3</w:t>
            </w:r>
          </w:p>
        </w:tc>
      </w:tr>
      <w:tr>
        <w:tc>
          <w:tcPr>
            <w:tcW w:type="dxa" w:w="5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7</w:t>
            </w:r>
          </w:p>
        </w:tc>
        <w:tc>
          <w:tcPr>
            <w:tcW w:type="dxa" w:w="566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Правительство Российской Федерации. Национальный проект «Экологическое благополучие».</w:t>
            </w:r>
          </w:p>
        </w:tc>
        <w:tc>
          <w:tcPr>
            <w:tcW w:type="dxa" w:w="32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https://government.ru/info/54308/</w:t>
            </w:r>
          </w:p>
        </w:tc>
      </w:tr>
      <w:tr>
        <w:tc>
          <w:tcPr>
            <w:tcW w:type="dxa" w:w="5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8</w:t>
            </w:r>
          </w:p>
        </w:tc>
        <w:tc>
          <w:tcPr>
            <w:tcW w:type="dxa" w:w="566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Правительство Российской Федерации. Подготовка национального проекта «Экологическое благополучие», 9 октября 2024.</w:t>
            </w:r>
          </w:p>
        </w:tc>
        <w:tc>
          <w:tcPr>
            <w:tcW w:type="dxa" w:w="32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https://government.ru/news/52949/</w:t>
            </w:r>
          </w:p>
        </w:tc>
      </w:tr>
      <w:tr>
        <w:tc>
          <w:tcPr>
            <w:tcW w:type="dxa" w:w="5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9</w:t>
            </w:r>
          </w:p>
        </w:tc>
        <w:tc>
          <w:tcPr>
            <w:tcW w:type="dxa" w:w="566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Forest Survey of India. India State of Forest Report 2023.</w:t>
            </w:r>
          </w:p>
        </w:tc>
        <w:tc>
          <w:tcPr>
            <w:tcW w:type="dxa" w:w="32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https://fsi.nic.in/gallery&amp;type=166</w:t>
            </w:r>
          </w:p>
        </w:tc>
      </w:tr>
      <w:tr>
        <w:tc>
          <w:tcPr>
            <w:tcW w:type="dxa" w:w="5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10</w:t>
            </w:r>
          </w:p>
        </w:tc>
        <w:tc>
          <w:tcPr>
            <w:tcW w:type="dxa" w:w="566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National Biodiversity Authority of India. Mandate and NBSAP update materials.</w:t>
            </w:r>
          </w:p>
        </w:tc>
        <w:tc>
          <w:tcPr>
            <w:tcW w:type="dxa" w:w="32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https://www.nbaindia.org/</w:t>
            </w:r>
          </w:p>
        </w:tc>
      </w:tr>
      <w:tr>
        <w:tc>
          <w:tcPr>
            <w:tcW w:type="dxa" w:w="5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11</w:t>
            </w:r>
          </w:p>
        </w:tc>
        <w:tc>
          <w:tcPr>
            <w:tcW w:type="dxa" w:w="566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Convention on Biological Diversity. Kunming–Montreal Global Biodiversity Framework.</w:t>
            </w:r>
          </w:p>
        </w:tc>
        <w:tc>
          <w:tcPr>
            <w:tcW w:type="dxa" w:w="3200"/>
            <w:shd w:fill="FFFFFF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https://www.cbd.int/gbf</w:t>
            </w:r>
          </w:p>
        </w:tc>
      </w:tr>
      <w:tr>
        <w:tc>
          <w:tcPr>
            <w:tcW w:type="dxa" w:w="5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12</w:t>
            </w:r>
          </w:p>
        </w:tc>
        <w:tc>
          <w:tcPr>
            <w:tcW w:type="dxa" w:w="566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Ministry of Environment, Forest and Climate Change, India. National Mission on Himalayan Studies — grant guidelines 2024–25.</w:t>
            </w:r>
          </w:p>
        </w:tc>
        <w:tc>
          <w:tcPr>
            <w:tcW w:type="dxa" w:w="3200"/>
            <w:shd w:fill="F4F6F9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3" w:color="D8E2EA"/>
              <w:left w:val="single" w:sz="3" w:color="D8E2EA"/>
              <w:bottom w:val="single" w:sz="3" w:color="D8E2EA"/>
              <w:right w:val="single" w:sz="3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https://moef.gov.in/storage/tender/1728110920.pdf</w:t>
            </w:r>
          </w:p>
        </w:tc>
      </w:tr>
    </w:tbl>
    <w:p>
      <w:pPr>
        <w:pStyle w:val="Source"/>
        <w:spacing w:before="80" w:after="80"/>
      </w:pPr>
      <w:r>
        <w:t>Дата проверки веб-источников: 29.08.2026. Числовые показатели в проектном документе требуют повторной верификации перед официальным использованием.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5E6878"/>
        <w:sz w:val="18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Small"/>
      <w:jc w:val="left"/>
    </w:pPr>
    <w:r>
      <w:t>РОССИЯ — ИНДИЯ  /  БИОЦЕНОЗЫ  /  ПРОЕКТНАЯ КОНЦЕПЦИЯ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80"/>
        <w:spacing w:after="80" w:line="290" w:lineRule="auto"/>
      </w:pPr>
      <w:rPr>
        <w:color w:val="2E74B5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80"/>
        <w:spacing w:after="80" w:line="290" w:lineRule="auto"/>
      </w:pPr>
      <w:rPr>
        <w:color w:val="2E74B5"/>
      </w:rPr>
    </w:lvl>
  </w:abstractNum>
  <w:num w:numId="11">
    <w:abstractNumId w:val="10"/>
  </w:num>
  <w:abstractNum w:abstractNumId="11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80"/>
        <w:spacing w:after="80" w:line="290" w:lineRule="auto"/>
      </w:pPr>
      <w:rPr>
        <w:color w:val="2E74B5"/>
      </w:rPr>
    </w:lvl>
  </w:abstract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60" w:line="320" w:lineRule="auto"/>
      <w:jc w:val="both"/>
    </w:pPr>
    <w:rPr>
      <w:rFonts w:ascii="Calibri" w:hAnsi="Calibri"/>
      <w:color w:val="1720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Eyebrow">
    <w:name w:val="Eyebrow"/>
    <w:pPr>
      <w:spacing w:before="0" w:after="120" w:line="276" w:lineRule="auto"/>
      <w:jc w:val="left"/>
    </w:pPr>
    <w:rPr>
      <w:rFonts w:ascii="Calibri" w:hAnsi="Calibri"/>
      <w:b/>
      <w:color w:val="2E74B5"/>
      <w:sz w:val="18"/>
    </w:rPr>
  </w:style>
  <w:style w:type="paragraph" w:customStyle="1" w:styleId="Lead">
    <w:name w:val="Lead"/>
    <w:pPr>
      <w:spacing w:before="0" w:after="200" w:line="276" w:lineRule="auto"/>
      <w:jc w:val="left"/>
    </w:pPr>
    <w:rPr>
      <w:rFonts w:ascii="Calibri" w:hAnsi="Calibri"/>
      <w:b w:val="0"/>
      <w:color w:val="163B59"/>
      <w:sz w:val="26"/>
    </w:rPr>
  </w:style>
  <w:style w:type="paragraph" w:customStyle="1" w:styleId="Small">
    <w:name w:val="Small"/>
    <w:pPr>
      <w:spacing w:before="0" w:after="80" w:line="276" w:lineRule="auto"/>
      <w:jc w:val="left"/>
    </w:pPr>
    <w:rPr>
      <w:rFonts w:ascii="Calibri" w:hAnsi="Calibri"/>
      <w:b w:val="0"/>
      <w:color w:val="5E6878"/>
      <w:sz w:val="17"/>
    </w:rPr>
  </w:style>
  <w:style w:type="paragraph" w:customStyle="1" w:styleId="Source">
    <w:name w:val="Source"/>
    <w:pPr>
      <w:spacing w:before="0" w:after="80" w:line="276" w:lineRule="auto"/>
      <w:jc w:val="left"/>
    </w:pPr>
    <w:rPr>
      <w:rFonts w:ascii="Calibri" w:hAnsi="Calibri"/>
      <w:b w:val="0"/>
      <w:color w:val="5E6878"/>
      <w:sz w:val="16"/>
    </w:rPr>
  </w:style>
  <w:style w:type="paragraph" w:customStyle="1" w:styleId="Callout">
    <w:name w:val="Callout"/>
    <w:pPr>
      <w:spacing w:before="0" w:after="120" w:line="276" w:lineRule="auto"/>
      <w:jc w:val="left"/>
    </w:pPr>
    <w:rPr>
      <w:rFonts w:ascii="Calibri" w:hAnsi="Calibri"/>
      <w:b/>
      <w:color w:val="163B59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Россия — Индия. Биоценозы</dc:title>
  <dc:subject>Биосферное партнёрство и пилот Ганга</dc:subject>
  <dc:creator>Соколов Сергей Леонидович</dc:creator>
  <cp:keywords>Россия, Индия, Ганг, биоценозы, почва, вода, ЭКВИЛИБРИУМ, ECO-PPA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