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93764"/>
          <w:sz w:val="48"/>
        </w:rPr>
        <w:t>РОССИЯ</w:t>
        <w:br/>
        <w:t>АРХИВ СОХРАНЕНИЯ НАСЛЕДИЯ</w:t>
        <w:br/>
        <w:t>МЯГКАЯ СИЛА</w:t>
      </w:r>
    </w:p>
    <w:p>
      <w:pPr>
        <w:jc w:val="center"/>
      </w:pPr>
      <w:r>
        <w:rPr>
          <w:rFonts w:ascii="Arial" w:hAnsi="Arial"/>
          <w:color w:val="5A5A5A"/>
          <w:sz w:val="24"/>
        </w:rPr>
        <w:t>Концепция государственной системы сохранения, валидации, цифровизации и международного представления культурно-исторического наследия России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583680" cy="49377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оссия_архив_наследия_и_мягкая_сила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937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rial" w:hAnsi="Arial"/>
          <w:b/>
          <w:color w:val="962828"/>
          <w:sz w:val="22"/>
        </w:rPr>
        <w:t>Ключевая формула: Наследие = память × источник × право × данные × образование × доверие × международное влияние</w:t>
      </w:r>
    </w:p>
    <w:p>
      <w:r>
        <w:br w:type="page"/>
      </w:r>
    </w:p>
    <w:p>
      <w:r>
        <w:rPr>
          <w:rFonts w:ascii="Arial" w:hAnsi="Arial"/>
          <w:b/>
          <w:color w:val="193764"/>
          <w:sz w:val="40"/>
        </w:rPr>
        <w:t>1. Назначение системы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Архив сохранения наследия — это не просто хранилище документов. Это национальная инфраструктура памяти, доказательности, преемственности и культурной дипломатии.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Система должна объединить музейные, архивные, научные, образовательные, региональные, семейные и ведомственные фонды в единый управляемый контур.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Мягкая сила возникает не из лозунгов, а из доказуемой глубины культуры, качества знаний, доступности источников и способности России предлагать миру смыслы, образование и сотрудничество.</w:t>
      </w:r>
    </w:p>
    <w:p>
      <w:r>
        <w:rPr>
          <w:rFonts w:ascii="Arial" w:hAnsi="Arial"/>
          <w:b/>
          <w:color w:val="193764"/>
          <w:sz w:val="40"/>
        </w:rPr>
        <w:t>2. Архитектура: от фондов к влиянию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F4E79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Контур</w:t>
            </w:r>
          </w:p>
        </w:tc>
        <w:tc>
          <w:tcPr>
            <w:tcW w:type="dxa" w:w="2592"/>
            <w:shd w:fill="1F4E79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Содержание</w:t>
            </w:r>
          </w:p>
        </w:tc>
        <w:tc>
          <w:tcPr>
            <w:tcW w:type="dxa" w:w="2592"/>
            <w:shd w:fill="1F4E79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Инструменты</w:t>
            </w:r>
          </w:p>
        </w:tc>
        <w:tc>
          <w:tcPr>
            <w:tcW w:type="dxa" w:w="2592"/>
            <w:shd w:fill="1F4E79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Результат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Фонды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Рукописи, документы, фото, кино, аудио, предметы, научные данные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Инвентаризация, паспортизация, реставрация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Сохраненная память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Валидация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Подлинность, происхождение, права, версии, контекст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Экспертиза, PROV-цепочки, реестры источников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Доверие к материалам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Цифровой архив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Оцифровка, метаданные, долгосрочное хранение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OAIS, PREMIS, резервирование, API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Доступ и сохранность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Образование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Школы, вузы, наставничество, культурные курсы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Порталы, учебные модули, экспедиции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Передача наследия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Мягкая сила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Культурная дипломатия, международные проекты, языковая политика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Выставки, обмены, медиа, переводческие программы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Гуманитарное влияние</w:t>
            </w:r>
          </w:p>
        </w:tc>
      </w:tr>
    </w:tbl>
    <w:p/>
    <w:p>
      <w:r>
        <w:rPr>
          <w:rFonts w:ascii="Arial" w:hAnsi="Arial"/>
          <w:b/>
          <w:color w:val="193764"/>
          <w:sz w:val="40"/>
        </w:rPr>
        <w:t>3. Основные модули Архива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1. Единый реестр наследия: каталог фондов, объектов, коллекций, персоналий, событий, мест и прав.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2. Паспорт источника: происхождение, владелец, состояние, правообладатель, цифровые копии, уровень доверия.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3. Центр валидации: историческая, научная, юридическая, лингвистическая и техническая экспертиза.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4. Цифровое хранилище: архивные мастер-копии, пользовательские копии, резервные контуры и контроль целостности.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5. Образовательный портал: курсы, атласы, библиотеки, интерактивные карты, методики работы с наследием.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6. Международный контур: переводы, совместные проекты, выставки, культурные миссии, диалог цивилизаций.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7. Аналитика и ИИ: поиск связей, тематические графы, реконструкция контекстов, рекомендации для исследователей.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8. Архив семейной и региональной памяти: родовые фонды, локальная история, память малых городов, ремесел и школ.</w:t>
      </w:r>
    </w:p>
    <w:p>
      <w:r>
        <w:rPr>
          <w:rFonts w:ascii="Arial" w:hAnsi="Arial"/>
          <w:b/>
          <w:color w:val="193764"/>
          <w:sz w:val="40"/>
        </w:rPr>
        <w:t>4. Мягкая сила: практический механизм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Россия усиливает гуманитарное влияние, когда превращает наследие в доступную, проверенную и современно представленную систему знаний.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Главные каналы: русский язык, культура, наука, образование, архивы, кино, музейные коллекции, экспедиции, традиции народов России и международные программы сотрудничества.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Критически важно разделить пропаганду и долгосрочное влияние: мягкая сила работает через доверие, качество источников, полезность для партнёров и уважение к культурному многообразию.</w:t>
      </w:r>
    </w:p>
    <w:p>
      <w:r>
        <w:rPr>
          <w:rFonts w:ascii="Arial" w:hAnsi="Arial"/>
          <w:b/>
          <w:color w:val="193764"/>
          <w:sz w:val="40"/>
        </w:rPr>
        <w:t>5. Реестр показателей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9E2A2B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3456"/>
            <w:shd w:fill="9E2A2B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Как измерять</w:t>
            </w:r>
          </w:p>
        </w:tc>
        <w:tc>
          <w:tcPr>
            <w:tcW w:type="dxa" w:w="3456"/>
            <w:shd w:fill="9E2A2B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Смысл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Оцифрованные фонды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% фондов с цифровыми копиями и метаданными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Доступность наследия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Проверенные источники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доля объектов с экспертным паспортом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Доверие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Образовательное использование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число курсов, школ, подключенных материалов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Передача памяти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Международные проекты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количество совместных выставок, переводов, исследований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Мягкая сила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Региональное покрытие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количество субъектов РФ и муниципальных архивов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Единство пространства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111111"/>
                <w:sz w:val="17"/>
              </w:rPr>
              <w:t>Целостность данных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резервные копии, контроль хэшей, аудит изменений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111111"/>
                <w:sz w:val="17"/>
              </w:rPr>
              <w:t>Защита наследия</w:t>
            </w:r>
          </w:p>
        </w:tc>
      </w:tr>
    </w:tbl>
    <w:p>
      <w:r>
        <w:rPr>
          <w:rFonts w:ascii="Arial" w:hAnsi="Arial"/>
          <w:b/>
          <w:color w:val="193764"/>
          <w:sz w:val="40"/>
        </w:rPr>
        <w:t>6. Дорожная карта запуска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Этап 1. Инвентаризация: определить ядро фондов, пилотные регионы, ответственных хранителей и приоритетные коллекции.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Этап 2. Паспортизация: создать единый паспорт объекта наследия и реестр прав/источников.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Этап 3. Цифровизация: развернуть хранилище, стандарты метаданных, резервирование, систему доступа и аудит изменений.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Этап 4. Валидация: сформировать экспертные советы, лаборатории проверки, протоколы подлинности и цепочки происхождения.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Этап 5. Образование и международное представление: собрать курсы, выставки, медиапакеты, переводы и партнерские программы.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Этап 6. Масштабирование: подключить регионы, академические институты, музеи, библиотеки, университеты, семейные и именные фонды.</w:t>
      </w:r>
    </w:p>
    <w:p>
      <w:r>
        <w:rPr>
          <w:rFonts w:ascii="Arial" w:hAnsi="Arial"/>
          <w:b/>
          <w:color w:val="193764"/>
          <w:sz w:val="40"/>
        </w:rPr>
        <w:t>7. Связь с ЭКВИЛИБРИУМ и системой балансов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Архив наследия становится одним из контуров системы балансов: культурный, исторический, образовательный, научный, языковой, региональный и международный баланс.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ЭКВИЛИБРИУМ может использовать Архив как источник проверенных данных, смысловых связей, наследственных линий, карт институтов, школ, персоналий и территорий.</w:t>
      </w:r>
    </w:p>
    <w:p>
      <w:pPr>
        <w:ind w:left="360" w:hanging="216"/>
      </w:pPr>
      <w:r>
        <w:rPr>
          <w:rFonts w:ascii="Arial" w:hAnsi="Arial"/>
          <w:b/>
          <w:sz w:val="21"/>
        </w:rPr>
        <w:t xml:space="preserve">• </w:t>
      </w:r>
      <w:r>
        <w:rPr>
          <w:rFonts w:ascii="Arial" w:hAnsi="Arial"/>
          <w:sz w:val="21"/>
        </w:rPr>
        <w:t>Итоговая цель — не накопление файлов, а управляемая цивилизационная память: знание происхождения, понимание преемственности и способность строить будущее на проверенной основе.</w:t>
      </w:r>
    </w:p>
    <w:p>
      <w:r>
        <w:rPr>
          <w:rFonts w:ascii="Arial" w:hAnsi="Arial"/>
          <w:b/>
          <w:color w:val="193764"/>
          <w:sz w:val="40"/>
        </w:rPr>
        <w:t>8. Итоговая модель</w:t>
      </w:r>
    </w:p>
    <w:p>
      <w:pPr>
        <w:jc w:val="center"/>
      </w:pPr>
      <w:r>
        <w:rPr>
          <w:rFonts w:ascii="Arial" w:hAnsi="Arial"/>
          <w:b/>
          <w:color w:val="193764"/>
          <w:sz w:val="26"/>
        </w:rPr>
        <w:t>Память → Валидация → Цифровой архив → Образование → Культура → Международное доверие → Мягкая сила</w:t>
      </w:r>
    </w:p>
    <w:sectPr w:rsidR="00FC693F" w:rsidRPr="0006063C" w:rsidSect="00034616"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>Россия. Архив сохранения наследия. Мягкая сила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