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Arial" w:hAnsi="Arial"/>
          <w:b/>
          <w:sz w:val="56"/>
        </w:rPr>
        <w:t>ПРОФСОЮЗ 4.0</w:t>
      </w:r>
    </w:p>
    <w:p>
      <w:pPr>
        <w:jc w:val="center"/>
      </w:pPr>
      <w:r>
        <w:rPr>
          <w:rFonts w:ascii="Arial" w:hAnsi="Arial"/>
          <w:sz w:val="32"/>
        </w:rPr>
        <w:t>Национальная программа модернизации профсоюзного движения</w:t>
      </w:r>
    </w:p>
    <w:p>
      <w:pPr>
        <w:spacing w:after="100"/>
        <w:jc w:val="center"/>
      </w:pPr>
      <w:r>
        <w:rPr>
          <w:rFonts w:ascii="Arial" w:hAnsi="Arial"/>
          <w:b w:val="0"/>
          <w:i/>
          <w:sz w:val="24"/>
        </w:rPr>
        <w:t>Стратегическая концепция до 2035 года</w:t>
      </w:r>
    </w:p>
    <w:p>
      <w:pPr>
        <w:spacing w:after="100"/>
        <w:jc w:val="center"/>
      </w:pPr>
      <w:r>
        <w:rPr>
          <w:rFonts w:ascii="Arial" w:hAnsi="Arial"/>
          <w:b w:val="0"/>
          <w:i w:val="0"/>
          <w:sz w:val="20"/>
        </w:rPr>
        <w:t>Версия 1.0 • 2026</w:t>
      </w:r>
    </w:p>
    <w:p>
      <w:r>
        <w:br w:type="page"/>
      </w:r>
    </w:p>
    <w:p>
      <w:pPr>
        <w:pStyle w:val="Heading1"/>
      </w:pPr>
      <w:r>
        <w:t>1. Резюме</w:t>
      </w:r>
    </w:p>
    <w:p>
      <w:pPr>
        <w:spacing w:after="100"/>
      </w:pPr>
      <w:r>
        <w:rPr>
          <w:rFonts w:ascii="Arial" w:hAnsi="Arial"/>
          <w:b w:val="0"/>
          <w:i w:val="0"/>
        </w:rPr>
        <w:t>«Профсоюз 4.0» — модель профсоюзного движения нового поколения, в которой профсоюз сохраняет свою базовую функцию защиты трудовых прав, но одновременно становится институтом развития человека труда, оператором социальных сервисов, участником повышения производительности, центром компетенций и равноправным партнером государства и работодателей.</w:t>
      </w:r>
    </w:p>
    <w:p>
      <w:pPr>
        <w:spacing w:after="100"/>
      </w:pPr>
      <w:r>
        <w:rPr>
          <w:rFonts w:ascii="Arial" w:hAnsi="Arial"/>
          <w:b w:val="0"/>
          <w:i w:val="0"/>
        </w:rPr>
        <w:t>Ключевой переход программы: от преимущественно реактивной защиты интересов работников — к постоянному сопровождению человека на протяжении всей профессиональной траектории: обучение, занятость, безопасность, здоровье, доход, участие в улучшении предприятия и социальная устойчивость.</w:t>
      </w:r>
    </w:p>
    <w:p>
      <w:pPr>
        <w:pStyle w:val="Heading1"/>
      </w:pPr>
      <w:r>
        <w:t>2. Стратегическая цель</w:t>
      </w:r>
    </w:p>
    <w:p>
      <w:pPr>
        <w:spacing w:after="100"/>
      </w:pPr>
      <w:r>
        <w:rPr>
          <w:rFonts w:ascii="Arial" w:hAnsi="Arial"/>
          <w:b w:val="0"/>
          <w:i w:val="0"/>
        </w:rPr>
        <w:t>Создать к 2035 году современную, технологичную и экономически устойчивую систему профсоюзов, которая повышает качество труда и жизни, укрепляет социальное партнерство и обеспечивает работникам реальное участие в развитии предприятий, отраслей и территорий.</w:t>
      </w:r>
    </w:p>
    <w:p>
      <w:pPr>
        <w:pStyle w:val="Heading1"/>
      </w:pPr>
      <w:r>
        <w:t>3. Миссия</w:t>
      </w:r>
    </w:p>
    <w:p>
      <w:pPr>
        <w:spacing w:after="100"/>
      </w:pPr>
      <w:r>
        <w:rPr>
          <w:rFonts w:ascii="Arial" w:hAnsi="Arial"/>
          <w:b w:val="0"/>
          <w:i w:val="0"/>
        </w:rPr>
        <w:t>Защищать достоинство человека труда и создавать условия, при которых труд становится источником благополучия, развития, профессиональной реализации и общественного признания.</w:t>
      </w:r>
    </w:p>
    <w:p>
      <w:pPr>
        <w:pStyle w:val="Heading1"/>
      </w:pPr>
      <w:r>
        <w:t>4. Базовые принципы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Человек — главный капитал экономики.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Законность, прозрачность и доказательность решений.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Партнерство вместо хронической конфронтации.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Непрерывное развитие компетенций.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Цифровая доступность профсоюзных сервисов.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Равный доступ к защите и социальным возможностям.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Ответственность работодателя, работника и государства.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Измеримость результатов и социального эффекта.</w:t>
      </w:r>
    </w:p>
    <w:p>
      <w:pPr>
        <w:pStyle w:val="Heading1"/>
      </w:pPr>
      <w:r>
        <w:t>5. Новая роль профсоюза</w:t>
      </w:r>
    </w:p>
    <w:p>
      <w:pPr>
        <w:spacing w:after="100"/>
      </w:pPr>
      <w:r>
        <w:rPr>
          <w:rFonts w:ascii="Arial" w:hAnsi="Arial"/>
          <w:b w:val="0"/>
          <w:i w:val="0"/>
        </w:rPr>
        <w:t>Профсоюз 4.0 одновременно выполняет семь функций: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защитник трудовых и социальных прав;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медиатор и переговорная площадка;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центр развития компетенций;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оператор социальных и корпоративных программ;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участник повышения производительности и безопасности труда;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институт общественного контроля;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платформа участия работников в развитии предприятия.</w:t>
      </w:r>
    </w:p>
    <w:p>
      <w:pPr>
        <w:pStyle w:val="Heading1"/>
      </w:pPr>
      <w:r>
        <w:t>6. Архитектура Профсоюза 4.0</w:t>
      </w:r>
    </w:p>
    <w:p>
      <w:pPr>
        <w:pStyle w:val="Heading2"/>
      </w:pPr>
      <w:r>
        <w:t>6.1. Цифровое ядро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цифровой профсоюзный билет и единая учетная запись;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личный кабинет члена профсоюза;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электронные обращения и юридические консультации;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электронное голосование и опросы;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реестр коллективных договоров и соглашений;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аналитика обращений, рисков и условий труда.</w:t>
      </w:r>
    </w:p>
    <w:p>
      <w:pPr>
        <w:pStyle w:val="Heading2"/>
      </w:pPr>
      <w:r>
        <w:t>6.2. Центр защиты прав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юридическая помощь и представительство;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медиация и досудебное урегулирование;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поддержка коллективных переговоров;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типовые правовые документы и цифровой правовой помощник.</w:t>
      </w:r>
    </w:p>
    <w:p>
      <w:pPr>
        <w:pStyle w:val="Heading2"/>
      </w:pPr>
      <w:r>
        <w:t>6.3. Центр развития человека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диагностика профессиональных компетенций;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индивидуальные образовательные траектории;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переподготовка и повышение квалификации;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наставничество, карьерная навигация и кадровый резерв.</w:t>
      </w:r>
    </w:p>
    <w:p>
      <w:pPr>
        <w:pStyle w:val="Heading2"/>
      </w:pPr>
      <w:r>
        <w:t>6.4. Центр безопасности труда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цифровой мониторинг условий труда;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оценка производственных рисков;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профилактика травматизма и профзаболеваний;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общественный аудит охраны труда;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применение аналитики и ИИ для раннего выявления рисков.</w:t>
      </w:r>
    </w:p>
    <w:p>
      <w:pPr>
        <w:pStyle w:val="Heading2"/>
      </w:pPr>
      <w:r>
        <w:t>6.5. Социальная экосистема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здоровье и профилактика;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страховые и пенсионные программы;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семейная и жилищная поддержка;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спорт, отдых и санаторные программы;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финансовая грамотность и консультации.</w:t>
      </w:r>
    </w:p>
    <w:p>
      <w:pPr>
        <w:pStyle w:val="Heading2"/>
      </w:pPr>
      <w:r>
        <w:t>6.6. Экономика участия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механизмы участия работников в результатах предприятия;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программы рационализаторства и внутренних инициатив;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социальное предпринимательство и кооперация;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корпоративные программы долгосрочной мотивации.</w:t>
      </w:r>
    </w:p>
    <w:p>
      <w:pPr>
        <w:pStyle w:val="Heading2"/>
      </w:pPr>
      <w:r>
        <w:t>6.7. Аналитический контур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индекс качества трудовой среды;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рейтинг социально ответственных работодателей;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мониторинг заработной платы, текучести и дефицита кадров;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оценка социального эффекта коллективных договоров.</w:t>
      </w:r>
    </w:p>
    <w:p>
      <w:pPr>
        <w:pStyle w:val="Heading1"/>
      </w:pPr>
      <w:r>
        <w:t>7. Семь платформ Профсоюза 4.0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3286"/>
            <w:vAlign w:val="center"/>
            <w:shd w:fill="D9EAF7"/>
          </w:tcPr>
          <w:p>
            <w:r/>
            <w:r>
              <w:rPr>
                <w:rFonts w:ascii="Arial" w:hAnsi="Arial"/>
                <w:b/>
                <w:sz w:val="19"/>
              </w:rPr>
              <w:t>Платформа</w:t>
            </w:r>
          </w:p>
        </w:tc>
        <w:tc>
          <w:tcPr>
            <w:tcW w:type="dxa" w:w="3286"/>
            <w:vAlign w:val="center"/>
            <w:shd w:fill="D9EAF7"/>
          </w:tcPr>
          <w:p>
            <w:r/>
            <w:r>
              <w:rPr>
                <w:rFonts w:ascii="Arial" w:hAnsi="Arial"/>
                <w:b/>
                <w:sz w:val="19"/>
              </w:rPr>
              <w:t>Назначение</w:t>
            </w:r>
          </w:p>
        </w:tc>
        <w:tc>
          <w:tcPr>
            <w:tcW w:type="dxa" w:w="3286"/>
            <w:vAlign w:val="center"/>
            <w:shd w:fill="D9EAF7"/>
          </w:tcPr>
          <w:p>
            <w:r/>
            <w:r>
              <w:rPr>
                <w:rFonts w:ascii="Arial" w:hAnsi="Arial"/>
                <w:b/>
                <w:sz w:val="19"/>
              </w:rPr>
              <w:t>Ключевые сервисы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Защита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Правовая безопасность работника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Юристы, медиация, обращения, коллективные переговоры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Образование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Рост компетенций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Академия, переподготовка, ИИ-навыки, наставничество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Карьера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Профессиональная мобильность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Вакансии, портфолио, кадровый резерв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Здоровье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Сохранение трудового потенциала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Профилактика, медицина, спорт, психология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Благополучие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Социальная устойчивость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Страхование, жилье, семья, финансовая грамотность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Инновации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Участие работников в развитии производства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Акселератор инициатив, рационализаторство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Сообщество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Солидарность и вовлеченность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Клубы, молодежные советы, общественные проекты</w:t>
            </w:r>
          </w:p>
        </w:tc>
      </w:tr>
    </w:tbl>
    <w:p>
      <w:pPr>
        <w:pStyle w:val="Heading1"/>
      </w:pPr>
      <w:r>
        <w:t>8. Коллективный договор нового поколения</w:t>
      </w:r>
    </w:p>
    <w:p>
      <w:pPr>
        <w:spacing w:after="100"/>
      </w:pPr>
      <w:r>
        <w:rPr>
          <w:rFonts w:ascii="Arial" w:hAnsi="Arial"/>
          <w:b w:val="0"/>
          <w:i w:val="0"/>
        </w:rPr>
        <w:t>Профсоюз 4.0 предлагает расширить предмет коллективного договора. Помимо традиционных гарантий он может включать: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механизм индексации заработной платы;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показатели безопасности и качества трудовой среды;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обязательства работодателя по обучению работников;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программы участия работников в повышении производительности;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корпоративные пенсионные и страховые механизмы;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правила применения ИИ и автоматизации в отношении персонала;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процедуры переобучения при технологической трансформации;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показатели социального эффекта.</w:t>
      </w:r>
    </w:p>
    <w:p>
      <w:pPr>
        <w:pStyle w:val="Heading1"/>
      </w:pPr>
      <w:r>
        <w:t>9. Профсоюз и технологическая трансформация</w:t>
      </w:r>
    </w:p>
    <w:p>
      <w:pPr>
        <w:spacing w:after="100"/>
      </w:pPr>
      <w:r>
        <w:rPr>
          <w:rFonts w:ascii="Arial" w:hAnsi="Arial"/>
          <w:b w:val="0"/>
          <w:i w:val="0"/>
        </w:rPr>
        <w:t>Автоматизация и искусственный интеллект не должны рассматриваться исключительно как источник сокращения персонала. Задача профсоюза — обеспечить управляемый переход: предварительную оценку влияния технологий на занятость, переподготовку, создание новых рабочих ролей и справедливое распределение эффекта от роста производительности.</w:t>
      </w:r>
    </w:p>
    <w:p>
      <w:pPr>
        <w:pStyle w:val="Heading1"/>
      </w:pPr>
      <w:r>
        <w:t>10. Молодежный контур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молодежные профсоюзные советы;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школа молодых лидеров;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программы первого рабочего места;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стажировки и наставничество;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конкурсы производственных и социальных инициатив;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цифровое сообщество молодых специалистов.</w:t>
      </w:r>
    </w:p>
    <w:p>
      <w:pPr>
        <w:pStyle w:val="Heading1"/>
      </w:pPr>
      <w:r>
        <w:t>11. Модель социального партнерства</w:t>
      </w:r>
    </w:p>
    <w:p>
      <w:pPr>
        <w:spacing w:after="100"/>
      </w:pPr>
      <w:r>
        <w:rPr>
          <w:rFonts w:ascii="Arial" w:hAnsi="Arial"/>
          <w:b w:val="0"/>
          <w:i w:val="0"/>
        </w:rPr>
        <w:t>Профсоюз 4.0 строится на четырехстороннем взаимодействии: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работники и их объединения;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работодатели и отраслевые ассоциации;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государственные и муниципальные органы;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образовательные, научные и общественные институты.</w:t>
      </w:r>
    </w:p>
    <w:p>
      <w:pPr>
        <w:spacing w:after="100"/>
      </w:pPr>
      <w:r>
        <w:rPr>
          <w:rFonts w:ascii="Arial" w:hAnsi="Arial"/>
          <w:b w:val="0"/>
          <w:i w:val="0"/>
        </w:rPr>
        <w:t>Задача системы — переводить противоречия в переговорный процесс, а общие интересы — в совместные программы по занятости, производительности, охране труда, подготовке кадров и развитию территорий.</w:t>
      </w:r>
    </w:p>
    <w:p>
      <w:pPr>
        <w:pStyle w:val="Heading1"/>
      </w:pPr>
      <w:r>
        <w:t>12. Ключевые показатели эффективности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3286"/>
            <w:vAlign w:val="center"/>
            <w:shd w:fill="D9EAF7"/>
          </w:tcPr>
          <w:p>
            <w:r/>
            <w:r>
              <w:rPr>
                <w:rFonts w:ascii="Arial" w:hAnsi="Arial"/>
                <w:b/>
                <w:sz w:val="19"/>
              </w:rPr>
              <w:t>Показатель</w:t>
            </w:r>
          </w:p>
        </w:tc>
        <w:tc>
          <w:tcPr>
            <w:tcW w:type="dxa" w:w="3286"/>
            <w:vAlign w:val="center"/>
            <w:shd w:fill="D9EAF7"/>
          </w:tcPr>
          <w:p>
            <w:r/>
            <w:r>
              <w:rPr>
                <w:rFonts w:ascii="Arial" w:hAnsi="Arial"/>
                <w:b/>
                <w:sz w:val="19"/>
              </w:rPr>
              <w:t>Целевой ориентир</w:t>
            </w:r>
          </w:p>
        </w:tc>
        <w:tc>
          <w:tcPr>
            <w:tcW w:type="dxa" w:w="3286"/>
            <w:vAlign w:val="center"/>
            <w:shd w:fill="D9EAF7"/>
          </w:tcPr>
          <w:p>
            <w:r/>
            <w:r>
              <w:rPr>
                <w:rFonts w:ascii="Arial" w:hAnsi="Arial"/>
                <w:b/>
                <w:sz w:val="19"/>
              </w:rPr>
              <w:t>Период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Цифровое членство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до 100% доступности цифрового кабинета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2030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Доля членов с доступом к обучению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 менее 90%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2030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Снижение производственного травматизма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 менее 30% в пилотном контуре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2030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Охват коллективными договорами нового поколения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 менее 70% крупных организаций-участников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2032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Удовлетворенность профсоюзными сервисами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 менее 85%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2030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Срок первичного ответа на обращение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до 24 часов в цифровом контуре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2028</w:t>
            </w:r>
          </w:p>
        </w:tc>
      </w:tr>
      <w:tr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Доля организаций с программами переобучения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 менее 80% участников</w:t>
            </w:r>
          </w:p>
        </w:tc>
        <w:tc>
          <w:tcPr>
            <w:tcW w:type="dxa" w:w="3286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2032</w:t>
            </w:r>
          </w:p>
        </w:tc>
      </w:tr>
    </w:tbl>
    <w:p>
      <w:pPr>
        <w:pStyle w:val="Heading1"/>
      </w:pPr>
      <w:r>
        <w:t>13. Дорожная карта</w:t>
      </w:r>
    </w:p>
    <w:p>
      <w:pPr>
        <w:pStyle w:val="Heading2"/>
      </w:pPr>
      <w:r>
        <w:t>Этап I. Проектирование</w:t>
      </w:r>
    </w:p>
    <w:p>
      <w:pPr>
        <w:spacing w:after="100"/>
      </w:pPr>
      <w:r>
        <w:rPr>
          <w:rFonts w:ascii="Arial" w:hAnsi="Arial"/>
          <w:b/>
          <w:i w:val="0"/>
        </w:rPr>
        <w:t>0–6 месяцев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аудит существующей профсоюзной инфраструктуры;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формирование нормативной и организационной модели;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разработка архитектуры цифровой платформы;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выбор пилотных отраслей и регионов.</w:t>
      </w:r>
    </w:p>
    <w:p>
      <w:pPr>
        <w:pStyle w:val="Heading2"/>
      </w:pPr>
      <w:r>
        <w:t>Этап II. Пилот</w:t>
      </w:r>
    </w:p>
    <w:p>
      <w:pPr>
        <w:spacing w:after="100"/>
      </w:pPr>
      <w:r>
        <w:rPr>
          <w:rFonts w:ascii="Arial" w:hAnsi="Arial"/>
          <w:b/>
          <w:i w:val="0"/>
        </w:rPr>
        <w:t>6–18 месяцев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запуск цифрового кабинета;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создание центров компетенций;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внедрение новых форм коллективного договора;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обучение профсоюзного актива.</w:t>
      </w:r>
    </w:p>
    <w:p>
      <w:pPr>
        <w:pStyle w:val="Heading2"/>
      </w:pPr>
      <w:r>
        <w:t>Этап III. Масштабирование</w:t>
      </w:r>
    </w:p>
    <w:p>
      <w:pPr>
        <w:spacing w:after="100"/>
      </w:pPr>
      <w:r>
        <w:rPr>
          <w:rFonts w:ascii="Arial" w:hAnsi="Arial"/>
          <w:b/>
          <w:i w:val="0"/>
        </w:rPr>
        <w:t>18–36 месяцев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подключение новых отраслей и территорий;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единый реестр сервисов и показателей;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развитие рейтинга работодателей;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интеграция образовательных и социальных программ.</w:t>
      </w:r>
    </w:p>
    <w:p>
      <w:pPr>
        <w:pStyle w:val="Heading2"/>
      </w:pPr>
      <w:r>
        <w:t>Этап IV. Национальная система</w:t>
      </w:r>
    </w:p>
    <w:p>
      <w:pPr>
        <w:spacing w:after="100"/>
      </w:pPr>
      <w:r>
        <w:rPr>
          <w:rFonts w:ascii="Arial" w:hAnsi="Arial"/>
          <w:b/>
          <w:i w:val="0"/>
        </w:rPr>
        <w:t>3–5 лет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единые стандарты Профсоюза 4.0;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межотраслевая аналитика;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масштабирование лучших практик;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международное сотрудничество и обмен опытом.</w:t>
      </w:r>
    </w:p>
    <w:p>
      <w:pPr>
        <w:pStyle w:val="Heading1"/>
      </w:pPr>
      <w:r>
        <w:t>14. Организационная модель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Национальный координационный совет Профсоюза 4.0.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Отраслевые центры компетенций.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Региональные проектные офисы.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Корпоративные профсоюзные команды.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Экспертный совет по трудовому праву, технологиям, социальной политике и образованию.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Цифровой оператор платформы.</w:t>
      </w:r>
    </w:p>
    <w:p>
      <w:pPr>
        <w:pStyle w:val="Heading1"/>
      </w:pPr>
      <w:r>
        <w:t>15. Финансирование</w:t>
      </w:r>
    </w:p>
    <w:p>
      <w:pPr>
        <w:spacing w:after="100"/>
      </w:pPr>
      <w:r>
        <w:rPr>
          <w:rFonts w:ascii="Arial" w:hAnsi="Arial"/>
          <w:b w:val="0"/>
          <w:i w:val="0"/>
        </w:rPr>
        <w:t>Финансирование программы может формироваться из сочетания: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членских взносов;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целевых профсоюзных фондов;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совместных программ с работодателями;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грантов и программ развития;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образовательных и сервисных проектов;</w:t>
      </w:r>
    </w:p>
    <w:p>
      <w:pPr>
        <w:pStyle w:val="ListBullet"/>
        <w:spacing w:after="40"/>
      </w:pPr>
      <w:r>
        <w:rPr>
          <w:rFonts w:ascii="Arial" w:hAnsi="Arial"/>
          <w:sz w:val="21"/>
        </w:rPr>
        <w:t>партнерских социальных программ.</w:t>
      </w:r>
    </w:p>
    <w:p>
      <w:pPr>
        <w:spacing w:after="100"/>
      </w:pPr>
      <w:r>
        <w:rPr>
          <w:rFonts w:ascii="Arial" w:hAnsi="Arial"/>
          <w:b w:val="0"/>
          <w:i w:val="0"/>
        </w:rPr>
        <w:t>Финансовая модель должна обеспечивать прозрачность расходов, разделение целевых фондов и регулярную публичную отчетность.</w:t>
      </w:r>
    </w:p>
    <w:p>
      <w:pPr>
        <w:pStyle w:val="Heading1"/>
      </w:pPr>
      <w:r>
        <w:t>16. Риски и ограничения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vAlign w:val="center"/>
            <w:shd w:fill="F1E4D4"/>
          </w:tcPr>
          <w:p>
            <w:r/>
            <w:r>
              <w:rPr>
                <w:rFonts w:ascii="Arial" w:hAnsi="Arial"/>
                <w:b/>
                <w:sz w:val="19"/>
              </w:rPr>
              <w:t>Риск</w:t>
            </w:r>
          </w:p>
        </w:tc>
        <w:tc>
          <w:tcPr>
            <w:tcW w:type="dxa" w:w="4929"/>
            <w:vAlign w:val="center"/>
            <w:shd w:fill="F1E4D4"/>
          </w:tcPr>
          <w:p>
            <w:r/>
            <w:r>
              <w:rPr>
                <w:rFonts w:ascii="Arial" w:hAnsi="Arial"/>
                <w:b/>
                <w:sz w:val="19"/>
              </w:rPr>
              <w:t>Механизм снижения</w:t>
            </w:r>
          </w:p>
        </w:tc>
      </w:tr>
      <w:tr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Формализация цифровизации</w:t>
            </w:r>
          </w:p>
        </w:tc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Оценивать не количество сервисов, а их реальное использование и эффект.</w:t>
            </w:r>
          </w:p>
        </w:tc>
      </w:tr>
      <w:tr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Недоверие работников</w:t>
            </w:r>
          </w:p>
        </w:tc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Прозрачность решений, измеримые результаты, обратная связь.</w:t>
            </w:r>
          </w:p>
        </w:tc>
      </w:tr>
      <w:tr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Конфликт с работодателями</w:t>
            </w:r>
          </w:p>
        </w:tc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Медиация, совместные KPI, отраслевые соглашения.</w:t>
            </w:r>
          </w:p>
        </w:tc>
      </w:tr>
      <w:tr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Недостаток компетенций профактива</w:t>
            </w:r>
          </w:p>
        </w:tc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Системное обучение и сертификация.</w:t>
            </w:r>
          </w:p>
        </w:tc>
      </w:tr>
      <w:tr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Риски обработки персональных данных</w:t>
            </w:r>
          </w:p>
        </w:tc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Privacy-by-design, разграничение доступа, независимый аудит.</w:t>
            </w:r>
          </w:p>
        </w:tc>
      </w:tr>
      <w:tr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Неравномерность регионального развития</w:t>
            </w:r>
          </w:p>
        </w:tc>
        <w:tc>
          <w:tcPr>
            <w:tcW w:type="dxa" w:w="492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Пилоты, типовые решения и федеральная методическая поддержка.</w:t>
            </w:r>
          </w:p>
        </w:tc>
      </w:tr>
    </w:tbl>
    <w:p>
      <w:pPr>
        <w:pStyle w:val="Heading1"/>
      </w:pPr>
      <w:r>
        <w:t>17. Ожидаемый результат</w:t>
      </w:r>
    </w:p>
    <w:p>
      <w:pPr>
        <w:spacing w:after="100"/>
      </w:pPr>
      <w:r>
        <w:rPr>
          <w:rFonts w:ascii="Arial" w:hAnsi="Arial"/>
          <w:b w:val="0"/>
          <w:i w:val="0"/>
        </w:rPr>
        <w:t>Результатом реализации программы станет профсоюзная система, которая способна одновременно защищать работника, повышать его компетенции, помогать предприятиям проходить технологическую трансформацию и создавать устойчивую модель социального партнерства. Профсоюз перестает восприниматься только как институт разрешения конфликтов и становится постоянной инфраструктурой развития человека труда.</w:t>
      </w:r>
    </w:p>
    <w:p>
      <w:pPr>
        <w:pStyle w:val="Heading1"/>
      </w:pPr>
      <w:r>
        <w:t>18. Формула Профсоюза 4.0</w:t>
      </w:r>
    </w:p>
    <w:p>
      <w:pPr>
        <w:jc w:val="center"/>
      </w:pPr>
      <w:r>
        <w:rPr>
          <w:rFonts w:ascii="Arial" w:hAnsi="Arial"/>
          <w:b/>
          <w:sz w:val="28"/>
        </w:rPr>
        <w:t>ЗАЩИТА → РАЗВИТИЕ → УЧАСТИЕ → БЛАГОПОЛУЧИЕ → ПАРТНЕРСТВО</w:t>
      </w:r>
    </w:p>
    <w:p>
      <w:pPr>
        <w:pStyle w:val="Heading1"/>
      </w:pPr>
      <w:r>
        <w:t>19. Следующий уровень</w:t>
      </w:r>
    </w:p>
    <w:p>
      <w:pPr>
        <w:spacing w:after="100"/>
      </w:pPr>
      <w:r>
        <w:rPr>
          <w:rFonts w:ascii="Arial" w:hAnsi="Arial"/>
          <w:b w:val="0"/>
          <w:i w:val="0"/>
        </w:rPr>
        <w:t>На следующем этапе концепция может быть развернута в пакет из трех взаимосвязанных документов: Стандарт «Профсоюз 4.0», Регламент цифровой платформы и типовой Коллективный договор нового поколения. Это позволит перейти от концепции к практической модели внедрения.</w:t>
      </w:r>
    </w:p>
    <w:sectPr w:rsidR="00FC693F" w:rsidRPr="0006063C" w:rsidSect="00034616">
      <w:footerReference w:type="default" r:id="rId9"/>
      <w:pgSz w:w="12240" w:h="15840"/>
      <w:pgMar w:top="1020" w:right="113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Профсоюз 4.0 • Стратегическая программа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