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0"/>
      </w:pPr>
      <w:r>
        <w:rPr>
          <w:rFonts w:ascii="Arial" w:hAnsi="Arial" w:eastAsia="Arial" w:cs="Arial"/>
          <w:b/>
          <w:color w:val="B28A2E"/>
          <w:sz w:val="21"/>
        </w:rPr>
        <w:t>СТРАТЕГИЧЕСКАЯ КОНЦЕПЦИЯ</w:t>
      </w:r>
    </w:p>
    <w:p>
      <w:pPr>
        <w:spacing w:after="240"/>
        <w:jc w:val="center"/>
      </w:pPr>
      <w:r>
        <w:drawing>
          <wp:inline xmlns:a="http://schemas.openxmlformats.org/drawingml/2006/main" xmlns:pic="http://schemas.openxmlformats.org/drawingml/2006/picture">
            <wp:extent cx="5934456" cy="3339906"/>
            <wp:docPr id="1" name="Picture 1" title="Ферма полного цикла" descr="Модульная агропродовольственная территория: поля, теплицы, животноводство, переработка, водоочистка и энергетический контур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ull_cycle_farm_her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4456" cy="33399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40"/>
      </w:pPr>
      <w:r>
        <w:rPr>
          <w:rFonts w:ascii="Arial" w:hAnsi="Arial" w:eastAsia="Arial" w:cs="Arial"/>
          <w:b/>
          <w:color w:val="0B2545"/>
          <w:sz w:val="60"/>
        </w:rPr>
        <w:t>Продовольственная</w:t>
        <w:br/>
        <w:t>безопасность</w:t>
      </w:r>
    </w:p>
    <w:p>
      <w:pPr>
        <w:spacing w:after="260"/>
      </w:pPr>
      <w:r>
        <w:rPr>
          <w:rFonts w:ascii="Arial" w:hAnsi="Arial" w:eastAsia="Arial" w:cs="Arial"/>
          <w:b/>
          <w:color w:val="2E74B5"/>
          <w:sz w:val="36"/>
        </w:rPr>
        <w:t>Биоценоз и ферма полного цикла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9F4EF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8" w:color="2F7D68"/>
              <w:left w:val="single" w:sz="8" w:color="2F7D68"/>
              <w:bottom w:val="single" w:sz="8" w:color="2F7D68"/>
              <w:right w:val="single" w:sz="8" w:color="2F7D68"/>
            </w:tcBorders>
          </w:tcPr>
          <w:p>
            <w:pPr>
              <w:spacing w:after="100"/>
            </w:pPr>
            <w:r>
              <w:rPr>
                <w:rFonts w:ascii="Arial" w:hAnsi="Arial" w:eastAsia="Arial" w:cs="Arial"/>
                <w:b/>
                <w:color w:val="2F7D68"/>
                <w:sz w:val="18"/>
              </w:rPr>
              <w:t>РАБОЧЕЕ ОПРЕДЕЛЕНИЕ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0B2545"/>
                <w:sz w:val="22"/>
              </w:rPr>
              <w:t>Управляемая территориальная продовольственная система: безопасная пища, восстановление природного капитала, устойчивые поставки и измеримый возврат воды, питательных веществ и энергии.</w:t>
            </w:r>
          </w:p>
        </w:tc>
      </w:tr>
    </w:tbl>
    <w:p>
      <w:pPr>
        <w:spacing w:after="0"/>
      </w:pPr>
    </w:p>
    <w:p>
      <w:pPr>
        <w:spacing w:before="180"/>
      </w:pPr>
      <w:r>
        <w:rPr>
          <w:rFonts w:ascii="Arial" w:hAnsi="Arial" w:eastAsia="Arial" w:cs="Arial"/>
          <w:b/>
          <w:color w:val="0B2545"/>
          <w:sz w:val="23"/>
        </w:rPr>
        <w:t>Соколов Сергей Леонидович</w:t>
        <w:br/>
      </w:r>
      <w:r>
        <w:rPr>
          <w:rFonts w:ascii="Arial" w:hAnsi="Arial" w:eastAsia="Arial" w:cs="Arial"/>
          <w:color w:val="5E6878"/>
          <w:sz w:val="18"/>
        </w:rPr>
        <w:t>Москва · версия 1.0 · 29 августа 2026 года</w:t>
      </w:r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02</w:t>
      </w:r>
      <w:r>
        <w:rPr>
          <w:rFonts w:ascii="Arial" w:hAnsi="Arial" w:eastAsia="Arial" w:cs="Arial"/>
          <w:b/>
          <w:color w:val="B28A2E"/>
          <w:sz w:val="18"/>
        </w:rPr>
        <w:t xml:space="preserve">  СТАТУС И ОБЛАСТЬ ПРИМЕНЕНИЯ</w:t>
      </w:r>
    </w:p>
    <w:p>
      <w:pPr>
        <w:pStyle w:val="Heading1"/>
        <w:keepLines/>
        <w:widowControl/>
        <w:keepNext/>
      </w:pPr>
      <w:r>
        <w:t>Паспорт документа</w:t>
      </w:r>
    </w:p>
    <w:p>
      <w:pPr>
        <w:spacing w:after="200"/>
        <w:pBdr>
          <w:bottom w:val="single" w:sz="8" w:color="D6E1E9"/>
        </w:pBdr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  <w:tblHeader w:val="true"/>
        </w:trPr>
        <w:tc>
          <w:tcPr>
            <w:tcW w:type="dxa" w:w="23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8"/>
              </w:rPr>
              <w:t>Поле</w:t>
            </w:r>
          </w:p>
        </w:tc>
        <w:tc>
          <w:tcPr>
            <w:tcW w:type="dxa" w:w="706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8"/>
              </w:rPr>
              <w:t>Содержание</w:t>
            </w:r>
          </w:p>
        </w:tc>
      </w:tr>
      <w:tr>
        <w:trPr>
          <w:cantSplit/>
        </w:trPr>
        <w:tc>
          <w:tcPr>
            <w:tcW w:type="dxa" w:w="23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8"/>
              </w:rPr>
              <w:t>Наименование</w:t>
            </w:r>
          </w:p>
        </w:tc>
        <w:tc>
          <w:tcPr>
            <w:tcW w:type="dxa" w:w="70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8"/>
              </w:rPr>
              <w:t>«Продовольственная безопасность: биоценоз и ферма полного цикла»</w:t>
            </w:r>
          </w:p>
        </w:tc>
      </w:tr>
      <w:tr>
        <w:trPr>
          <w:cantSplit/>
        </w:trPr>
        <w:tc>
          <w:tcPr>
            <w:tcW w:type="dxa" w:w="23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8"/>
              </w:rPr>
              <w:t>Автор концепции</w:t>
            </w:r>
          </w:p>
        </w:tc>
        <w:tc>
          <w:tcPr>
            <w:tcW w:type="dxa" w:w="70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8"/>
              </w:rPr>
              <w:t>Соколов Сергей Леонидович</w:t>
            </w:r>
          </w:p>
        </w:tc>
      </w:tr>
      <w:tr>
        <w:trPr>
          <w:cantSplit/>
        </w:trPr>
        <w:tc>
          <w:tcPr>
            <w:tcW w:type="dxa" w:w="23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8"/>
              </w:rPr>
              <w:t>Статус</w:t>
            </w:r>
          </w:p>
        </w:tc>
        <w:tc>
          <w:tcPr>
            <w:tcW w:type="dxa" w:w="70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8"/>
              </w:rPr>
              <w:t>Стратегическая концепция и техническое задание на предпроектный пилот; не проектная документация и не санитарно-эпидемиологическое заключение</w:t>
            </w:r>
          </w:p>
        </w:tc>
      </w:tr>
      <w:tr>
        <w:trPr>
          <w:cantSplit/>
        </w:trPr>
        <w:tc>
          <w:tcPr>
            <w:tcW w:type="dxa" w:w="23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8"/>
              </w:rPr>
              <w:t>Назначение</w:t>
            </w:r>
          </w:p>
        </w:tc>
        <w:tc>
          <w:tcPr>
            <w:tcW w:type="dxa" w:w="70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8"/>
              </w:rPr>
              <w:t>Согласовать рамку, состав модулей, критерии эффективности, контур управления и программу 90-дневной верификации</w:t>
            </w:r>
          </w:p>
        </w:tc>
      </w:tr>
      <w:tr>
        <w:trPr>
          <w:cantSplit/>
        </w:trPr>
        <w:tc>
          <w:tcPr>
            <w:tcW w:type="dxa" w:w="23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8"/>
              </w:rPr>
              <w:t>Территория</w:t>
            </w:r>
          </w:p>
        </w:tc>
        <w:tc>
          <w:tcPr>
            <w:tcW w:type="dxa" w:w="70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8"/>
              </w:rPr>
              <w:t>Определяется решением заказчика; все числовые параметры площадки требуют полевого обследования и правовой проверки</w:t>
            </w:r>
          </w:p>
        </w:tc>
      </w:tr>
      <w:tr>
        <w:trPr>
          <w:cantSplit/>
        </w:trPr>
        <w:tc>
          <w:tcPr>
            <w:tcW w:type="dxa" w:w="23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8"/>
              </w:rPr>
              <w:t>Версия</w:t>
            </w:r>
          </w:p>
        </w:tc>
        <w:tc>
          <w:tcPr>
            <w:tcW w:type="dxa" w:w="70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8"/>
              </w:rPr>
              <w:t>1.0 от 29.08.2026</w:t>
            </w:r>
          </w:p>
        </w:tc>
      </w:tr>
      <w:tr>
        <w:trPr>
          <w:cantSplit/>
        </w:trPr>
        <w:tc>
          <w:tcPr>
            <w:tcW w:type="dxa" w:w="23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8"/>
              </w:rPr>
              <w:t>Контур хранения</w:t>
            </w:r>
          </w:p>
        </w:tc>
        <w:tc>
          <w:tcPr>
            <w:tcW w:type="dxa" w:w="70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8"/>
              </w:rPr>
              <w:t>ЭКВИЛИБРИУМ — данные и прогноз; Архив наследия — версии, доказательства, решения и результаты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F8F1DE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8" w:color="B28A2E"/>
              <w:left w:val="single" w:sz="8" w:color="B28A2E"/>
              <w:bottom w:val="single" w:sz="8" w:color="B28A2E"/>
              <w:right w:val="single" w:sz="8" w:color="B28A2E"/>
            </w:tcBorders>
          </w:tcPr>
          <w:p>
            <w:pPr>
              <w:spacing w:after="100"/>
            </w:pPr>
            <w:r>
              <w:rPr>
                <w:rFonts w:ascii="Arial" w:hAnsi="Arial" w:eastAsia="Arial" w:cs="Arial"/>
                <w:b/>
                <w:color w:val="B28A2E"/>
                <w:sz w:val="18"/>
              </w:rPr>
              <w:t>КЛЮЧЕВАЯ ОГОВОРКА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0B2545"/>
                <w:sz w:val="22"/>
              </w:rPr>
              <w:t>«Полный цикл» не означает физически замкнутую систему без внешних входов и потерь. Цель — максимальная экономически оправданная и санитарно безопасная рециркуляция при полном учёте неизбежных импортов, экспорта и остаточных потоков.</w:t>
            </w:r>
          </w:p>
        </w:tc>
      </w:tr>
    </w:tbl>
    <w:p>
      <w:pPr>
        <w:spacing w:after="0"/>
      </w:pPr>
    </w:p>
    <w:p>
      <w:pPr>
        <w:spacing w:after="120"/>
        <w:keepLines/>
        <w:widowControl/>
      </w:pPr>
      <w:r>
        <w:rPr>
          <w:rFonts w:ascii="Arial" w:hAnsi="Arial" w:eastAsia="Arial" w:cs="Arial"/>
          <w:color w:val="172033"/>
          <w:sz w:val="20"/>
        </w:rPr>
        <w:t>Контроль изменений: каждая новая версия получает номер, перечень изменённых допущений, автора согласования, дату и ссылки на первичные данные. Стратегическое решение принимает человек; аналитика и ИИ только выявляют отклонения, моделируют сценарии и готовят варианты.</w:t>
      </w:r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03</w:t>
      </w:r>
      <w:r>
        <w:rPr>
          <w:rFonts w:ascii="Arial" w:hAnsi="Arial" w:eastAsia="Arial" w:cs="Arial"/>
          <w:b/>
          <w:color w:val="B28A2E"/>
          <w:sz w:val="18"/>
        </w:rPr>
        <w:t xml:space="preserve">  ИСПОЛНИТЕЛЬНОЕ РЕЗЮМЕ</w:t>
      </w:r>
    </w:p>
    <w:p>
      <w:pPr>
        <w:pStyle w:val="Heading1"/>
        <w:keepLines/>
        <w:widowControl/>
        <w:keepNext/>
      </w:pPr>
      <w:r>
        <w:t>Решение, которое предлагается принять</w:t>
      </w:r>
    </w:p>
    <w:p>
      <w:pPr>
        <w:spacing w:after="200"/>
        <w:pBdr>
          <w:bottom w:val="single" w:sz="8" w:color="D6E1E9"/>
        </w:pBdr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tblHeader w:val="true"/>
          <w:cantSplit/>
          <w:cantSplit/>
          <w:cantSplit/>
          <w:cantSplit/>
        </w:trPr>
        <w:tc>
          <w:tcPr>
            <w:tcW w:type="dxa" w:w="2340"/>
            <w:shd w:fill="F8F1DE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7" w:color="B28A2E"/>
              <w:left w:val="single" w:sz="7" w:color="B28A2E"/>
              <w:bottom w:val="single" w:sz="7" w:color="B28A2E"/>
              <w:right w:val="single" w:sz="7" w:color="B28A2E"/>
            </w:tcBorders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color w:val="B28A2E"/>
                <w:sz w:val="40"/>
              </w:rPr>
              <w:t>90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 w:cs="Arial"/>
                <w:b/>
                <w:color w:val="0B2545"/>
                <w:sz w:val="17"/>
              </w:rPr>
              <w:t>дней предпроектного пилота</w:t>
            </w:r>
          </w:p>
        </w:tc>
        <w:tc>
          <w:tcPr>
            <w:tcW w:type="dxa" w:w="2340"/>
            <w:shd w:fill="EAF5FB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7" w:color="2E74B5"/>
              <w:left w:val="single" w:sz="7" w:color="2E74B5"/>
              <w:bottom w:val="single" w:sz="7" w:color="2E74B5"/>
              <w:right w:val="single" w:sz="7" w:color="2E74B5"/>
            </w:tcBorders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color w:val="2E74B5"/>
                <w:sz w:val="40"/>
              </w:rPr>
              <w:t>4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 w:cs="Arial"/>
                <w:b/>
                <w:color w:val="0B2545"/>
                <w:sz w:val="17"/>
              </w:rPr>
              <w:t>измерения безопасности</w:t>
            </w:r>
          </w:p>
        </w:tc>
        <w:tc>
          <w:tcPr>
            <w:tcW w:type="dxa" w:w="2340"/>
            <w:shd w:fill="E9F4EF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7" w:color="2F7D68"/>
              <w:left w:val="single" w:sz="7" w:color="2F7D68"/>
              <w:bottom w:val="single" w:sz="7" w:color="2F7D68"/>
              <w:right w:val="single" w:sz="7" w:color="2F7D68"/>
            </w:tcBorders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color w:val="2F7D68"/>
                <w:sz w:val="40"/>
              </w:rPr>
              <w:t>19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 w:cs="Arial"/>
                <w:b/>
                <w:color w:val="0B2545"/>
                <w:sz w:val="17"/>
              </w:rPr>
              <w:t>модулей в полном каталоге</w:t>
            </w:r>
          </w:p>
        </w:tc>
        <w:tc>
          <w:tcPr>
            <w:tcW w:type="dxa" w:w="2340"/>
            <w:shd w:fill="F9EBEA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7" w:color="A64040"/>
              <w:left w:val="single" w:sz="7" w:color="A64040"/>
              <w:bottom w:val="single" w:sz="7" w:color="A64040"/>
              <w:right w:val="single" w:sz="7" w:color="A64040"/>
            </w:tcBorders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color w:val="A64040"/>
                <w:sz w:val="40"/>
              </w:rPr>
              <w:t>1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 w:cs="Arial"/>
                <w:b/>
                <w:color w:val="0B2545"/>
                <w:sz w:val="17"/>
              </w:rPr>
              <w:t>независимое решение GO / STOP</w:t>
            </w:r>
          </w:p>
        </w:tc>
      </w:tr>
    </w:tbl>
    <w:p>
      <w:pPr>
        <w:pStyle w:val="Heading2"/>
      </w:pPr>
      <w:r>
        <w:t>Запрос</w:t>
      </w:r>
    </w:p>
    <w:p>
      <w:pPr>
        <w:spacing w:after="120"/>
        <w:keepLines/>
        <w:widowControl/>
      </w:pPr>
      <w:r>
        <w:rPr>
          <w:rFonts w:ascii="Arial" w:hAnsi="Arial" w:eastAsia="Arial" w:cs="Arial"/>
          <w:color w:val="172033"/>
          <w:sz w:val="20"/>
        </w:rPr>
        <w:t>Разрешить ограниченный 90-дневный пилот для выбранной территории. Его результат — не «обещание фермы», а проверяемая предпроектная модель: границы биоценоза, материальные балансы, санитарные барьеры, цифровой паспорт, финансовые сценарии и пакет решения о последующей реализации.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20"/>
        <w:gridCol w:w="4740"/>
      </w:tblGrid>
      <w:tr>
        <w:trPr>
          <w:tblHeader w:val="true"/>
          <w:cantSplit/>
          <w:cantSplit/>
        </w:trPr>
        <w:tc>
          <w:tcPr>
            <w:tcW w:type="dxa" w:w="4620"/>
            <w:shd w:fill="EAF5FB"/>
            <w:tcMar>
              <w:top w:w="130" w:type="dxa"/>
              <w:start w:w="120" w:type="dxa"/>
              <w:bottom w:w="120" w:type="dxa"/>
              <w:end w:w="120" w:type="dxa"/>
            </w:tcMar>
            <w:tcBorders>
              <w:top w:val="single" w:sz="6" w:color="2E74B5"/>
              <w:left w:val="single" w:sz="6" w:color="2E74B5"/>
              <w:bottom w:val="single" w:sz="6" w:color="2E74B5"/>
              <w:right w:val="single" w:sz="6" w:color="2E74B5"/>
            </w:tcBorders>
          </w:tcPr>
          <w:p>
            <w:pPr>
              <w:spacing w:after="140"/>
            </w:pPr>
            <w:r>
              <w:rPr>
                <w:rFonts w:ascii="Arial" w:hAnsi="Arial" w:eastAsia="Arial" w:cs="Arial"/>
                <w:b/>
                <w:color w:val="2E74B5"/>
                <w:sz w:val="20"/>
              </w:rPr>
              <w:t>ПИЛОТ ОБЯЗАН ДОКАЗАТЬ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кому и какую продовольственную потребность закрывает территория;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какие модули действительно нужны, а какие исключаются;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как разделены пищевые, кормовые, навозные, водные и опасные потоки;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как измеряется вклад в доступность, доступ, использование и стабильность;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есть ли правовой мандат, рынок сбыта, оператор и финансирование.</w:t>
            </w:r>
          </w:p>
        </w:tc>
        <w:tc>
          <w:tcPr>
            <w:tcW w:type="dxa" w:w="4740"/>
            <w:shd w:fill="F9EBEA"/>
            <w:tcMar>
              <w:top w:w="130" w:type="dxa"/>
              <w:start w:w="120" w:type="dxa"/>
              <w:bottom w:w="120" w:type="dxa"/>
              <w:end w:w="120" w:type="dxa"/>
            </w:tcMar>
            <w:tcBorders>
              <w:top w:val="single" w:sz="6" w:color="2F7D68"/>
              <w:left w:val="single" w:sz="6" w:color="2F7D68"/>
              <w:bottom w:val="single" w:sz="6" w:color="2F7D68"/>
              <w:right w:val="single" w:sz="6" w:color="2F7D68"/>
            </w:tcBorders>
          </w:tcPr>
          <w:p>
            <w:pPr>
              <w:spacing w:after="140"/>
            </w:pPr>
            <w:r>
              <w:rPr>
                <w:rFonts w:ascii="Arial" w:hAnsi="Arial" w:eastAsia="Arial" w:cs="Arial"/>
                <w:b/>
                <w:color w:val="2F7D68"/>
                <w:sz w:val="20"/>
              </w:rPr>
              <w:t>ПИЛОТ НЕ ДОЛЖЕН ОБЕЩАТЬ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абсолютную автономность или «нулевые отходы»;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доходность без CAPEX, OPEX, цен и подтверждённого off-take;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возврат любого остатка в пищевой цикл;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сертификацию до лабораторных и надзорных процедур;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масштабирование до независимой верификации.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9F4EF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8" w:color="2F7D68"/>
              <w:left w:val="single" w:sz="8" w:color="2F7D68"/>
              <w:bottom w:val="single" w:sz="8" w:color="2F7D68"/>
              <w:right w:val="single" w:sz="8" w:color="2F7D68"/>
            </w:tcBorders>
          </w:tcPr>
          <w:p>
            <w:pPr>
              <w:spacing w:after="100"/>
            </w:pPr>
            <w:r>
              <w:rPr>
                <w:rFonts w:ascii="Arial" w:hAnsi="Arial" w:eastAsia="Arial" w:cs="Arial"/>
                <w:b/>
                <w:color w:val="2F7D68"/>
                <w:sz w:val="18"/>
              </w:rPr>
              <w:t>РЕЗУЛЬТАТ ДНЯ 90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0B2545"/>
                <w:sz w:val="22"/>
              </w:rPr>
              <w:t>GO — модель доказана; GO WITH CONDITIONS — выявлены устранимые ограничения; STOP — нет правового, санитарного, ресурсного или экономического основания.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04</w:t>
      </w:r>
      <w:r>
        <w:rPr>
          <w:rFonts w:ascii="Arial" w:hAnsi="Arial" w:eastAsia="Arial" w:cs="Arial"/>
          <w:b/>
          <w:color w:val="B28A2E"/>
          <w:sz w:val="18"/>
        </w:rPr>
        <w:t xml:space="preserve">  ЕДИНАЯ РАМКА ИЗМЕРЕНИЯ</w:t>
      </w:r>
    </w:p>
    <w:p>
      <w:pPr>
        <w:pStyle w:val="Heading1"/>
        <w:keepLines/>
        <w:widowControl/>
        <w:keepNext/>
      </w:pPr>
      <w:r>
        <w:t>Что такое продовольственная безопасность</w:t>
      </w:r>
    </w:p>
    <w:p>
      <w:pPr>
        <w:spacing w:after="200"/>
        <w:pBdr>
          <w:bottom w:val="single" w:sz="8" w:color="D6E1E9"/>
        </w:pBdr>
      </w:pPr>
    </w:p>
    <w:p>
      <w:pPr>
        <w:spacing w:after="120"/>
        <w:keepLines/>
        <w:widowControl/>
      </w:pPr>
      <w:r>
        <w:rPr>
          <w:rFonts w:ascii="Arial" w:hAnsi="Arial" w:eastAsia="Arial" w:cs="Arial"/>
          <w:color w:val="172033"/>
          <w:sz w:val="20"/>
        </w:rPr>
        <w:t>FAO/CFS определяет продовольственную безопасность как постоянный физический, социальный и экономический доступ всех людей к достаточной, безопасной и питательной пище для активной и здоровой жизни. Для проектирования фермы это означает четыре одновременно проверяемых измерения — ни одно нельзя заменить валовым объёмом выпуска.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00"/>
        <w:gridCol w:w="3500"/>
        <w:gridCol w:w="4260"/>
      </w:tblGrid>
      <w:tr>
        <w:trPr>
          <w:tblHeader w:val="true"/>
          <w:tblHeader w:val="true"/>
        </w:trPr>
        <w:tc>
          <w:tcPr>
            <w:tcW w:type="dxa" w:w="16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Измерение</w:t>
            </w:r>
          </w:p>
        </w:tc>
        <w:tc>
          <w:tcPr>
            <w:tcW w:type="dxa" w:w="35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Вопрос к территории</w:t>
            </w:r>
          </w:p>
        </w:tc>
        <w:tc>
          <w:tcPr>
            <w:tcW w:type="dxa" w:w="426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Проектные показатели</w:t>
            </w:r>
          </w:p>
        </w:tc>
      </w:tr>
      <w:tr>
        <w:trPr>
          <w:cantSplit/>
        </w:trPr>
        <w:tc>
          <w:tcPr>
            <w:tcW w:type="dxa" w:w="16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Доступность</w:t>
            </w:r>
          </w:p>
        </w:tc>
        <w:tc>
          <w:tcPr>
            <w:tcW w:type="dxa" w:w="35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Есть ли нужный объём и ассортимент?</w:t>
            </w:r>
          </w:p>
        </w:tc>
        <w:tc>
          <w:tcPr>
            <w:tcW w:type="dxa" w:w="42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товарный выпуск; вариативность урожайности; резерв; потери; сезонность</w:t>
            </w:r>
          </w:p>
        </w:tc>
      </w:tr>
      <w:tr>
        <w:trPr>
          <w:cantSplit/>
        </w:trPr>
        <w:tc>
          <w:tcPr>
            <w:tcW w:type="dxa" w:w="16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Доступ</w:t>
            </w:r>
          </w:p>
        </w:tc>
        <w:tc>
          <w:tcPr>
            <w:tcW w:type="dxa" w:w="35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Может ли целевая группа получить продукт?</w:t>
            </w:r>
          </w:p>
        </w:tc>
        <w:tc>
          <w:tcPr>
            <w:tcW w:type="dxa" w:w="42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цена и доля расходов; радиус поставки; контракты; охват уязвимых групп</w:t>
            </w:r>
          </w:p>
        </w:tc>
      </w:tr>
      <w:tr>
        <w:trPr>
          <w:cantSplit/>
        </w:trPr>
        <w:tc>
          <w:tcPr>
            <w:tcW w:type="dxa" w:w="16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Использование</w:t>
            </w:r>
          </w:p>
        </w:tc>
        <w:tc>
          <w:tcPr>
            <w:tcW w:type="dxa" w:w="35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Безопасна и питательна ли пища?</w:t>
            </w:r>
          </w:p>
        </w:tc>
        <w:tc>
          <w:tcPr>
            <w:tcW w:type="dxa" w:w="42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HACCP; лабораторные отклонения; разнообразие рациона; вода и санитария</w:t>
            </w:r>
          </w:p>
        </w:tc>
      </w:tr>
      <w:tr>
        <w:trPr>
          <w:cantSplit/>
        </w:trPr>
        <w:tc>
          <w:tcPr>
            <w:tcW w:type="dxa" w:w="16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Стабильность</w:t>
            </w:r>
          </w:p>
        </w:tc>
        <w:tc>
          <w:tcPr>
            <w:tcW w:type="dxa" w:w="35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Сохраняется ли функция при шоке?</w:t>
            </w:r>
          </w:p>
        </w:tc>
        <w:tc>
          <w:tcPr>
            <w:tcW w:type="dxa" w:w="42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дни автономности; время восстановления; зависимость от семян, кормов, энергии и логистики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F8F1DE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8" w:color="B28A2E"/>
              <w:left w:val="single" w:sz="8" w:color="B28A2E"/>
              <w:bottom w:val="single" w:sz="8" w:color="B28A2E"/>
              <w:right w:val="single" w:sz="8" w:color="B28A2E"/>
            </w:tcBorders>
          </w:tcPr>
          <w:p>
            <w:pPr>
              <w:spacing w:after="100"/>
            </w:pPr>
            <w:r>
              <w:rPr>
                <w:rFonts w:ascii="Arial" w:hAnsi="Arial" w:eastAsia="Arial" w:cs="Arial"/>
                <w:b/>
                <w:color w:val="B28A2E"/>
                <w:sz w:val="18"/>
              </w:rPr>
              <w:t>РАСШИРЕННАЯ РАМКА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0B2545"/>
                <w:sz w:val="22"/>
              </w:rPr>
              <w:t>HLPE-FSN предлагает учитывать также субъектность и устойчивость. Это полезное аналитическое расширение, но не замена формальному определению CFS.</w:t>
            </w:r>
          </w:p>
        </w:tc>
      </w:tr>
    </w:tbl>
    <w:p>
      <w:pPr>
        <w:spacing w:after="0"/>
      </w:pPr>
    </w:p>
    <w:p>
      <w:pPr>
        <w:spacing w:before="140" w:after="0"/>
      </w:pPr>
      <w:r>
        <w:rPr>
          <w:rFonts w:ascii="Arial" w:hAnsi="Arial" w:eastAsia="Arial" w:cs="Arial"/>
          <w:b/>
          <w:color w:val="5E6878"/>
          <w:sz w:val="16"/>
        </w:rPr>
        <w:t xml:space="preserve">Источник: </w:t>
      </w:r>
      <w:hyperlink r:id="rId12">
        <w:r>
          <w:rPr>
            <w:color w:val="2E74B5"/>
            <w:u w:val="single"/>
          </w:rPr>
          <w:t>CFS Global Strategic Framework и HLPE-FSN</w:t>
        </w:r>
      </w:hyperlink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05</w:t>
      </w:r>
      <w:r>
        <w:rPr>
          <w:rFonts w:ascii="Arial" w:hAnsi="Arial" w:eastAsia="Arial" w:cs="Arial"/>
          <w:b/>
          <w:color w:val="B28A2E"/>
          <w:sz w:val="18"/>
        </w:rPr>
        <w:t xml:space="preserve">  ДОКТРИНА 2020 / ИЗМЕНЕНИЯ 2025</w:t>
      </w:r>
    </w:p>
    <w:p>
      <w:pPr>
        <w:pStyle w:val="Heading1"/>
        <w:keepLines/>
        <w:widowControl/>
        <w:keepNext/>
      </w:pPr>
      <w:r>
        <w:t>Российская рамка: независимость, доступность, устойчивость</w:t>
      </w:r>
    </w:p>
    <w:p>
      <w:pPr>
        <w:spacing w:after="200"/>
        <w:pBdr>
          <w:bottom w:val="single" w:sz="8" w:color="D6E1E9"/>
        </w:pBdr>
      </w:pPr>
    </w:p>
    <w:p>
      <w:pPr>
        <w:spacing w:after="120"/>
        <w:keepLines/>
        <w:widowControl/>
      </w:pPr>
      <w:r>
        <w:rPr>
          <w:rFonts w:ascii="Arial" w:hAnsi="Arial" w:eastAsia="Arial" w:cs="Arial"/>
          <w:color w:val="172033"/>
          <w:sz w:val="20"/>
        </w:rPr>
        <w:t>Доктрина продовольственной безопасности Российской Федерации задаёт национальные пороги самообеспечения. Они относятся к стране, а не к отдельной ферме. Пилот использует их как ориентир состава продукции и технологической независимости, не выдавая локальные показатели за выполнение национального норматива.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50"/>
        <w:gridCol w:w="1850"/>
        <w:gridCol w:w="5360"/>
      </w:tblGrid>
      <w:tr>
        <w:trPr>
          <w:tblHeader w:val="true"/>
          <w:tblHeader w:val="true"/>
        </w:trPr>
        <w:tc>
          <w:tcPr>
            <w:tcW w:type="dxa" w:w="215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Группа</w:t>
            </w:r>
          </w:p>
        </w:tc>
        <w:tc>
          <w:tcPr>
            <w:tcW w:type="dxa" w:w="185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Порог Доктрины</w:t>
            </w:r>
          </w:p>
        </w:tc>
        <w:tc>
          <w:tcPr>
            <w:tcW w:type="dxa" w:w="536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Роль в пилоте</w:t>
            </w:r>
          </w:p>
        </w:tc>
      </w:tr>
      <w:tr>
        <w:trPr>
          <w:cantSplit/>
        </w:trPr>
        <w:tc>
          <w:tcPr>
            <w:tcW w:type="dxa" w:w="21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Зерно</w:t>
            </w:r>
          </w:p>
        </w:tc>
        <w:tc>
          <w:tcPr>
            <w:tcW w:type="dxa" w:w="18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не менее 95%</w:t>
            </w:r>
          </w:p>
        </w:tc>
        <w:tc>
          <w:tcPr>
            <w:tcW w:type="dxa" w:w="53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продовольствие, корм, семенной и резервный контур</w:t>
            </w:r>
          </w:p>
        </w:tc>
      </w:tr>
      <w:tr>
        <w:trPr>
          <w:cantSplit/>
        </w:trPr>
        <w:tc>
          <w:tcPr>
            <w:tcW w:type="dxa" w:w="21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Сахар / растительное масло</w:t>
            </w:r>
          </w:p>
        </w:tc>
        <w:tc>
          <w:tcPr>
            <w:tcW w:type="dxa" w:w="18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не менее 90% / 90%</w:t>
            </w:r>
          </w:p>
        </w:tc>
        <w:tc>
          <w:tcPr>
            <w:tcW w:type="dxa" w:w="53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выбор культур и глубины переработки по климату и рынку</w:t>
            </w:r>
          </w:p>
        </w:tc>
      </w:tr>
      <w:tr>
        <w:trPr>
          <w:cantSplit/>
        </w:trPr>
        <w:tc>
          <w:tcPr>
            <w:tcW w:type="dxa" w:w="21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Мясо / молоко</w:t>
            </w:r>
          </w:p>
        </w:tc>
        <w:tc>
          <w:tcPr>
            <w:tcW w:type="dxa" w:w="18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не менее 85% / 90%</w:t>
            </w:r>
          </w:p>
        </w:tc>
        <w:tc>
          <w:tcPr>
            <w:tcW w:type="dxa" w:w="53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животноводческий модуль — только при кормовой базе и биозащите</w:t>
            </w:r>
          </w:p>
        </w:tc>
      </w:tr>
      <w:tr>
        <w:trPr>
          <w:cantSplit/>
        </w:trPr>
        <w:tc>
          <w:tcPr>
            <w:tcW w:type="dxa" w:w="21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Рыба</w:t>
            </w:r>
          </w:p>
        </w:tc>
        <w:tc>
          <w:tcPr>
            <w:tcW w:type="dxa" w:w="18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не менее 85%</w:t>
            </w:r>
          </w:p>
        </w:tc>
        <w:tc>
          <w:tcPr>
            <w:tcW w:type="dxa" w:w="53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аквакультура — опционально после оценки воды и ветеринарных рисков</w:t>
            </w:r>
          </w:p>
        </w:tc>
      </w:tr>
      <w:tr>
        <w:trPr>
          <w:cantSplit/>
        </w:trPr>
        <w:tc>
          <w:tcPr>
            <w:tcW w:type="dxa" w:w="21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Картофель / овощи</w:t>
            </w:r>
          </w:p>
        </w:tc>
        <w:tc>
          <w:tcPr>
            <w:tcW w:type="dxa" w:w="18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не менее 95% / 90%</w:t>
            </w:r>
          </w:p>
        </w:tc>
        <w:tc>
          <w:tcPr>
            <w:tcW w:type="dxa" w:w="53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сезонность, хранение, тепличный модуль, потери</w:t>
            </w:r>
          </w:p>
        </w:tc>
      </w:tr>
      <w:tr>
        <w:trPr>
          <w:cantSplit/>
        </w:trPr>
        <w:tc>
          <w:tcPr>
            <w:tcW w:type="dxa" w:w="21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Фрукты и ягоды</w:t>
            </w:r>
          </w:p>
        </w:tc>
        <w:tc>
          <w:tcPr>
            <w:tcW w:type="dxa" w:w="18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не менее 60%</w:t>
            </w:r>
          </w:p>
        </w:tc>
        <w:tc>
          <w:tcPr>
            <w:tcW w:type="dxa" w:w="53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многолетние насаждения и локальная адаптация</w:t>
            </w:r>
          </w:p>
        </w:tc>
      </w:tr>
      <w:tr>
        <w:trPr>
          <w:cantSplit/>
        </w:trPr>
        <w:tc>
          <w:tcPr>
            <w:tcW w:type="dxa" w:w="21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Семена отечественной селекции</w:t>
            </w:r>
          </w:p>
        </w:tc>
        <w:tc>
          <w:tcPr>
            <w:tcW w:type="dxa" w:w="18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не менее 75%</w:t>
            </w:r>
          </w:p>
        </w:tc>
        <w:tc>
          <w:tcPr>
            <w:tcW w:type="dxa" w:w="53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прослеживаемость происхождения и план технологической независимости</w:t>
            </w:r>
          </w:p>
        </w:tc>
      </w:tr>
      <w:tr>
        <w:trPr>
          <w:cantSplit/>
        </w:trPr>
        <w:tc>
          <w:tcPr>
            <w:tcW w:type="dxa" w:w="21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Соль пищевая</w:t>
            </w:r>
          </w:p>
        </w:tc>
        <w:tc>
          <w:tcPr>
            <w:tcW w:type="dxa" w:w="18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не менее 85%</w:t>
            </w:r>
          </w:p>
        </w:tc>
        <w:tc>
          <w:tcPr>
            <w:tcW w:type="dxa" w:w="53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внешний вход; не имитировать локальное замыкание</w:t>
            </w:r>
          </w:p>
        </w:tc>
      </w:tr>
    </w:tbl>
    <w:p>
      <w:pPr>
        <w:spacing w:after="120"/>
        <w:keepLines/>
        <w:widowControl/>
      </w:pPr>
      <w:r>
        <w:rPr>
          <w:rFonts w:ascii="Arial" w:hAnsi="Arial" w:eastAsia="Arial" w:cs="Arial"/>
          <w:color w:val="172033"/>
          <w:sz w:val="20"/>
        </w:rPr>
        <w:t>Изменения 2025 года дополнили Доктрину контуром глобальной продовольственной безопасности. Проект может быть масштабируемым и экспортоспособным, но первым условием остаётся доказанная функция для целевой территории и соблюдение российских требований.</w:t>
      </w:r>
    </w:p>
    <w:p>
      <w:pPr>
        <w:spacing w:after="120"/>
        <w:keepLines/>
        <w:widowControl/>
      </w:pPr>
      <w:r>
        <w:rPr>
          <w:rFonts w:ascii="Arial" w:hAnsi="Arial" w:eastAsia="Arial" w:cs="Arial"/>
          <w:color w:val="5E6878"/>
          <w:sz w:val="17"/>
        </w:rPr>
        <w:t>Оценка Минсельхоза за 2025 год: зерно — 161%, рыба — 128,8%, мясо — 102%, картофель — 97,9%; ниже порога Доктрины оценивались овощи — 89,6%, молоко — 85,3%, фрукты и ягоды — 44%. Это оценка ведомства от 13.02.2026, а не окончательный баланс Росстата.</w:t>
      </w:r>
    </w:p>
    <w:p>
      <w:pPr>
        <w:spacing w:before="140" w:after="0"/>
      </w:pPr>
      <w:r>
        <w:rPr>
          <w:rFonts w:ascii="Arial" w:hAnsi="Arial" w:eastAsia="Arial" w:cs="Arial"/>
          <w:b/>
          <w:color w:val="5E6878"/>
          <w:sz w:val="16"/>
        </w:rPr>
        <w:t xml:space="preserve">Источник: </w:t>
      </w:r>
      <w:hyperlink r:id="rId13">
        <w:r>
          <w:rPr>
            <w:color w:val="2E74B5"/>
            <w:u w:val="single"/>
          </w:rPr>
          <w:t>Указ Президента РФ № 20 от 21.01.2020 и Указ № 141 от 10.03.2025</w:t>
        </w:r>
      </w:hyperlink>
    </w:p>
    <w:p>
      <w:pPr>
        <w:spacing w:before="140" w:after="0"/>
      </w:pPr>
      <w:r>
        <w:rPr>
          <w:rFonts w:ascii="Arial" w:hAnsi="Arial" w:eastAsia="Arial" w:cs="Arial"/>
          <w:b/>
          <w:color w:val="5E6878"/>
          <w:sz w:val="16"/>
        </w:rPr>
        <w:t xml:space="preserve">Источник: </w:t>
      </w:r>
      <w:hyperlink r:id="rId14">
        <w:r>
          <w:rPr>
            <w:color w:val="2E74B5"/>
            <w:u w:val="single"/>
          </w:rPr>
          <w:t>Минсельхоз России — оценка самообеспеченности по итогам 2025 года</w:t>
        </w:r>
      </w:hyperlink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06</w:t>
      </w:r>
      <w:r>
        <w:rPr>
          <w:rFonts w:ascii="Arial" w:hAnsi="Arial" w:eastAsia="Arial" w:cs="Arial"/>
          <w:b/>
          <w:color w:val="B28A2E"/>
          <w:sz w:val="18"/>
        </w:rPr>
        <w:t xml:space="preserve">  СИСТЕМНАЯ ПРОБЛЕМА</w:t>
      </w:r>
    </w:p>
    <w:p>
      <w:pPr>
        <w:pStyle w:val="Heading1"/>
        <w:keepLines/>
        <w:widowControl/>
        <w:keepNext/>
      </w:pPr>
      <w:r>
        <w:t>Почему валового выпуска недостаточно</w:t>
      </w:r>
    </w:p>
    <w:p>
      <w:pPr>
        <w:spacing w:after="200"/>
        <w:pBdr>
          <w:bottom w:val="single" w:sz="8" w:color="D6E1E9"/>
        </w:pBdr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tblHeader w:val="true"/>
          <w:cantSplit/>
          <w:cantSplit/>
          <w:cantSplit/>
        </w:trPr>
        <w:tc>
          <w:tcPr>
            <w:tcW w:type="dxa" w:w="3120"/>
            <w:shd w:fill="F9EBEA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7" w:color="A64040"/>
              <w:left w:val="single" w:sz="7" w:color="A64040"/>
              <w:bottom w:val="single" w:sz="7" w:color="A64040"/>
              <w:right w:val="single" w:sz="7" w:color="A64040"/>
            </w:tcBorders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color w:val="A64040"/>
                <w:sz w:val="40"/>
              </w:rPr>
              <w:t>645 млн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 w:cs="Arial"/>
                <w:b/>
                <w:color w:val="0B2545"/>
                <w:sz w:val="17"/>
              </w:rPr>
              <w:t>голод в 2025 году</w:t>
            </w:r>
          </w:p>
        </w:tc>
        <w:tc>
          <w:tcPr>
            <w:tcW w:type="dxa" w:w="3120"/>
            <w:shd w:fill="F8F1DE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7" w:color="B28A2E"/>
              <w:left w:val="single" w:sz="7" w:color="B28A2E"/>
              <w:bottom w:val="single" w:sz="7" w:color="B28A2E"/>
              <w:right w:val="single" w:sz="7" w:color="B28A2E"/>
            </w:tcBorders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color w:val="B28A2E"/>
                <w:sz w:val="40"/>
              </w:rPr>
              <w:t>2,1 млрд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 w:cs="Arial"/>
                <w:b/>
                <w:color w:val="0B2545"/>
                <w:sz w:val="17"/>
              </w:rPr>
              <w:t>умеренная/тяжёлая необеспеченность</w:t>
            </w:r>
          </w:p>
        </w:tc>
        <w:tc>
          <w:tcPr>
            <w:tcW w:type="dxa" w:w="3120"/>
            <w:shd w:fill="EAF5FB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7" w:color="2E74B5"/>
              <w:left w:val="single" w:sz="7" w:color="2E74B5"/>
              <w:bottom w:val="single" w:sz="7" w:color="2E74B5"/>
              <w:right w:val="single" w:sz="7" w:color="2E74B5"/>
            </w:tcBorders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color w:val="2E74B5"/>
                <w:sz w:val="40"/>
              </w:rPr>
              <w:t>2,69 млрд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 w:cs="Arial"/>
                <w:b/>
                <w:color w:val="0B2545"/>
                <w:sz w:val="17"/>
              </w:rPr>
              <w:t>не могут позволить здоровый рацион</w:t>
            </w:r>
          </w:p>
        </w:tc>
      </w:tr>
    </w:tbl>
    <w:p>
      <w:pPr>
        <w:spacing w:after="120"/>
        <w:keepLines/>
        <w:widowControl/>
      </w:pPr>
      <w:r>
        <w:rPr>
          <w:rFonts w:ascii="Arial" w:hAnsi="Arial" w:eastAsia="Arial" w:cs="Arial"/>
          <w:color w:val="172033"/>
          <w:sz w:val="20"/>
        </w:rPr>
        <w:t>SOFI 2026 показывает: рост производства сам по себе не гарантирует питание и доступность. Послефермерские операции — переработка, логистика, холодовая цепь и оптовое звено — формируют большую часть конечной цены. Следовательно, хранение, переработка, транспорт и контрактная доступность должны проектироваться одновременно с полем и животноводством.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50"/>
        <w:gridCol w:w="3060"/>
        <w:gridCol w:w="4250"/>
      </w:tblGrid>
      <w:tr>
        <w:trPr>
          <w:tblHeader w:val="true"/>
          <w:tblHeader w:val="true"/>
        </w:trPr>
        <w:tc>
          <w:tcPr>
            <w:tcW w:type="dxa" w:w="205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Если измерять только…</w:t>
            </w:r>
          </w:p>
        </w:tc>
        <w:tc>
          <w:tcPr>
            <w:tcW w:type="dxa" w:w="306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Скрытый риск</w:t>
            </w:r>
          </w:p>
        </w:tc>
        <w:tc>
          <w:tcPr>
            <w:tcW w:type="dxa" w:w="425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Что добавляет модель полного цикла</w:t>
            </w:r>
          </w:p>
        </w:tc>
      </w:tr>
      <w:tr>
        <w:trPr>
          <w:cantSplit/>
        </w:trPr>
        <w:tc>
          <w:tcPr>
            <w:tcW w:type="dxa" w:w="20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тонны продукции</w:t>
            </w:r>
          </w:p>
        </w:tc>
        <w:tc>
          <w:tcPr>
            <w:tcW w:type="dxa" w:w="30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потери, дефицит ассортимента, сезонный разрыв</w:t>
            </w:r>
          </w:p>
        </w:tc>
        <w:tc>
          <w:tcPr>
            <w:tcW w:type="dxa" w:w="42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баланс выхода, потерь, запасов и доступного рациона</w:t>
            </w:r>
          </w:p>
        </w:tc>
      </w:tr>
      <w:tr>
        <w:trPr>
          <w:cantSplit/>
        </w:trPr>
        <w:tc>
          <w:tcPr>
            <w:tcW w:type="dxa" w:w="20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урожайность</w:t>
            </w:r>
          </w:p>
        </w:tc>
        <w:tc>
          <w:tcPr>
            <w:tcW w:type="dxa" w:w="30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истощение почвы и воды, высокая вариативность</w:t>
            </w:r>
          </w:p>
        </w:tc>
        <w:tc>
          <w:tcPr>
            <w:tcW w:type="dxa" w:w="42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почвенный, водный и биоразнообразный контур</w:t>
            </w:r>
          </w:p>
        </w:tc>
      </w:tr>
      <w:tr>
        <w:trPr>
          <w:cantSplit/>
        </w:trPr>
        <w:tc>
          <w:tcPr>
            <w:tcW w:type="dxa" w:w="20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выручку</w:t>
            </w:r>
          </w:p>
        </w:tc>
        <w:tc>
          <w:tcPr>
            <w:tcW w:type="dxa" w:w="30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недоступная цена и зависимость от одного покупателя</w:t>
            </w:r>
          </w:p>
        </w:tc>
        <w:tc>
          <w:tcPr>
            <w:tcW w:type="dxa" w:w="42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off-take, социальный заказ, портфель рынков</w:t>
            </w:r>
          </w:p>
        </w:tc>
      </w:tr>
      <w:tr>
        <w:trPr>
          <w:cantSplit/>
        </w:trPr>
        <w:tc>
          <w:tcPr>
            <w:tcW w:type="dxa" w:w="20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«процент переработки»</w:t>
            </w:r>
          </w:p>
        </w:tc>
        <w:tc>
          <w:tcPr>
            <w:tcW w:type="dxa" w:w="30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санитарно опасный возврат остатка</w:t>
            </w:r>
          </w:p>
        </w:tc>
        <w:tc>
          <w:tcPr>
            <w:tcW w:type="dxa" w:w="42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классификация потоков и барьеры допуска</w:t>
            </w:r>
          </w:p>
        </w:tc>
      </w:tr>
      <w:tr>
        <w:trPr>
          <w:cantSplit/>
        </w:trPr>
        <w:tc>
          <w:tcPr>
            <w:tcW w:type="dxa" w:w="20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цифровизацию</w:t>
            </w:r>
          </w:p>
        </w:tc>
        <w:tc>
          <w:tcPr>
            <w:tcW w:type="dxa" w:w="30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данные без действий и ответственности</w:t>
            </w:r>
          </w:p>
        </w:tc>
        <w:tc>
          <w:tcPr>
            <w:tcW w:type="dxa" w:w="42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роли, пороги, журнал решений и независимая проверка</w:t>
            </w:r>
          </w:p>
        </w:tc>
      </w:tr>
    </w:tbl>
    <w:p>
      <w:pPr>
        <w:spacing w:before="140" w:after="0"/>
      </w:pPr>
      <w:r>
        <w:rPr>
          <w:rFonts w:ascii="Arial" w:hAnsi="Arial" w:eastAsia="Arial" w:cs="Arial"/>
          <w:b/>
          <w:color w:val="5E6878"/>
          <w:sz w:val="16"/>
        </w:rPr>
        <w:t xml:space="preserve">Источник: </w:t>
      </w:r>
      <w:hyperlink r:id="rId15">
        <w:r>
          <w:rPr>
            <w:color w:val="2E74B5"/>
            <w:u w:val="single"/>
          </w:rPr>
          <w:t>SOFI 2026 — официальный доклад FAO/IFAD/UNICEF/WFP/WHO</w:t>
        </w:r>
      </w:hyperlink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07</w:t>
      </w:r>
      <w:r>
        <w:rPr>
          <w:rFonts w:ascii="Arial" w:hAnsi="Arial" w:eastAsia="Arial" w:cs="Arial"/>
          <w:b/>
          <w:color w:val="B28A2E"/>
          <w:sz w:val="18"/>
        </w:rPr>
        <w:t xml:space="preserve">  ГРАНИЦЫ КОНЦЕПЦИИ</w:t>
      </w:r>
    </w:p>
    <w:p>
      <w:pPr>
        <w:pStyle w:val="Heading1"/>
        <w:keepLines/>
        <w:widowControl/>
        <w:keepNext/>
      </w:pPr>
      <w:r>
        <w:t>Ферма полного цикла: рабочее определение</w:t>
      </w:r>
    </w:p>
    <w:p>
      <w:pPr>
        <w:spacing w:after="200"/>
        <w:pBdr>
          <w:bottom w:val="single" w:sz="8" w:color="D6E1E9"/>
        </w:pBdr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9F4EF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8" w:color="2F7D68"/>
              <w:left w:val="single" w:sz="8" w:color="2F7D68"/>
              <w:bottom w:val="single" w:sz="8" w:color="2F7D68"/>
              <w:right w:val="single" w:sz="8" w:color="2F7D68"/>
            </w:tcBorders>
          </w:tcPr>
          <w:p>
            <w:pPr>
              <w:spacing w:after="100"/>
            </w:pPr>
            <w:r>
              <w:rPr>
                <w:rFonts w:ascii="Arial" w:hAnsi="Arial" w:eastAsia="Arial" w:cs="Arial"/>
                <w:b/>
                <w:color w:val="2F7D68"/>
                <w:sz w:val="18"/>
              </w:rPr>
              <w:t>ОПРЕДЕЛЕНИЕ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0B2545"/>
                <w:sz w:val="22"/>
              </w:rPr>
              <w:t>Модульная производственно-экологическая система, которая связывает землю, воду, генетические ресурсы, растениеводство, животноводство, переработку, хранение, рынок и безопасный возврат ресурсов под единым управлением и мониторингом.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20"/>
        <w:gridCol w:w="4740"/>
      </w:tblGrid>
      <w:tr>
        <w:trPr>
          <w:tblHeader w:val="true"/>
          <w:cantSplit/>
          <w:cantSplit/>
        </w:trPr>
        <w:tc>
          <w:tcPr>
            <w:tcW w:type="dxa" w:w="4620"/>
            <w:shd w:fill="E9F4EF"/>
            <w:tcMar>
              <w:top w:w="130" w:type="dxa"/>
              <w:start w:w="120" w:type="dxa"/>
              <w:bottom w:w="120" w:type="dxa"/>
              <w:end w:w="120" w:type="dxa"/>
            </w:tcMar>
            <w:tcBorders>
              <w:top w:val="single" w:sz="6" w:color="2E74B5"/>
              <w:left w:val="single" w:sz="6" w:color="2E74B5"/>
              <w:bottom w:val="single" w:sz="6" w:color="2E74B5"/>
              <w:right w:val="single" w:sz="6" w:color="2E74B5"/>
            </w:tcBorders>
          </w:tcPr>
          <w:p>
            <w:pPr>
              <w:spacing w:after="140"/>
            </w:pPr>
            <w:r>
              <w:rPr>
                <w:rFonts w:ascii="Arial" w:hAnsi="Arial" w:eastAsia="Arial" w:cs="Arial"/>
                <w:b/>
                <w:color w:val="2E74B5"/>
                <w:sz w:val="20"/>
              </w:rPr>
              <w:t>ЭТО ОЗНАЧАЕТ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один материальный и экономический баланс;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единый паспорт партии от источника до отзыва;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разделение чистых и загрязнённых потоков;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модульность: состав зависит от территории;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проектирование питания и рынка вместе с производством;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измеримое восстановление природного капитала.</w:t>
            </w:r>
          </w:p>
        </w:tc>
        <w:tc>
          <w:tcPr>
            <w:tcW w:type="dxa" w:w="4740"/>
            <w:shd w:fill="F9EBEA"/>
            <w:tcMar>
              <w:top w:w="130" w:type="dxa"/>
              <w:start w:w="120" w:type="dxa"/>
              <w:bottom w:w="120" w:type="dxa"/>
              <w:end w:w="120" w:type="dxa"/>
            </w:tcMar>
            <w:tcBorders>
              <w:top w:val="single" w:sz="6" w:color="2F7D68"/>
              <w:left w:val="single" w:sz="6" w:color="2F7D68"/>
              <w:bottom w:val="single" w:sz="6" w:color="2F7D68"/>
              <w:right w:val="single" w:sz="6" w:color="2F7D68"/>
            </w:tcBorders>
          </w:tcPr>
          <w:p>
            <w:pPr>
              <w:spacing w:after="140"/>
            </w:pPr>
            <w:r>
              <w:rPr>
                <w:rFonts w:ascii="Arial" w:hAnsi="Arial" w:eastAsia="Arial" w:cs="Arial"/>
                <w:b/>
                <w:color w:val="2F7D68"/>
                <w:sz w:val="20"/>
              </w:rPr>
              <w:t>ЭТО НЕ ОЗНАЧАЕТ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обязательное наличие всех видов животных и культур;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возврат любого отхода на поле или в корм;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отказ от внешних входов и рынков;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технологический оптимизм вместо разрешений;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замену ветеринарного, фитосанитарного и пищевого контроля;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гарантию рентабельности до расчёта сценариев.</w:t>
            </w:r>
          </w:p>
        </w:tc>
      </w:tr>
    </w:tbl>
    <w:p>
      <w:pPr>
        <w:spacing w:after="120"/>
        <w:keepLines/>
        <w:widowControl/>
      </w:pPr>
      <w:r>
        <w:rPr>
          <w:rFonts w:ascii="Arial" w:hAnsi="Arial" w:eastAsia="Arial" w:cs="Arial"/>
          <w:color w:val="172033"/>
          <w:sz w:val="20"/>
        </w:rPr>
        <w:t>Каталог содержит 19 модулей, но пилот включает только те, для которых доказаны ресурсная база, санитарная совместимость, оператор и сбыт. Остальные остаются опциями с условиями активации.</w:t>
      </w:r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08</w:t>
      </w:r>
      <w:r>
        <w:rPr>
          <w:rFonts w:ascii="Arial" w:hAnsi="Arial" w:eastAsia="Arial" w:cs="Arial"/>
          <w:b/>
          <w:color w:val="B28A2E"/>
          <w:sz w:val="18"/>
        </w:rPr>
        <w:t xml:space="preserve">  ЧЕТЫРЕ СЛОЯ</w:t>
      </w:r>
    </w:p>
    <w:p>
      <w:pPr>
        <w:pStyle w:val="Heading1"/>
        <w:keepLines/>
        <w:widowControl/>
        <w:keepNext/>
      </w:pPr>
      <w:r>
        <w:t>Биоценоз — территория как единая живая система</w:t>
      </w:r>
    </w:p>
    <w:p>
      <w:pPr>
        <w:spacing w:after="200"/>
        <w:pBdr>
          <w:bottom w:val="single" w:sz="8" w:color="D6E1E9"/>
        </w:pBdr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3900"/>
        <w:gridCol w:w="3760"/>
      </w:tblGrid>
      <w:tr>
        <w:trPr>
          <w:tblHeader w:val="true"/>
          <w:tblHeader w:val="true"/>
        </w:trPr>
        <w:tc>
          <w:tcPr>
            <w:tcW w:type="dxa" w:w="17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Слой</w:t>
            </w:r>
          </w:p>
        </w:tc>
        <w:tc>
          <w:tcPr>
            <w:tcW w:type="dxa" w:w="39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Что входит</w:t>
            </w:r>
          </w:p>
        </w:tc>
        <w:tc>
          <w:tcPr>
            <w:tcW w:type="dxa" w:w="376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Главный управленческий вопрос</w:t>
            </w:r>
          </w:p>
        </w:tc>
      </w:tr>
      <w:tr>
        <w:trPr>
          <w:cantSplit/>
        </w:trPr>
        <w:tc>
          <w:tcPr>
            <w:tcW w:type="dxa" w:w="17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Природный</w:t>
            </w:r>
          </w:p>
        </w:tc>
        <w:tc>
          <w:tcPr>
            <w:tcW w:type="dxa" w:w="39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почва, вода, рельеф, климат, растения, животные, микробиота</w:t>
            </w:r>
          </w:p>
        </w:tc>
        <w:tc>
          <w:tcPr>
            <w:tcW w:type="dxa" w:w="37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какая нагрузка допустима без деградации?</w:t>
            </w:r>
          </w:p>
        </w:tc>
      </w:tr>
      <w:tr>
        <w:trPr>
          <w:cantSplit/>
        </w:trPr>
        <w:tc>
          <w:tcPr>
            <w:tcW w:type="dxa" w:w="17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Производственный</w:t>
            </w:r>
          </w:p>
        </w:tc>
        <w:tc>
          <w:tcPr>
            <w:tcW w:type="dxa" w:w="39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культуры, стада, корма, техника, переработка, энергия</w:t>
            </w:r>
          </w:p>
        </w:tc>
        <w:tc>
          <w:tcPr>
            <w:tcW w:type="dxa" w:w="37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какие потоки создают продукт и какие — риск?</w:t>
            </w:r>
          </w:p>
        </w:tc>
      </w:tr>
      <w:tr>
        <w:trPr>
          <w:cantSplit/>
        </w:trPr>
        <w:tc>
          <w:tcPr>
            <w:tcW w:type="dxa" w:w="17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Инфраструктурный</w:t>
            </w:r>
          </w:p>
        </w:tc>
        <w:tc>
          <w:tcPr>
            <w:tcW w:type="dxa" w:w="39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дороги, вода, сети, склады, холод, лаборатории, связь</w:t>
            </w:r>
          </w:p>
        </w:tc>
        <w:tc>
          <w:tcPr>
            <w:tcW w:type="dxa" w:w="37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где находятся узкие места и резервирование?</w:t>
            </w:r>
          </w:p>
        </w:tc>
      </w:tr>
      <w:tr>
        <w:trPr>
          <w:cantSplit/>
        </w:trPr>
        <w:tc>
          <w:tcPr>
            <w:tcW w:type="dxa" w:w="17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Социальный</w:t>
            </w:r>
          </w:p>
        </w:tc>
        <w:tc>
          <w:tcPr>
            <w:tcW w:type="dxa" w:w="39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население, кадры, питание, собственники, покупатели, органы власти</w:t>
            </w:r>
          </w:p>
        </w:tc>
        <w:tc>
          <w:tcPr>
            <w:tcW w:type="dxa" w:w="37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кто получает пользу, несёт риск и принимает решение?</w:t>
            </w:r>
          </w:p>
        </w:tc>
      </w:tr>
    </w:tbl>
    <w:p>
      <w:pPr>
        <w:spacing w:after="120"/>
        <w:keepLines/>
        <w:widowControl/>
      </w:pPr>
      <w:r>
        <w:rPr>
          <w:rFonts w:ascii="Arial" w:hAnsi="Arial" w:eastAsia="Arial" w:cs="Arial"/>
          <w:color w:val="172033"/>
          <w:sz w:val="20"/>
        </w:rPr>
        <w:t>Биоценозная точка выступает «цифровым органом чувств» территории. Она не управляет хозяйством автоматически: регистрирует состояние и происхождение данных, выявляет отклонение, передаёт его в ЭКВИЛИБРИУМ и формирует проверяемое основание для человеческого решения.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AF5FB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8" w:color="2E74B5"/>
              <w:left w:val="single" w:sz="8" w:color="2E74B5"/>
              <w:bottom w:val="single" w:sz="8" w:color="2E74B5"/>
              <w:right w:val="single" w:sz="8" w:color="2E74B5"/>
            </w:tcBorders>
          </w:tcPr>
          <w:p>
            <w:pPr>
              <w:spacing w:after="100"/>
            </w:pPr>
            <w:r>
              <w:rPr>
                <w:rFonts w:ascii="Arial" w:hAnsi="Arial" w:eastAsia="Arial" w:cs="Arial"/>
                <w:b/>
                <w:color w:val="2E74B5"/>
                <w:sz w:val="18"/>
              </w:rPr>
              <w:t>ЦЕПОЧКА ВЕРИФИКАЦИИ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0B2545"/>
                <w:sz w:val="22"/>
              </w:rPr>
              <w:t>Биоценозная точка → ЭКВИЛИБРИУМ → ECO‑PPA → СПЕЦЗАЩИТА → подтверждённый результат → Архив наследия</w:t>
            </w:r>
          </w:p>
        </w:tc>
      </w:tr>
    </w:tbl>
    <w:p>
      <w:pPr>
        <w:spacing w:after="0"/>
      </w:pPr>
    </w:p>
    <w:p>
      <w:pPr>
        <w:spacing w:after="120"/>
        <w:keepLines/>
        <w:widowControl/>
      </w:pPr>
      <w:r>
        <w:rPr>
          <w:rFonts w:ascii="Arial" w:hAnsi="Arial" w:eastAsia="Arial" w:cs="Arial"/>
          <w:color w:val="172033"/>
          <w:sz w:val="20"/>
        </w:rPr>
        <w:t>Смысл цепочки — не административное усложнение, а отделение наблюдения, финансирования, исполнения и независимого подтверждения. Это снижает риск «самооценки» оператором собственных результатов.</w:t>
      </w:r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09</w:t>
      </w:r>
      <w:r>
        <w:rPr>
          <w:rFonts w:ascii="Arial" w:hAnsi="Arial" w:eastAsia="Arial" w:cs="Arial"/>
          <w:b/>
          <w:color w:val="B28A2E"/>
          <w:sz w:val="18"/>
        </w:rPr>
        <w:t xml:space="preserve">  АРХИТЕКТУРА ПОТОКОВ</w:t>
      </w:r>
    </w:p>
    <w:p>
      <w:pPr>
        <w:pStyle w:val="Heading1"/>
        <w:keepLines/>
        <w:widowControl/>
        <w:keepNext/>
      </w:pPr>
      <w:r>
        <w:t>Сквозной цикл: продукт движется вперёд, ресурсы возвращаются</w:t>
      </w:r>
    </w:p>
    <w:p>
      <w:pPr>
        <w:spacing w:after="200"/>
        <w:pBdr>
          <w:bottom w:val="single" w:sz="8" w:color="D6E1E9"/>
        </w:pBdr>
      </w:pPr>
    </w:p>
    <w:p>
      <w:pPr>
        <w:spacing w:after="140"/>
        <w:jc w:val="center"/>
      </w:pPr>
      <w:r>
        <w:drawing>
          <wp:inline xmlns:a="http://schemas.openxmlformats.org/drawingml/2006/main" xmlns:pic="http://schemas.openxmlformats.org/drawingml/2006/picture">
            <wp:extent cx="5925312" cy="3334760"/>
            <wp:docPr id="2" name="Picture 2" title="Сквозной цикл фермы" descr="Круговая композиция модулей: растениеводство, теплицы, животноводство, переработка, логистика, энергетика, компостирование и водоочистка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ull_cycle_cycle_visual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25312" cy="333476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00"/>
        <w:gridCol w:w="7760"/>
      </w:tblGrid>
      <w:tr>
        <w:trPr>
          <w:tblHeader w:val="true"/>
          <w:tblHeader w:val="true"/>
        </w:trPr>
        <w:tc>
          <w:tcPr>
            <w:tcW w:type="dxa" w:w="16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Поток</w:t>
            </w:r>
          </w:p>
        </w:tc>
        <w:tc>
          <w:tcPr>
            <w:tcW w:type="dxa" w:w="776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Правило</w:t>
            </w:r>
          </w:p>
        </w:tc>
      </w:tr>
      <w:tr>
        <w:trPr>
          <w:cantSplit/>
        </w:trPr>
        <w:tc>
          <w:tcPr>
            <w:tcW w:type="dxa" w:w="16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Пища</w:t>
            </w:r>
          </w:p>
        </w:tc>
        <w:tc>
          <w:tcPr>
            <w:tcW w:type="dxa" w:w="77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однонаправленно: сырьё → контроль → переработка → холод/хранение → рынок → отзыв</w:t>
            </w:r>
          </w:p>
        </w:tc>
      </w:tr>
      <w:tr>
        <w:trPr>
          <w:cantSplit/>
        </w:trPr>
        <w:tc>
          <w:tcPr>
            <w:tcW w:type="dxa" w:w="16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Вода</w:t>
            </w:r>
          </w:p>
        </w:tc>
        <w:tc>
          <w:tcPr>
            <w:tcW w:type="dxa" w:w="77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источник → подготовка → использование → раздельный сбор → очистка → допуск к повторному применению</w:t>
            </w:r>
          </w:p>
        </w:tc>
      </w:tr>
      <w:tr>
        <w:trPr>
          <w:cantSplit/>
        </w:trPr>
        <w:tc>
          <w:tcPr>
            <w:tcW w:type="dxa" w:w="16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Органика</w:t>
            </w:r>
          </w:p>
        </w:tc>
        <w:tc>
          <w:tcPr>
            <w:tcW w:type="dxa" w:w="77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классификация → карантин → анализ → компост/дигестат/утилизация по разрешённому маршруту</w:t>
            </w:r>
          </w:p>
        </w:tc>
      </w:tr>
      <w:tr>
        <w:trPr>
          <w:cantSplit/>
        </w:trPr>
        <w:tc>
          <w:tcPr>
            <w:tcW w:type="dxa" w:w="16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Энергия</w:t>
            </w:r>
          </w:p>
        </w:tc>
        <w:tc>
          <w:tcPr>
            <w:tcW w:type="dxa" w:w="77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эффективность → собственная генерация → накопление/резерв → учёт внешнего импорта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F9EBEA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8" w:color="A64040"/>
              <w:left w:val="single" w:sz="8" w:color="A64040"/>
              <w:bottom w:val="single" w:sz="8" w:color="A64040"/>
              <w:right w:val="single" w:sz="8" w:color="A64040"/>
            </w:tcBorders>
          </w:tcPr>
          <w:p>
            <w:pPr>
              <w:spacing w:after="100"/>
            </w:pPr>
            <w:r>
              <w:rPr>
                <w:rFonts w:ascii="Arial" w:hAnsi="Arial" w:eastAsia="Arial" w:cs="Arial"/>
                <w:b/>
                <w:color w:val="A64040"/>
                <w:sz w:val="18"/>
              </w:rPr>
              <w:t>КРИТИЧЕСКИЙ ПРИНЦИП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0B2545"/>
                <w:sz w:val="22"/>
              </w:rPr>
              <w:t>Цикличность ресурсов не отменяет линейность пищевой безопасности. Загрязнённый поток не пересекает чистый без валидированного барьера.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10</w:t>
      </w:r>
      <w:r>
        <w:rPr>
          <w:rFonts w:ascii="Arial" w:hAnsi="Arial" w:eastAsia="Arial" w:cs="Arial"/>
          <w:b/>
          <w:color w:val="B28A2E"/>
          <w:sz w:val="18"/>
        </w:rPr>
        <w:t xml:space="preserve">  КОНСТРУКТОР, А НЕ ОБЯЗАТЕЛЬНЫЙ НАБОР</w:t>
      </w:r>
    </w:p>
    <w:p>
      <w:pPr>
        <w:pStyle w:val="Heading1"/>
        <w:keepLines/>
        <w:widowControl/>
        <w:keepNext/>
      </w:pPr>
      <w:r>
        <w:t>Каталог из 19 модулей</w:t>
      </w:r>
    </w:p>
    <w:p>
      <w:pPr>
        <w:spacing w:after="200"/>
        <w:pBdr>
          <w:bottom w:val="single" w:sz="8" w:color="D6E1E9"/>
        </w:pBdr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2250"/>
        <w:gridCol w:w="3100"/>
        <w:gridCol w:w="3510"/>
      </w:tblGrid>
      <w:tr>
        <w:trPr>
          <w:tblHeader w:val="true"/>
          <w:tblHeader w:val="true"/>
        </w:trPr>
        <w:tc>
          <w:tcPr>
            <w:tcW w:type="dxa" w:w="5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25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5"/>
              </w:rPr>
              <w:t>Модуль</w:t>
            </w:r>
          </w:p>
        </w:tc>
        <w:tc>
          <w:tcPr>
            <w:tcW w:type="dxa" w:w="31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5"/>
              </w:rPr>
              <w:t>Функция</w:t>
            </w:r>
          </w:p>
        </w:tc>
        <w:tc>
          <w:tcPr>
            <w:tcW w:type="dxa" w:w="351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5"/>
              </w:rPr>
              <w:t>Условие включения</w:t>
            </w:r>
          </w:p>
        </w:tc>
      </w:tr>
      <w:tr>
        <w:trPr>
          <w:cantSplit/>
        </w:trPr>
        <w:tc>
          <w:tcPr>
            <w:tcW w:type="dxa" w:w="5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01</w:t>
            </w:r>
          </w:p>
        </w:tc>
        <w:tc>
          <w:tcPr>
            <w:tcW w:type="dxa" w:w="22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Базовая диагностика</w:t>
            </w:r>
          </w:p>
        </w:tc>
        <w:tc>
          <w:tcPr>
            <w:tcW w:type="dxa" w:w="31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границы, почва, вода, климат, биоразнообразие</w:t>
            </w:r>
          </w:p>
        </w:tc>
        <w:tc>
          <w:tcPr>
            <w:tcW w:type="dxa" w:w="351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право обследования и репрезентативная сеть точек</w:t>
            </w:r>
          </w:p>
        </w:tc>
      </w:tr>
      <w:tr>
        <w:trPr>
          <w:cantSplit/>
        </w:trPr>
        <w:tc>
          <w:tcPr>
            <w:tcW w:type="dxa" w:w="5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02</w:t>
            </w:r>
          </w:p>
        </w:tc>
        <w:tc>
          <w:tcPr>
            <w:tcW w:type="dxa" w:w="22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Семена и питомник</w:t>
            </w:r>
          </w:p>
        </w:tc>
        <w:tc>
          <w:tcPr>
            <w:tcW w:type="dxa" w:w="31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генетический материал, рассада, резерв</w:t>
            </w:r>
          </w:p>
        </w:tc>
        <w:tc>
          <w:tcPr>
            <w:tcW w:type="dxa" w:w="351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прослеживаемость и районирование</w:t>
            </w:r>
          </w:p>
        </w:tc>
      </w:tr>
      <w:tr>
        <w:trPr>
          <w:cantSplit/>
        </w:trPr>
        <w:tc>
          <w:tcPr>
            <w:tcW w:type="dxa" w:w="5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03</w:t>
            </w:r>
          </w:p>
        </w:tc>
        <w:tc>
          <w:tcPr>
            <w:tcW w:type="dxa" w:w="22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Полевые культуры</w:t>
            </w:r>
          </w:p>
        </w:tc>
        <w:tc>
          <w:tcPr>
            <w:tcW w:type="dxa" w:w="31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пища, корм, севооборот</w:t>
            </w:r>
          </w:p>
        </w:tc>
        <w:tc>
          <w:tcPr>
            <w:tcW w:type="dxa" w:w="351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подходящие почвы и водный бюджет</w:t>
            </w:r>
          </w:p>
        </w:tc>
      </w:tr>
      <w:tr>
        <w:trPr>
          <w:cantSplit/>
        </w:trPr>
        <w:tc>
          <w:tcPr>
            <w:tcW w:type="dxa" w:w="5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04</w:t>
            </w:r>
          </w:p>
        </w:tc>
        <w:tc>
          <w:tcPr>
            <w:tcW w:type="dxa" w:w="22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Защищённый грунт</w:t>
            </w:r>
          </w:p>
        </w:tc>
        <w:tc>
          <w:tcPr>
            <w:tcW w:type="dxa" w:w="31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сезонное выравнивание</w:t>
            </w:r>
          </w:p>
        </w:tc>
        <w:tc>
          <w:tcPr>
            <w:tcW w:type="dxa" w:w="351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энергия, вода, рынок</w:t>
            </w:r>
          </w:p>
        </w:tc>
      </w:tr>
      <w:tr>
        <w:trPr>
          <w:cantSplit/>
        </w:trPr>
        <w:tc>
          <w:tcPr>
            <w:tcW w:type="dxa" w:w="5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05</w:t>
            </w:r>
          </w:p>
        </w:tc>
        <w:tc>
          <w:tcPr>
            <w:tcW w:type="dxa" w:w="22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Корма</w:t>
            </w:r>
          </w:p>
        </w:tc>
        <w:tc>
          <w:tcPr>
            <w:tcW w:type="dxa" w:w="31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баланс рационов и резерв</w:t>
            </w:r>
          </w:p>
        </w:tc>
        <w:tc>
          <w:tcPr>
            <w:tcW w:type="dxa" w:w="351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связь с фактическим поголовьем</w:t>
            </w:r>
          </w:p>
        </w:tc>
      </w:tr>
      <w:tr>
        <w:trPr>
          <w:cantSplit/>
        </w:trPr>
        <w:tc>
          <w:tcPr>
            <w:tcW w:type="dxa" w:w="5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06</w:t>
            </w:r>
          </w:p>
        </w:tc>
        <w:tc>
          <w:tcPr>
            <w:tcW w:type="dxa" w:w="22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Животноводство/птица</w:t>
            </w:r>
          </w:p>
        </w:tc>
        <w:tc>
          <w:tcPr>
            <w:tcW w:type="dxa" w:w="31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белок и побочные потоки</w:t>
            </w:r>
          </w:p>
        </w:tc>
        <w:tc>
          <w:tcPr>
            <w:tcW w:type="dxa" w:w="351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ветеринарная зона и кормовая база</w:t>
            </w:r>
          </w:p>
        </w:tc>
      </w:tr>
      <w:tr>
        <w:trPr>
          <w:cantSplit/>
        </w:trPr>
        <w:tc>
          <w:tcPr>
            <w:tcW w:type="dxa" w:w="5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07</w:t>
            </w:r>
          </w:p>
        </w:tc>
        <w:tc>
          <w:tcPr>
            <w:tcW w:type="dxa" w:w="22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Аквакультура</w:t>
            </w:r>
          </w:p>
        </w:tc>
        <w:tc>
          <w:tcPr>
            <w:tcW w:type="dxa" w:w="31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дополнительный белок</w:t>
            </w:r>
          </w:p>
        </w:tc>
        <w:tc>
          <w:tcPr>
            <w:tcW w:type="dxa" w:w="351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качество воды и эпизоотическая оценка</w:t>
            </w:r>
          </w:p>
        </w:tc>
      </w:tr>
      <w:tr>
        <w:trPr>
          <w:cantSplit/>
        </w:trPr>
        <w:tc>
          <w:tcPr>
            <w:tcW w:type="dxa" w:w="5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08</w:t>
            </w:r>
          </w:p>
        </w:tc>
        <w:tc>
          <w:tcPr>
            <w:tcW w:type="dxa" w:w="22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Вет-/фитосанитария</w:t>
            </w:r>
          </w:p>
        </w:tc>
        <w:tc>
          <w:tcPr>
            <w:tcW w:type="dxa" w:w="31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профилактика, карантин, контроль</w:t>
            </w:r>
          </w:p>
        </w:tc>
        <w:tc>
          <w:tcPr>
            <w:tcW w:type="dxa" w:w="351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обязательный модуль</w:t>
            </w:r>
          </w:p>
        </w:tc>
      </w:tr>
      <w:tr>
        <w:trPr>
          <w:cantSplit/>
        </w:trPr>
        <w:tc>
          <w:tcPr>
            <w:tcW w:type="dxa" w:w="5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09</w:t>
            </w:r>
          </w:p>
        </w:tc>
        <w:tc>
          <w:tcPr>
            <w:tcW w:type="dxa" w:w="22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Первичная обработка</w:t>
            </w:r>
          </w:p>
        </w:tc>
        <w:tc>
          <w:tcPr>
            <w:tcW w:type="dxa" w:w="31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мойка, сортировка, охлаждение</w:t>
            </w:r>
          </w:p>
        </w:tc>
        <w:tc>
          <w:tcPr>
            <w:tcW w:type="dxa" w:w="351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HACCP/GHP и чистые зоны</w:t>
            </w:r>
          </w:p>
        </w:tc>
      </w:tr>
      <w:tr>
        <w:trPr>
          <w:cantSplit/>
        </w:trPr>
        <w:tc>
          <w:tcPr>
            <w:tcW w:type="dxa" w:w="5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10</w:t>
            </w:r>
          </w:p>
        </w:tc>
        <w:tc>
          <w:tcPr>
            <w:tcW w:type="dxa" w:w="22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Глубокая переработка</w:t>
            </w:r>
          </w:p>
        </w:tc>
        <w:tc>
          <w:tcPr>
            <w:tcW w:type="dxa" w:w="31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ассортимент и срок хранения</w:t>
            </w:r>
          </w:p>
        </w:tc>
        <w:tc>
          <w:tcPr>
            <w:tcW w:type="dxa" w:w="351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рынок, рецептура, оборудование, разрешения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2250"/>
        <w:gridCol w:w="3100"/>
        <w:gridCol w:w="3510"/>
      </w:tblGrid>
      <w:tr>
        <w:trPr>
          <w:tblHeader w:val="true"/>
          <w:tblHeader w:val="true"/>
        </w:trPr>
        <w:tc>
          <w:tcPr>
            <w:tcW w:type="dxa" w:w="5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25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5"/>
              </w:rPr>
              <w:t>Модуль</w:t>
            </w:r>
          </w:p>
        </w:tc>
        <w:tc>
          <w:tcPr>
            <w:tcW w:type="dxa" w:w="31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5"/>
              </w:rPr>
              <w:t>Функция</w:t>
            </w:r>
          </w:p>
        </w:tc>
        <w:tc>
          <w:tcPr>
            <w:tcW w:type="dxa" w:w="351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5"/>
              </w:rPr>
              <w:t>Условие включения</w:t>
            </w:r>
          </w:p>
        </w:tc>
      </w:tr>
      <w:tr>
        <w:trPr>
          <w:cantSplit/>
        </w:trPr>
        <w:tc>
          <w:tcPr>
            <w:tcW w:type="dxa" w:w="5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11</w:t>
            </w:r>
          </w:p>
        </w:tc>
        <w:tc>
          <w:tcPr>
            <w:tcW w:type="dxa" w:w="22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Склад и холод</w:t>
            </w:r>
          </w:p>
        </w:tc>
        <w:tc>
          <w:tcPr>
            <w:tcW w:type="dxa" w:w="31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буфер сезонности и качества</w:t>
            </w:r>
          </w:p>
        </w:tc>
        <w:tc>
          <w:tcPr>
            <w:tcW w:type="dxa" w:w="351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холодовая цепь и резерв энергии</w:t>
            </w:r>
          </w:p>
        </w:tc>
      </w:tr>
      <w:tr>
        <w:trPr>
          <w:cantSplit/>
        </w:trPr>
        <w:tc>
          <w:tcPr>
            <w:tcW w:type="dxa" w:w="5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12</w:t>
            </w:r>
          </w:p>
        </w:tc>
        <w:tc>
          <w:tcPr>
            <w:tcW w:type="dxa" w:w="22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Упаковка/маркировка</w:t>
            </w:r>
          </w:p>
        </w:tc>
        <w:tc>
          <w:tcPr>
            <w:tcW w:type="dxa" w:w="31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безопасность и идентификация</w:t>
            </w:r>
          </w:p>
        </w:tc>
        <w:tc>
          <w:tcPr>
            <w:tcW w:type="dxa" w:w="351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ТР ЕАЭС и данные партии</w:t>
            </w:r>
          </w:p>
        </w:tc>
      </w:tr>
      <w:tr>
        <w:trPr>
          <w:cantSplit/>
        </w:trPr>
        <w:tc>
          <w:tcPr>
            <w:tcW w:type="dxa" w:w="5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13</w:t>
            </w:r>
          </w:p>
        </w:tc>
        <w:tc>
          <w:tcPr>
            <w:tcW w:type="dxa" w:w="22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Вода и энергия</w:t>
            </w:r>
          </w:p>
        </w:tc>
        <w:tc>
          <w:tcPr>
            <w:tcW w:type="dxa" w:w="31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надёжность и повторное использование</w:t>
            </w:r>
          </w:p>
        </w:tc>
        <w:tc>
          <w:tcPr>
            <w:tcW w:type="dxa" w:w="351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балансы и разрешения</w:t>
            </w:r>
          </w:p>
        </w:tc>
      </w:tr>
      <w:tr>
        <w:trPr>
          <w:cantSplit/>
        </w:trPr>
        <w:tc>
          <w:tcPr>
            <w:tcW w:type="dxa" w:w="5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14</w:t>
            </w:r>
          </w:p>
        </w:tc>
        <w:tc>
          <w:tcPr>
            <w:tcW w:type="dxa" w:w="22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Органические остатки</w:t>
            </w:r>
          </w:p>
        </w:tc>
        <w:tc>
          <w:tcPr>
            <w:tcW w:type="dxa" w:w="31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компост, биогаз, безопасная утилизация</w:t>
            </w:r>
          </w:p>
        </w:tc>
        <w:tc>
          <w:tcPr>
            <w:tcW w:type="dxa" w:w="351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анализ загрязнений и допуск</w:t>
            </w:r>
          </w:p>
        </w:tc>
      </w:tr>
      <w:tr>
        <w:trPr>
          <w:cantSplit/>
        </w:trPr>
        <w:tc>
          <w:tcPr>
            <w:tcW w:type="dxa" w:w="5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15</w:t>
            </w:r>
          </w:p>
        </w:tc>
        <w:tc>
          <w:tcPr>
            <w:tcW w:type="dxa" w:w="22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Лаборатория/мониторинг</w:t>
            </w:r>
          </w:p>
        </w:tc>
        <w:tc>
          <w:tcPr>
            <w:tcW w:type="dxa" w:w="31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контроль среды, сырья и продукта</w:t>
            </w:r>
          </w:p>
        </w:tc>
        <w:tc>
          <w:tcPr>
            <w:tcW w:type="dxa" w:w="351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аккредитованные методы/внешняя лаборатория</w:t>
            </w:r>
          </w:p>
        </w:tc>
      </w:tr>
      <w:tr>
        <w:trPr>
          <w:cantSplit/>
        </w:trPr>
        <w:tc>
          <w:tcPr>
            <w:tcW w:type="dxa" w:w="5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16</w:t>
            </w:r>
          </w:p>
        </w:tc>
        <w:tc>
          <w:tcPr>
            <w:tcW w:type="dxa" w:w="22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Логистика и рынок</w:t>
            </w:r>
          </w:p>
        </w:tc>
        <w:tc>
          <w:tcPr>
            <w:tcW w:type="dxa" w:w="31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доступ, off-take, возврат/отзыв</w:t>
            </w:r>
          </w:p>
        </w:tc>
        <w:tc>
          <w:tcPr>
            <w:tcW w:type="dxa" w:w="351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контракты и карта спроса</w:t>
            </w:r>
          </w:p>
        </w:tc>
      </w:tr>
      <w:tr>
        <w:trPr>
          <w:cantSplit/>
        </w:trPr>
        <w:tc>
          <w:tcPr>
            <w:tcW w:type="dxa" w:w="5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17</w:t>
            </w:r>
          </w:p>
        </w:tc>
        <w:tc>
          <w:tcPr>
            <w:tcW w:type="dxa" w:w="22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Обучение и R&amp;D</w:t>
            </w:r>
          </w:p>
        </w:tc>
        <w:tc>
          <w:tcPr>
            <w:tcW w:type="dxa" w:w="31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кадры, испытания, протоколы</w:t>
            </w:r>
          </w:p>
        </w:tc>
        <w:tc>
          <w:tcPr>
            <w:tcW w:type="dxa" w:w="351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ответственные партнёры</w:t>
            </w:r>
          </w:p>
        </w:tc>
      </w:tr>
      <w:tr>
        <w:trPr>
          <w:cantSplit/>
        </w:trPr>
        <w:tc>
          <w:tcPr>
            <w:tcW w:type="dxa" w:w="5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18</w:t>
            </w:r>
          </w:p>
        </w:tc>
        <w:tc>
          <w:tcPr>
            <w:tcW w:type="dxa" w:w="22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Управление и финансы</w:t>
            </w:r>
          </w:p>
        </w:tc>
        <w:tc>
          <w:tcPr>
            <w:tcW w:type="dxa" w:w="31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мандат, бюджет, страхование, KPI</w:t>
            </w:r>
          </w:p>
        </w:tc>
        <w:tc>
          <w:tcPr>
            <w:tcW w:type="dxa" w:w="351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оператор и наблюдательный контур</w:t>
            </w:r>
          </w:p>
        </w:tc>
      </w:tr>
      <w:tr>
        <w:trPr>
          <w:cantSplit/>
        </w:trPr>
        <w:tc>
          <w:tcPr>
            <w:tcW w:type="dxa" w:w="5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19</w:t>
            </w:r>
          </w:p>
        </w:tc>
        <w:tc>
          <w:tcPr>
            <w:tcW w:type="dxa" w:w="22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Архив наследия</w:t>
            </w:r>
          </w:p>
        </w:tc>
        <w:tc>
          <w:tcPr>
            <w:tcW w:type="dxa" w:w="31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версии, решения, доказательства, лицензии</w:t>
            </w:r>
          </w:p>
        </w:tc>
        <w:tc>
          <w:tcPr>
            <w:tcW w:type="dxa" w:w="351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обязательный модуль</w:t>
            </w:r>
          </w:p>
        </w:tc>
      </w:tr>
    </w:tbl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11</w:t>
      </w:r>
      <w:r>
        <w:rPr>
          <w:rFonts w:ascii="Arial" w:hAnsi="Arial" w:eastAsia="Arial" w:cs="Arial"/>
          <w:b/>
          <w:color w:val="B28A2E"/>
          <w:sz w:val="18"/>
        </w:rPr>
        <w:t xml:space="preserve">  НИКАКОГО ДВОЙНОГО СЧЁТА</w:t>
      </w:r>
    </w:p>
    <w:p>
      <w:pPr>
        <w:pStyle w:val="Heading1"/>
        <w:keepLines/>
        <w:widowControl/>
        <w:keepNext/>
      </w:pPr>
      <w:r>
        <w:t>Правила материального баланса</w:t>
      </w:r>
    </w:p>
    <w:p>
      <w:pPr>
        <w:spacing w:after="200"/>
        <w:pBdr>
          <w:bottom w:val="single" w:sz="8" w:color="D6E1E9"/>
        </w:pBdr>
      </w:pPr>
    </w:p>
    <w:p>
      <w:pPr>
        <w:spacing w:after="120"/>
        <w:keepLines/>
        <w:widowControl/>
      </w:pPr>
      <w:r>
        <w:rPr>
          <w:rFonts w:ascii="Arial" w:hAnsi="Arial" w:eastAsia="Arial" w:cs="Arial"/>
          <w:color w:val="172033"/>
          <w:sz w:val="20"/>
        </w:rPr>
        <w:t>Для каждой культуры, стада и переработки строится баланс массы, воды, азота, фосфора, энергии и стоимости. Единица времени и границы системы фиксируются заранее. Каждый выход имеет один статус: товар, внутренний ресурс, запас, потеря, возврат, рискованный остаток или утилизация.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4180"/>
        <w:gridCol w:w="2880"/>
      </w:tblGrid>
      <w:tr>
        <w:trPr>
          <w:tblHeader w:val="true"/>
          <w:tblHeader w:val="true"/>
        </w:trPr>
        <w:tc>
          <w:tcPr>
            <w:tcW w:type="dxa" w:w="23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Правило</w:t>
            </w:r>
          </w:p>
        </w:tc>
        <w:tc>
          <w:tcPr>
            <w:tcW w:type="dxa" w:w="418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Проверка</w:t>
            </w:r>
          </w:p>
        </w:tc>
        <w:tc>
          <w:tcPr>
            <w:tcW w:type="dxa" w:w="288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Стоп-сигнал</w:t>
            </w:r>
          </w:p>
        </w:tc>
      </w:tr>
      <w:tr>
        <w:trPr>
          <w:cantSplit/>
        </w:trPr>
        <w:tc>
          <w:tcPr>
            <w:tcW w:type="dxa" w:w="23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Сохранение массы</w:t>
            </w:r>
          </w:p>
        </w:tc>
        <w:tc>
          <w:tcPr>
            <w:tcW w:type="dxa" w:w="418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вход = товар + внутреннее использование + запас + потери + остатки</w:t>
            </w:r>
          </w:p>
        </w:tc>
        <w:tc>
          <w:tcPr>
            <w:tcW w:type="dxa" w:w="288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необъяснимый разрыв больше допуска измерения</w:t>
            </w:r>
          </w:p>
        </w:tc>
      </w:tr>
      <w:tr>
        <w:trPr>
          <w:cantSplit/>
        </w:trPr>
        <w:tc>
          <w:tcPr>
            <w:tcW w:type="dxa" w:w="23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Один экономический эффект</w:t>
            </w:r>
          </w:p>
        </w:tc>
        <w:tc>
          <w:tcPr>
            <w:tcW w:type="dxa" w:w="418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побочный продукт — либо выручка, либо предотвращённый расход</w:t>
            </w:r>
          </w:p>
        </w:tc>
        <w:tc>
          <w:tcPr>
            <w:tcW w:type="dxa" w:w="288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одновременный учёт в двух эффектах</w:t>
            </w:r>
          </w:p>
        </w:tc>
      </w:tr>
      <w:tr>
        <w:trPr>
          <w:cantSplit/>
        </w:trPr>
        <w:tc>
          <w:tcPr>
            <w:tcW w:type="dxa" w:w="23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Качество важнее объёма</w:t>
            </w:r>
          </w:p>
        </w:tc>
        <w:tc>
          <w:tcPr>
            <w:tcW w:type="dxa" w:w="418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учёт сухого вещества, класса, пищевой пригодности</w:t>
            </w:r>
          </w:p>
        </w:tc>
        <w:tc>
          <w:tcPr>
            <w:tcW w:type="dxa" w:w="288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тонны без качества и назначения</w:t>
            </w:r>
          </w:p>
        </w:tc>
      </w:tr>
      <w:tr>
        <w:trPr>
          <w:cantSplit/>
        </w:trPr>
        <w:tc>
          <w:tcPr>
            <w:tcW w:type="dxa" w:w="23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Вода по назначению</w:t>
            </w:r>
          </w:p>
        </w:tc>
        <w:tc>
          <w:tcPr>
            <w:tcW w:type="dxa" w:w="418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источник, качество, участок применения, возврат</w:t>
            </w:r>
          </w:p>
        </w:tc>
        <w:tc>
          <w:tcPr>
            <w:tcW w:type="dxa" w:w="288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смешение дождевой, технологической и навозной воды</w:t>
            </w:r>
          </w:p>
        </w:tc>
      </w:tr>
      <w:tr>
        <w:trPr>
          <w:cantSplit/>
        </w:trPr>
        <w:tc>
          <w:tcPr>
            <w:tcW w:type="dxa" w:w="23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Питательные вещества</w:t>
            </w:r>
          </w:p>
        </w:tc>
        <w:tc>
          <w:tcPr>
            <w:tcW w:type="dxa" w:w="418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N/P/K: источник, усвоение, запас, выброс, риск выноса</w:t>
            </w:r>
          </w:p>
        </w:tc>
        <w:tc>
          <w:tcPr>
            <w:tcW w:type="dxa" w:w="288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положительный «эффект» при накоплении загрязнения</w:t>
            </w:r>
          </w:p>
        </w:tc>
      </w:tr>
      <w:tr>
        <w:trPr>
          <w:cantSplit/>
        </w:trPr>
        <w:tc>
          <w:tcPr>
            <w:tcW w:type="dxa" w:w="23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Граница расчёта</w:t>
            </w:r>
          </w:p>
        </w:tc>
        <w:tc>
          <w:tcPr>
            <w:tcW w:type="dxa" w:w="418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что внутри фермы, что относится к поставщику/рынку</w:t>
            </w:r>
          </w:p>
        </w:tc>
        <w:tc>
          <w:tcPr>
            <w:tcW w:type="dxa" w:w="288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перенос воздействия за границу без раскрытия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AF5FB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8" w:color="2E74B5"/>
              <w:left w:val="single" w:sz="8" w:color="2E74B5"/>
              <w:bottom w:val="single" w:sz="8" w:color="2E74B5"/>
              <w:right w:val="single" w:sz="8" w:color="2E74B5"/>
            </w:tcBorders>
          </w:tcPr>
          <w:p>
            <w:pPr>
              <w:spacing w:after="100"/>
            </w:pPr>
            <w:r>
              <w:rPr>
                <w:rFonts w:ascii="Arial" w:hAnsi="Arial" w:eastAsia="Arial" w:cs="Arial"/>
                <w:b/>
                <w:color w:val="2E74B5"/>
                <w:sz w:val="18"/>
              </w:rPr>
              <w:t>МИНИМАЛЬНЫЙ ЦИФРОВОЙ ОБЪЕКТ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0B2545"/>
                <w:sz w:val="22"/>
              </w:rPr>
              <w:t>Партия / поток получает ID, источник, массу и качество, владельца, разрешённый маршрут, контрольные точки, дату, связанные документы и итоговый статус.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12</w:t>
      </w:r>
      <w:r>
        <w:rPr>
          <w:rFonts w:ascii="Arial" w:hAnsi="Arial" w:eastAsia="Arial" w:cs="Arial"/>
          <w:b/>
          <w:color w:val="B28A2E"/>
          <w:sz w:val="18"/>
        </w:rPr>
        <w:t xml:space="preserve">  ПРИРОДНЫЙ КАПИТАЛ</w:t>
      </w:r>
    </w:p>
    <w:p>
      <w:pPr>
        <w:pStyle w:val="Heading1"/>
        <w:keepLines/>
        <w:widowControl/>
        <w:keepNext/>
      </w:pPr>
      <w:r>
        <w:t>Почва и биоразнообразие — производственный актив</w:t>
      </w:r>
    </w:p>
    <w:p>
      <w:pPr>
        <w:spacing w:after="200"/>
        <w:pBdr>
          <w:bottom w:val="single" w:sz="8" w:color="D6E1E9"/>
        </w:pBdr>
      </w:pPr>
    </w:p>
    <w:p>
      <w:pPr>
        <w:spacing w:after="120"/>
        <w:keepLines/>
        <w:widowControl/>
      </w:pPr>
      <w:r>
        <w:rPr>
          <w:rFonts w:ascii="Arial" w:hAnsi="Arial" w:eastAsia="Arial" w:cs="Arial"/>
          <w:color w:val="172033"/>
          <w:sz w:val="20"/>
        </w:rPr>
        <w:t>Почва рассматривается не как фон, а как актив с измеряемой несущей способностью. Базовая линия фиксируется до проектных обещаний. Изменение оценивается по сопоставимым участкам, сезонам и методам; единичное измерение не доказывает тренд.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450"/>
        <w:gridCol w:w="2700"/>
        <w:gridCol w:w="3330"/>
        <w:gridCol w:w="1880"/>
      </w:tblGrid>
      <w:tr>
        <w:trPr>
          <w:tblHeader w:val="true"/>
          <w:tblHeader w:val="true"/>
        </w:trPr>
        <w:tc>
          <w:tcPr>
            <w:tcW w:type="dxa" w:w="145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Контур</w:t>
            </w:r>
          </w:p>
        </w:tc>
        <w:tc>
          <w:tcPr>
            <w:tcW w:type="dxa" w:w="27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Базовая диагностика</w:t>
            </w:r>
          </w:p>
        </w:tc>
        <w:tc>
          <w:tcPr>
            <w:tcW w:type="dxa" w:w="333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Управляющее действие</w:t>
            </w:r>
          </w:p>
        </w:tc>
        <w:tc>
          <w:tcPr>
            <w:tcW w:type="dxa" w:w="188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KPI-тренд</w:t>
            </w:r>
          </w:p>
        </w:tc>
      </w:tr>
      <w:tr>
        <w:trPr>
          <w:cantSplit/>
        </w:trPr>
        <w:tc>
          <w:tcPr>
            <w:tcW w:type="dxa" w:w="14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Плодородие</w:t>
            </w:r>
          </w:p>
        </w:tc>
        <w:tc>
          <w:tcPr>
            <w:tcW w:type="dxa" w:w="27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органический углерод/вещество, pH, структура, N/P/K</w:t>
            </w:r>
          </w:p>
        </w:tc>
        <w:tc>
          <w:tcPr>
            <w:tcW w:type="dxa" w:w="333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севооборот, покровные культуры, точное питание</w:t>
            </w:r>
          </w:p>
        </w:tc>
        <w:tc>
          <w:tcPr>
            <w:tcW w:type="dxa" w:w="188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стабильность/рост без избыточного баланса</w:t>
            </w:r>
          </w:p>
        </w:tc>
      </w:tr>
      <w:tr>
        <w:trPr>
          <w:cantSplit/>
        </w:trPr>
        <w:tc>
          <w:tcPr>
            <w:tcW w:type="dxa" w:w="14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Эрозия</w:t>
            </w:r>
          </w:p>
        </w:tc>
        <w:tc>
          <w:tcPr>
            <w:tcW w:type="dxa" w:w="27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склон, покров, смыв, уплотнение</w:t>
            </w:r>
          </w:p>
        </w:tc>
        <w:tc>
          <w:tcPr>
            <w:tcW w:type="dxa" w:w="333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контурная обработка, полосы, ограничение проезда</w:t>
            </w:r>
          </w:p>
        </w:tc>
        <w:tc>
          <w:tcPr>
            <w:tcW w:type="dxa" w:w="188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снижение оголённой почвы и смыва</w:t>
            </w:r>
          </w:p>
        </w:tc>
      </w:tr>
      <w:tr>
        <w:trPr>
          <w:cantSplit/>
        </w:trPr>
        <w:tc>
          <w:tcPr>
            <w:tcW w:type="dxa" w:w="14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Биота</w:t>
            </w:r>
          </w:p>
        </w:tc>
        <w:tc>
          <w:tcPr>
            <w:tcW w:type="dxa" w:w="27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дождевые черви, микробиота, опылители, птицы</w:t>
            </w:r>
          </w:p>
        </w:tc>
        <w:tc>
          <w:tcPr>
            <w:tcW w:type="dxa" w:w="333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рефугиумы, лесополосы, снижение токсической нагрузки</w:t>
            </w:r>
          </w:p>
        </w:tc>
        <w:tc>
          <w:tcPr>
            <w:tcW w:type="dxa" w:w="188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рост функционального разнообразия</w:t>
            </w:r>
          </w:p>
        </w:tc>
      </w:tr>
      <w:tr>
        <w:trPr>
          <w:cantSplit/>
        </w:trPr>
        <w:tc>
          <w:tcPr>
            <w:tcW w:type="dxa" w:w="14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Загрязнение</w:t>
            </w:r>
          </w:p>
        </w:tc>
        <w:tc>
          <w:tcPr>
            <w:tcW w:type="dxa" w:w="27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тяжёлые металлы, пестициды, патогены по риску</w:t>
            </w:r>
          </w:p>
        </w:tc>
        <w:tc>
          <w:tcPr>
            <w:tcW w:type="dxa" w:w="333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зонирование, запрет/ремедиация, контроль входов</w:t>
            </w:r>
          </w:p>
        </w:tc>
        <w:tc>
          <w:tcPr>
            <w:tcW w:type="dxa" w:w="188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отсутствие превышений и переноса в пищу</w:t>
            </w:r>
          </w:p>
        </w:tc>
      </w:tr>
    </w:tbl>
    <w:p>
      <w:pPr>
        <w:spacing w:after="120"/>
        <w:keepLines/>
        <w:widowControl/>
      </w:pPr>
      <w:r>
        <w:rPr>
          <w:rFonts w:ascii="Arial" w:hAnsi="Arial" w:eastAsia="Arial" w:cs="Arial"/>
          <w:color w:val="172033"/>
          <w:sz w:val="20"/>
        </w:rPr>
        <w:t>Практики выбираются по результату, а не по ярлыку «органическое» или «регенеративное». FAO рассматривает разнообразие, синергии, эффективность, устойчивость и переработку ресурсов как взаимосвязанные элементы агроэкологического перехода.</w:t>
      </w:r>
    </w:p>
    <w:p>
      <w:pPr>
        <w:spacing w:before="140" w:after="0"/>
      </w:pPr>
      <w:r>
        <w:rPr>
          <w:rFonts w:ascii="Arial" w:hAnsi="Arial" w:eastAsia="Arial" w:cs="Arial"/>
          <w:b/>
          <w:color w:val="5E6878"/>
          <w:sz w:val="16"/>
        </w:rPr>
        <w:t xml:space="preserve">Источник: </w:t>
      </w:r>
      <w:hyperlink r:id="rId17">
        <w:r>
          <w:rPr>
            <w:color w:val="2E74B5"/>
            <w:u w:val="single"/>
          </w:rPr>
          <w:t>FAO: 10 элементов агроэкологии</w:t>
        </w:r>
      </w:hyperlink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13</w:t>
      </w:r>
      <w:r>
        <w:rPr>
          <w:rFonts w:ascii="Arial" w:hAnsi="Arial" w:eastAsia="Arial" w:cs="Arial"/>
          <w:b/>
          <w:color w:val="B28A2E"/>
          <w:sz w:val="18"/>
        </w:rPr>
        <w:t xml:space="preserve">  ВОДНАЯ БЕЗОПАСНОСТЬ</w:t>
      </w:r>
    </w:p>
    <w:p>
      <w:pPr>
        <w:pStyle w:val="Heading1"/>
        <w:keepLines/>
        <w:widowControl/>
        <w:keepNext/>
      </w:pPr>
      <w:r>
        <w:t>Водный контур: источник, качество, повторное применение</w:t>
      </w:r>
    </w:p>
    <w:p>
      <w:pPr>
        <w:spacing w:after="200"/>
        <w:pBdr>
          <w:bottom w:val="single" w:sz="8" w:color="D6E1E9"/>
        </w:pBdr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360"/>
        <w:gridCol w:w="4200"/>
      </w:tblGrid>
      <w:tr>
        <w:trPr>
          <w:tblHeader w:val="true"/>
          <w:tblHeader w:val="true"/>
        </w:trPr>
        <w:tc>
          <w:tcPr>
            <w:tcW w:type="dxa" w:w="18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Зона воды</w:t>
            </w:r>
          </w:p>
        </w:tc>
        <w:tc>
          <w:tcPr>
            <w:tcW w:type="dxa" w:w="336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Минимальный контроль</w:t>
            </w:r>
          </w:p>
        </w:tc>
        <w:tc>
          <w:tcPr>
            <w:tcW w:type="dxa" w:w="42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Допустимое действие</w:t>
            </w:r>
          </w:p>
        </w:tc>
      </w:tr>
      <w:tr>
        <w:trPr>
          <w:cantSplit/>
        </w:trPr>
        <w:tc>
          <w:tcPr>
            <w:tcW w:type="dxa" w:w="18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Питьевая/пищевая</w:t>
            </w:r>
          </w:p>
        </w:tc>
        <w:tc>
          <w:tcPr>
            <w:tcW w:type="dxa" w:w="33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микробиология, химия, источник, резерв</w:t>
            </w:r>
          </w:p>
        </w:tc>
        <w:tc>
          <w:tcPr>
            <w:tcW w:type="dxa" w:w="42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только подготовленная вода и подтверждённая схема</w:t>
            </w:r>
          </w:p>
        </w:tc>
      </w:tr>
      <w:tr>
        <w:trPr>
          <w:cantSplit/>
        </w:trPr>
        <w:tc>
          <w:tcPr>
            <w:tcW w:type="dxa" w:w="18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Поливная</w:t>
            </w:r>
          </w:p>
        </w:tc>
        <w:tc>
          <w:tcPr>
            <w:tcW w:type="dxa" w:w="33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соли, патогены, приоритетные загрязнители, культура</w:t>
            </w:r>
          </w:p>
        </w:tc>
        <w:tc>
          <w:tcPr>
            <w:tcW w:type="dxa" w:w="42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риск-ориентированный выбор способа и срока полива</w:t>
            </w:r>
          </w:p>
        </w:tc>
      </w:tr>
      <w:tr>
        <w:trPr>
          <w:cantSplit/>
        </w:trPr>
        <w:tc>
          <w:tcPr>
            <w:tcW w:type="dxa" w:w="18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Технологическая</w:t>
            </w:r>
          </w:p>
        </w:tc>
        <w:tc>
          <w:tcPr>
            <w:tcW w:type="dxa" w:w="33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точка процесса и продуктовый контакт</w:t>
            </w:r>
          </w:p>
        </w:tc>
        <w:tc>
          <w:tcPr>
            <w:tcW w:type="dxa" w:w="42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разделение контуров, CIP, журнал качества</w:t>
            </w:r>
          </w:p>
        </w:tc>
      </w:tr>
      <w:tr>
        <w:trPr>
          <w:cantSplit/>
        </w:trPr>
        <w:tc>
          <w:tcPr>
            <w:tcW w:type="dxa" w:w="18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Дождевая</w:t>
            </w:r>
          </w:p>
        </w:tc>
        <w:tc>
          <w:tcPr>
            <w:tcW w:type="dxa" w:w="33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площадь сбора, первая промывка, хранение</w:t>
            </w:r>
          </w:p>
        </w:tc>
        <w:tc>
          <w:tcPr>
            <w:tcW w:type="dxa" w:w="42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непищевые нужды или подготовка по назначению</w:t>
            </w:r>
          </w:p>
        </w:tc>
      </w:tr>
      <w:tr>
        <w:trPr>
          <w:cantSplit/>
        </w:trPr>
        <w:tc>
          <w:tcPr>
            <w:tcW w:type="dxa" w:w="18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Стоки</w:t>
            </w:r>
          </w:p>
        </w:tc>
        <w:tc>
          <w:tcPr>
            <w:tcW w:type="dxa" w:w="33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раздельный сбор: бытовые, технологические, навозные</w:t>
            </w:r>
          </w:p>
        </w:tc>
        <w:tc>
          <w:tcPr>
            <w:tcW w:type="dxa" w:w="42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очистка, лабораторный допуск, контролируемый сброс/повтор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tblHeader w:val="true"/>
          <w:cantSplit/>
          <w:cantSplit/>
          <w:cantSplit/>
          <w:cantSplit/>
        </w:trPr>
        <w:tc>
          <w:tcPr>
            <w:tcW w:type="dxa" w:w="2340"/>
            <w:shd w:fill="EAF5FB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7" w:color="2E74B5"/>
              <w:left w:val="single" w:sz="7" w:color="2E74B5"/>
              <w:bottom w:val="single" w:sz="7" w:color="2E74B5"/>
              <w:right w:val="single" w:sz="7" w:color="2E74B5"/>
            </w:tcBorders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color w:val="2E74B5"/>
                <w:sz w:val="40"/>
              </w:rPr>
              <w:t>м³/т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 w:cs="Arial"/>
                <w:b/>
                <w:color w:val="0B2545"/>
                <w:sz w:val="17"/>
              </w:rPr>
              <w:t>водоёмкость продукта</w:t>
            </w:r>
          </w:p>
        </w:tc>
        <w:tc>
          <w:tcPr>
            <w:tcW w:type="dxa" w:w="2340"/>
            <w:shd w:fill="F8F1DE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7" w:color="B28A2E"/>
              <w:left w:val="single" w:sz="7" w:color="B28A2E"/>
              <w:bottom w:val="single" w:sz="7" w:color="B28A2E"/>
              <w:right w:val="single" w:sz="7" w:color="B28A2E"/>
            </w:tcBorders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color w:val="B28A2E"/>
                <w:sz w:val="40"/>
              </w:rPr>
              <w:t>дни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 w:cs="Arial"/>
                <w:b/>
                <w:color w:val="0B2545"/>
                <w:sz w:val="17"/>
              </w:rPr>
              <w:t>резерв водоснабжения</w:t>
            </w:r>
          </w:p>
        </w:tc>
        <w:tc>
          <w:tcPr>
            <w:tcW w:type="dxa" w:w="2340"/>
            <w:shd w:fill="E9F4EF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7" w:color="2F7D68"/>
              <w:left w:val="single" w:sz="7" w:color="2F7D68"/>
              <w:bottom w:val="single" w:sz="7" w:color="2F7D68"/>
              <w:right w:val="single" w:sz="7" w:color="2F7D68"/>
            </w:tcBorders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color w:val="2F7D68"/>
                <w:sz w:val="40"/>
              </w:rPr>
              <w:t>%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 w:cs="Arial"/>
                <w:b/>
                <w:color w:val="0B2545"/>
                <w:sz w:val="17"/>
              </w:rPr>
              <w:t>повторное использование по допуску</w:t>
            </w:r>
          </w:p>
        </w:tc>
        <w:tc>
          <w:tcPr>
            <w:tcW w:type="dxa" w:w="2340"/>
            <w:shd w:fill="F9EBEA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7" w:color="A64040"/>
              <w:left w:val="single" w:sz="7" w:color="A64040"/>
              <w:bottom w:val="single" w:sz="7" w:color="A64040"/>
              <w:right w:val="single" w:sz="7" w:color="A64040"/>
            </w:tcBorders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color w:val="A64040"/>
                <w:sz w:val="40"/>
              </w:rPr>
              <w:t>0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 w:cs="Arial"/>
                <w:b/>
                <w:color w:val="0B2545"/>
                <w:sz w:val="17"/>
              </w:rPr>
              <w:t>неразрешённых сбросов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F9EBEA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8" w:color="A64040"/>
              <w:left w:val="single" w:sz="8" w:color="A64040"/>
              <w:bottom w:val="single" w:sz="8" w:color="A64040"/>
              <w:right w:val="single" w:sz="8" w:color="A64040"/>
            </w:tcBorders>
          </w:tcPr>
          <w:p>
            <w:pPr>
              <w:spacing w:after="100"/>
            </w:pPr>
            <w:r>
              <w:rPr>
                <w:rFonts w:ascii="Arial" w:hAnsi="Arial" w:eastAsia="Arial" w:cs="Arial"/>
                <w:b/>
                <w:color w:val="A64040"/>
                <w:sz w:val="18"/>
              </w:rPr>
              <w:t>ЗАПРЕТ УПРОЩЕНИЯ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0B2545"/>
                <w:sz w:val="22"/>
              </w:rPr>
              <w:t>Процент повторного использования не является целью сам по себе. Приоритет — безопасность продукта, людей, почвы и водного объекта; затем ресурсная эффективность.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14</w:t>
      </w:r>
      <w:r>
        <w:rPr>
          <w:rFonts w:ascii="Arial" w:hAnsi="Arial" w:eastAsia="Arial" w:cs="Arial"/>
          <w:b/>
          <w:color w:val="B28A2E"/>
          <w:sz w:val="18"/>
        </w:rPr>
        <w:t xml:space="preserve">  СЕМЕНА И СЕВООБОРОТ</w:t>
      </w:r>
    </w:p>
    <w:p>
      <w:pPr>
        <w:pStyle w:val="Heading1"/>
        <w:keepLines/>
        <w:widowControl/>
        <w:keepNext/>
      </w:pPr>
      <w:r>
        <w:t>Растениеводство: питание, корм и устойчивость</w:t>
      </w:r>
    </w:p>
    <w:p>
      <w:pPr>
        <w:spacing w:after="200"/>
        <w:pBdr>
          <w:bottom w:val="single" w:sz="8" w:color="D6E1E9"/>
        </w:pBdr>
      </w:pPr>
    </w:p>
    <w:p>
      <w:pPr>
        <w:spacing w:after="120"/>
        <w:keepLines/>
        <w:widowControl/>
      </w:pPr>
      <w:r>
        <w:rPr>
          <w:rFonts w:ascii="Arial" w:hAnsi="Arial" w:eastAsia="Arial" w:cs="Arial"/>
          <w:color w:val="172033"/>
          <w:sz w:val="20"/>
        </w:rPr>
        <w:t>Структура посевов выводится из рациона целевой территории, агроклиматических условий, почв, воды, кормовой потребности и контрактов. Монокультура может давать краткосрочный объём, но снижать стабильность и увеличивать зависимость от внешних средств производства.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50"/>
        <w:gridCol w:w="3830"/>
        <w:gridCol w:w="3480"/>
      </w:tblGrid>
      <w:tr>
        <w:trPr>
          <w:tblHeader w:val="true"/>
          <w:tblHeader w:val="true"/>
        </w:trPr>
        <w:tc>
          <w:tcPr>
            <w:tcW w:type="dxa" w:w="205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Функция</w:t>
            </w:r>
          </w:p>
        </w:tc>
        <w:tc>
          <w:tcPr>
            <w:tcW w:type="dxa" w:w="383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Решение</w:t>
            </w:r>
          </w:p>
        </w:tc>
        <w:tc>
          <w:tcPr>
            <w:tcW w:type="dxa" w:w="348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Доказательство</w:t>
            </w:r>
          </w:p>
        </w:tc>
      </w:tr>
      <w:tr>
        <w:trPr>
          <w:cantSplit/>
        </w:trPr>
        <w:tc>
          <w:tcPr>
            <w:tcW w:type="dxa" w:w="20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Пища</w:t>
            </w:r>
          </w:p>
        </w:tc>
        <w:tc>
          <w:tcPr>
            <w:tcW w:type="dxa" w:w="383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базовые культуры + овощи/бобовые + опционально плоды</w:t>
            </w:r>
          </w:p>
        </w:tc>
        <w:tc>
          <w:tcPr>
            <w:tcW w:type="dxa" w:w="348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план продуктового выхода и нутритивного вклада</w:t>
            </w:r>
          </w:p>
        </w:tc>
      </w:tr>
      <w:tr>
        <w:trPr>
          <w:cantSplit/>
        </w:trPr>
        <w:tc>
          <w:tcPr>
            <w:tcW w:type="dxa" w:w="20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Корм</w:t>
            </w:r>
          </w:p>
        </w:tc>
        <w:tc>
          <w:tcPr>
            <w:tcW w:type="dxa" w:w="383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травы, зерно, бобовые, побочные продукты по допуску</w:t>
            </w:r>
          </w:p>
        </w:tc>
        <w:tc>
          <w:tcPr>
            <w:tcW w:type="dxa" w:w="348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рационы, запасы, качество и микотоксины</w:t>
            </w:r>
          </w:p>
        </w:tc>
      </w:tr>
      <w:tr>
        <w:trPr>
          <w:cantSplit/>
        </w:trPr>
        <w:tc>
          <w:tcPr>
            <w:tcW w:type="dxa" w:w="20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Почва</w:t>
            </w:r>
          </w:p>
        </w:tc>
        <w:tc>
          <w:tcPr>
            <w:tcW w:type="dxa" w:w="383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севооборот, покров, многолетние элементы</w:t>
            </w:r>
          </w:p>
        </w:tc>
        <w:tc>
          <w:tcPr>
            <w:tcW w:type="dxa" w:w="348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баланс углерода и питательных веществ</w:t>
            </w:r>
          </w:p>
        </w:tc>
      </w:tr>
      <w:tr>
        <w:trPr>
          <w:cantSplit/>
        </w:trPr>
        <w:tc>
          <w:tcPr>
            <w:tcW w:type="dxa" w:w="20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Генетическая устойчивость</w:t>
            </w:r>
          </w:p>
        </w:tc>
        <w:tc>
          <w:tcPr>
            <w:tcW w:type="dxa" w:w="383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районированные сорта, диверсификация, резерв семян</w:t>
            </w:r>
          </w:p>
        </w:tc>
        <w:tc>
          <w:tcPr>
            <w:tcW w:type="dxa" w:w="348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происхождение, всхожесть, фитосанитарный статус</w:t>
            </w:r>
          </w:p>
        </w:tc>
      </w:tr>
      <w:tr>
        <w:trPr>
          <w:cantSplit/>
        </w:trPr>
        <w:tc>
          <w:tcPr>
            <w:tcW w:type="dxa" w:w="20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Защита растений</w:t>
            </w:r>
          </w:p>
        </w:tc>
        <w:tc>
          <w:tcPr>
            <w:tcW w:type="dxa" w:w="383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интегрированная защита и пороги вмешательства</w:t>
            </w:r>
          </w:p>
        </w:tc>
        <w:tc>
          <w:tcPr>
            <w:tcW w:type="dxa" w:w="348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журнал наблюдений, применение, остатки и эффект</w:t>
            </w:r>
          </w:p>
        </w:tc>
      </w:tr>
      <w:tr>
        <w:trPr>
          <w:cantSplit/>
        </w:trPr>
        <w:tc>
          <w:tcPr>
            <w:tcW w:type="dxa" w:w="20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Сезонность</w:t>
            </w:r>
          </w:p>
        </w:tc>
        <w:tc>
          <w:tcPr>
            <w:tcW w:type="dxa" w:w="383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хранение, защищённый грунт, договорная кооперация</w:t>
            </w:r>
          </w:p>
        </w:tc>
        <w:tc>
          <w:tcPr>
            <w:tcW w:type="dxa" w:w="348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помесячный баланс наличия и спроса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9F4EF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8" w:color="2F7D68"/>
              <w:left w:val="single" w:sz="8" w:color="2F7D68"/>
              <w:bottom w:val="single" w:sz="8" w:color="2F7D68"/>
              <w:right w:val="single" w:sz="8" w:color="2F7D68"/>
            </w:tcBorders>
          </w:tcPr>
          <w:p>
            <w:pPr>
              <w:spacing w:after="100"/>
            </w:pPr>
            <w:r>
              <w:rPr>
                <w:rFonts w:ascii="Arial" w:hAnsi="Arial" w:eastAsia="Arial" w:cs="Arial"/>
                <w:b/>
                <w:color w:val="2F7D68"/>
                <w:sz w:val="18"/>
              </w:rPr>
              <w:t>ПРОЕКТНАЯ ЦЕЛЬ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0B2545"/>
                <w:sz w:val="22"/>
              </w:rPr>
              <w:t>Не «максимальная урожайность любой ценой», а стабильный выход безопасной продукции при восстанавливаемой почве, контролируемой воде и приемлемой себестоимости.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15</w:t>
      </w:r>
      <w:r>
        <w:rPr>
          <w:rFonts w:ascii="Arial" w:hAnsi="Arial" w:eastAsia="Arial" w:cs="Arial"/>
          <w:b/>
          <w:color w:val="B28A2E"/>
          <w:sz w:val="18"/>
        </w:rPr>
        <w:t xml:space="preserve">  БИОЗАЩИТА</w:t>
      </w:r>
    </w:p>
    <w:p>
      <w:pPr>
        <w:pStyle w:val="Heading1"/>
        <w:keepLines/>
        <w:widowControl/>
        <w:keepNext/>
      </w:pPr>
      <w:r>
        <w:t>Животные, растения, человек и среда: One Health</w:t>
      </w:r>
    </w:p>
    <w:p>
      <w:pPr>
        <w:spacing w:after="200"/>
        <w:pBdr>
          <w:bottom w:val="single" w:sz="8" w:color="D6E1E9"/>
        </w:pBdr>
      </w:pPr>
    </w:p>
    <w:p>
      <w:pPr>
        <w:spacing w:after="120"/>
        <w:keepLines/>
        <w:widowControl/>
      </w:pPr>
      <w:r>
        <w:rPr>
          <w:rFonts w:ascii="Arial" w:hAnsi="Arial" w:eastAsia="Arial" w:cs="Arial"/>
          <w:color w:val="172033"/>
          <w:sz w:val="20"/>
        </w:rPr>
        <w:t>One Health — интегрированный подход, который связывает здоровье людей, домашних и диких животных, растений и экосистем. Для полного цикла это означает отдельный план биобезопасности, карантин, ветеринарный контроль, управление антимикробными препаратами и барьеры между потоками.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50"/>
        <w:gridCol w:w="4260"/>
        <w:gridCol w:w="3050"/>
      </w:tblGrid>
      <w:tr>
        <w:trPr>
          <w:tblHeader w:val="true"/>
          <w:tblHeader w:val="true"/>
        </w:trPr>
        <w:tc>
          <w:tcPr>
            <w:tcW w:type="dxa" w:w="205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Барьер</w:t>
            </w:r>
          </w:p>
        </w:tc>
        <w:tc>
          <w:tcPr>
            <w:tcW w:type="dxa" w:w="426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Что проверяется</w:t>
            </w:r>
          </w:p>
        </w:tc>
        <w:tc>
          <w:tcPr>
            <w:tcW w:type="dxa" w:w="305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Решение при нарушении</w:t>
            </w:r>
          </w:p>
        </w:tc>
      </w:tr>
      <w:tr>
        <w:trPr>
          <w:cantSplit/>
        </w:trPr>
        <w:tc>
          <w:tcPr>
            <w:tcW w:type="dxa" w:w="20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Вход животных/птицы/рыбы</w:t>
            </w:r>
          </w:p>
        </w:tc>
        <w:tc>
          <w:tcPr>
            <w:tcW w:type="dxa" w:w="42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источник, статус, транспорт, карантин</w:t>
            </w:r>
          </w:p>
        </w:tc>
        <w:tc>
          <w:tcPr>
            <w:tcW w:type="dxa" w:w="30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изоляция, диагностика, запрет ввода</w:t>
            </w:r>
          </w:p>
        </w:tc>
      </w:tr>
      <w:tr>
        <w:trPr>
          <w:cantSplit/>
        </w:trPr>
        <w:tc>
          <w:tcPr>
            <w:tcW w:type="dxa" w:w="20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Корма и вода</w:t>
            </w:r>
          </w:p>
        </w:tc>
        <w:tc>
          <w:tcPr>
            <w:tcW w:type="dxa" w:w="42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патогены, микотоксины, химические риски, прослеживаемость</w:t>
            </w:r>
          </w:p>
        </w:tc>
        <w:tc>
          <w:tcPr>
            <w:tcW w:type="dxa" w:w="30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блокировка партии, альтернативный резерв</w:t>
            </w:r>
          </w:p>
        </w:tc>
      </w:tr>
      <w:tr>
        <w:trPr>
          <w:cantSplit/>
        </w:trPr>
        <w:tc>
          <w:tcPr>
            <w:tcW w:type="dxa" w:w="20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Зонирование</w:t>
            </w:r>
          </w:p>
        </w:tc>
        <w:tc>
          <w:tcPr>
            <w:tcW w:type="dxa" w:w="42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чистые/грязные маршруты, посетители, техника, дикая фауна</w:t>
            </w:r>
          </w:p>
        </w:tc>
        <w:tc>
          <w:tcPr>
            <w:tcW w:type="dxa" w:w="30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санпропускник, дезинфекция, корректировка потоков</w:t>
            </w:r>
          </w:p>
        </w:tc>
      </w:tr>
      <w:tr>
        <w:trPr>
          <w:cantSplit/>
        </w:trPr>
        <w:tc>
          <w:tcPr>
            <w:tcW w:type="dxa" w:w="20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Здоровье и благополучие</w:t>
            </w:r>
          </w:p>
        </w:tc>
        <w:tc>
          <w:tcPr>
            <w:tcW w:type="dxa" w:w="42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осмотры, смертность, продуктивность, условия содержания</w:t>
            </w:r>
          </w:p>
        </w:tc>
        <w:tc>
          <w:tcPr>
            <w:tcW w:type="dxa" w:w="30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ветеринарное решение и журнал действий</w:t>
            </w:r>
          </w:p>
        </w:tc>
      </w:tr>
      <w:tr>
        <w:trPr>
          <w:cantSplit/>
        </w:trPr>
        <w:tc>
          <w:tcPr>
            <w:tcW w:type="dxa" w:w="20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Навоз и падёж</w:t>
            </w:r>
          </w:p>
        </w:tc>
        <w:tc>
          <w:tcPr>
            <w:tcW w:type="dxa" w:w="42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раздельный сбор, хранение, патогены, маршрут</w:t>
            </w:r>
          </w:p>
        </w:tc>
        <w:tc>
          <w:tcPr>
            <w:tcW w:type="dxa" w:w="30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обезвреживание/утилизация; запрет несанкционированного возврата</w:t>
            </w:r>
          </w:p>
        </w:tc>
      </w:tr>
      <w:tr>
        <w:trPr>
          <w:cantSplit/>
        </w:trPr>
        <w:tc>
          <w:tcPr>
            <w:tcW w:type="dxa" w:w="20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Антимикробные средства</w:t>
            </w:r>
          </w:p>
        </w:tc>
        <w:tc>
          <w:tcPr>
            <w:tcW w:type="dxa" w:w="42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показания, назначение, сроки ожидания, остатки</w:t>
            </w:r>
          </w:p>
        </w:tc>
        <w:tc>
          <w:tcPr>
            <w:tcW w:type="dxa" w:w="30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исключение партии и расследование причины</w:t>
            </w:r>
          </w:p>
        </w:tc>
      </w:tr>
    </w:tbl>
    <w:p>
      <w:pPr>
        <w:spacing w:before="140" w:after="0"/>
      </w:pPr>
      <w:r>
        <w:rPr>
          <w:rFonts w:ascii="Arial" w:hAnsi="Arial" w:eastAsia="Arial" w:cs="Arial"/>
          <w:b/>
          <w:color w:val="5E6878"/>
          <w:sz w:val="16"/>
        </w:rPr>
        <w:t xml:space="preserve">Источник: </w:t>
      </w:r>
      <w:hyperlink r:id="rId18">
        <w:r>
          <w:rPr>
            <w:color w:val="2E74B5"/>
            <w:u w:val="single"/>
          </w:rPr>
          <w:t>WHO: One Health; совместный план FAO–UNEP–WHO–WOAH продлён до 2029 года</w:t>
        </w:r>
      </w:hyperlink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16</w:t>
      </w:r>
      <w:r>
        <w:rPr>
          <w:rFonts w:ascii="Arial" w:hAnsi="Arial" w:eastAsia="Arial" w:cs="Arial"/>
          <w:b/>
          <w:color w:val="B28A2E"/>
          <w:sz w:val="18"/>
        </w:rPr>
        <w:t xml:space="preserve">  CODEX ALIMENTARIUS</w:t>
      </w:r>
    </w:p>
    <w:p>
      <w:pPr>
        <w:pStyle w:val="Heading1"/>
        <w:keepLines/>
        <w:widowControl/>
        <w:keepNext/>
      </w:pPr>
      <w:r>
        <w:t>Безопасность пищи: GHP + HACCP по всей цепи</w:t>
      </w:r>
    </w:p>
    <w:p>
      <w:pPr>
        <w:spacing w:after="200"/>
        <w:pBdr>
          <w:bottom w:val="single" w:sz="8" w:color="D6E1E9"/>
        </w:pBdr>
      </w:pPr>
    </w:p>
    <w:p>
      <w:pPr>
        <w:spacing w:after="120"/>
        <w:keepLines/>
        <w:widowControl/>
      </w:pPr>
      <w:r>
        <w:rPr>
          <w:rFonts w:ascii="Arial" w:hAnsi="Arial" w:eastAsia="Arial" w:cs="Arial"/>
          <w:color w:val="172033"/>
          <w:sz w:val="20"/>
        </w:rPr>
        <w:t>Редакция CXC 1-1969 (2022) разделяет надлежащие гигиенические практики и HACCP. HACCP применяется там, где базовых практик недостаточно. План строится для конкретного продукта и процесса, валидируется до запуска и проверяется в эксплуатации.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6560"/>
      </w:tblGrid>
      <w:tr>
        <w:trPr>
          <w:tblHeader w:val="true"/>
          <w:tblHeader w:val="true"/>
        </w:trPr>
        <w:tc>
          <w:tcPr>
            <w:tcW w:type="dxa" w:w="28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Принцип HACCP</w:t>
            </w:r>
          </w:p>
        </w:tc>
        <w:tc>
          <w:tcPr>
            <w:tcW w:type="dxa" w:w="656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Результат для фермы полного цикла</w:t>
            </w:r>
          </w:p>
        </w:tc>
      </w:tr>
      <w:tr>
        <w:trPr>
          <w:cantSplit/>
        </w:trPr>
        <w:tc>
          <w:tcPr>
            <w:tcW w:type="dxa" w:w="28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1. Анализ опасностей</w:t>
            </w:r>
          </w:p>
        </w:tc>
        <w:tc>
          <w:tcPr>
            <w:tcW w:type="dxa" w:w="65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биологические, химические и физические опасности от почвы/корма до транспорта</w:t>
            </w:r>
          </w:p>
        </w:tc>
      </w:tr>
      <w:tr>
        <w:trPr>
          <w:cantSplit/>
        </w:trPr>
        <w:tc>
          <w:tcPr>
            <w:tcW w:type="dxa" w:w="28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2. Критические контрольные точки</w:t>
            </w:r>
          </w:p>
        </w:tc>
        <w:tc>
          <w:tcPr>
            <w:tcW w:type="dxa" w:w="65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только точки, где контроль критичен для приемлемости продукта</w:t>
            </w:r>
          </w:p>
        </w:tc>
      </w:tr>
      <w:tr>
        <w:trPr>
          <w:cantSplit/>
        </w:trPr>
        <w:tc>
          <w:tcPr>
            <w:tcW w:type="dxa" w:w="28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3. Критические пределы</w:t>
            </w:r>
          </w:p>
        </w:tc>
        <w:tc>
          <w:tcPr>
            <w:tcW w:type="dxa" w:w="65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валидированные температура, время, pH или иной измеримый предел</w:t>
            </w:r>
          </w:p>
        </w:tc>
      </w:tr>
      <w:tr>
        <w:trPr>
          <w:cantSplit/>
        </w:trPr>
        <w:tc>
          <w:tcPr>
            <w:tcW w:type="dxa" w:w="28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4. Мониторинг</w:t>
            </w:r>
          </w:p>
        </w:tc>
        <w:tc>
          <w:tcPr>
            <w:tcW w:type="dxa" w:w="65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кто, что, как, когда измеряет и куда записывает</w:t>
            </w:r>
          </w:p>
        </w:tc>
      </w:tr>
      <w:tr>
        <w:trPr>
          <w:cantSplit/>
        </w:trPr>
        <w:tc>
          <w:tcPr>
            <w:tcW w:type="dxa" w:w="28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5. Корректирующее действие</w:t>
            </w:r>
          </w:p>
        </w:tc>
        <w:tc>
          <w:tcPr>
            <w:tcW w:type="dxa" w:w="65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удержание продукта, восстановление контроля, расследование причины</w:t>
            </w:r>
          </w:p>
        </w:tc>
      </w:tr>
      <w:tr>
        <w:trPr>
          <w:cantSplit/>
        </w:trPr>
        <w:tc>
          <w:tcPr>
            <w:tcW w:type="dxa" w:w="28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6. Валидация и верификация</w:t>
            </w:r>
          </w:p>
        </w:tc>
        <w:tc>
          <w:tcPr>
            <w:tcW w:type="dxa" w:w="65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доказательство плана и независимая проверка исполнения</w:t>
            </w:r>
          </w:p>
        </w:tc>
      </w:tr>
      <w:tr>
        <w:trPr>
          <w:cantSplit/>
        </w:trPr>
        <w:tc>
          <w:tcPr>
            <w:tcW w:type="dxa" w:w="28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7. Записи</w:t>
            </w:r>
          </w:p>
        </w:tc>
        <w:tc>
          <w:tcPr>
            <w:tcW w:type="dxa" w:w="65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прослеживаемая версия плана, события, отклонения, выпуск и отзыв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F9EBEA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8" w:color="A64040"/>
              <w:left w:val="single" w:sz="8" w:color="A64040"/>
              <w:bottom w:val="single" w:sz="8" w:color="A64040"/>
              <w:right w:val="single" w:sz="8" w:color="A64040"/>
            </w:tcBorders>
          </w:tcPr>
          <w:p>
            <w:pPr>
              <w:spacing w:after="100"/>
            </w:pPr>
            <w:r>
              <w:rPr>
                <w:rFonts w:ascii="Arial" w:hAnsi="Arial" w:eastAsia="Arial" w:cs="Arial"/>
                <w:b/>
                <w:color w:val="A64040"/>
                <w:sz w:val="18"/>
              </w:rPr>
              <w:t>ПРАВИЛО ВЫПУСКА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0B2545"/>
                <w:sz w:val="22"/>
              </w:rPr>
              <w:t>Партия не становится пищевым продуктом потому, что «выращена экологично». Выпуск разрешается только после прохождения установленных контрольных точек и критериев.</w:t>
            </w:r>
          </w:p>
        </w:tc>
      </w:tr>
    </w:tbl>
    <w:p>
      <w:pPr>
        <w:spacing w:after="0"/>
      </w:pPr>
    </w:p>
    <w:p>
      <w:pPr>
        <w:spacing w:before="140" w:after="0"/>
      </w:pPr>
      <w:r>
        <w:rPr>
          <w:rFonts w:ascii="Arial" w:hAnsi="Arial" w:eastAsia="Arial" w:cs="Arial"/>
          <w:b/>
          <w:color w:val="5E6878"/>
          <w:sz w:val="16"/>
        </w:rPr>
        <w:t xml:space="preserve">Источник: </w:t>
      </w:r>
      <w:hyperlink r:id="rId19">
        <w:r>
          <w:rPr>
            <w:color w:val="2E74B5"/>
            <w:u w:val="single"/>
          </w:rPr>
          <w:t>Codex Alimentarius: General Principles of Food Hygiene, CXC 1-1969</w:t>
        </w:r>
      </w:hyperlink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17</w:t>
      </w:r>
      <w:r>
        <w:rPr>
          <w:rFonts w:ascii="Arial" w:hAnsi="Arial" w:eastAsia="Arial" w:cs="Arial"/>
          <w:b/>
          <w:color w:val="B28A2E"/>
          <w:sz w:val="18"/>
        </w:rPr>
        <w:t xml:space="preserve">  ДОСТУП И СТАБИЛЬНОСТЬ</w:t>
      </w:r>
    </w:p>
    <w:p>
      <w:pPr>
        <w:pStyle w:val="Heading1"/>
        <w:keepLines/>
        <w:widowControl/>
        <w:keepNext/>
      </w:pPr>
      <w:r>
        <w:t>Хранение, холод и распределение — часть фермы</w:t>
      </w:r>
    </w:p>
    <w:p>
      <w:pPr>
        <w:spacing w:after="200"/>
        <w:pBdr>
          <w:bottom w:val="single" w:sz="8" w:color="D6E1E9"/>
        </w:pBdr>
      </w:pPr>
    </w:p>
    <w:p>
      <w:pPr>
        <w:spacing w:after="120"/>
        <w:keepLines/>
        <w:widowControl/>
      </w:pPr>
      <w:r>
        <w:rPr>
          <w:rFonts w:ascii="Arial" w:hAnsi="Arial" w:eastAsia="Arial" w:cs="Arial"/>
          <w:color w:val="172033"/>
          <w:sz w:val="20"/>
        </w:rPr>
        <w:t>Помесячный баланс спроса и предложения показывает, какой продукт нужен свежим, какой — охлаждённым, замороженным, сушёным, консервированным или через договорную кооперацию. Склады и холодовая цепь проектируются по продуктам, а не одной суммарной мощности.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3860"/>
        <w:gridCol w:w="3400"/>
      </w:tblGrid>
      <w:tr>
        <w:trPr>
          <w:tblHeader w:val="true"/>
          <w:tblHeader w:val="true"/>
        </w:trPr>
        <w:tc>
          <w:tcPr>
            <w:tcW w:type="dxa" w:w="21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Контур</w:t>
            </w:r>
          </w:p>
        </w:tc>
        <w:tc>
          <w:tcPr>
            <w:tcW w:type="dxa" w:w="386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KPI</w:t>
            </w:r>
          </w:p>
        </w:tc>
        <w:tc>
          <w:tcPr>
            <w:tcW w:type="dxa" w:w="34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Резервирование</w:t>
            </w:r>
          </w:p>
        </w:tc>
      </w:tr>
      <w:tr>
        <w:trPr>
          <w:cantSplit/>
        </w:trPr>
        <w:tc>
          <w:tcPr>
            <w:tcW w:type="dxa" w:w="21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Склад сухой продукции</w:t>
            </w:r>
          </w:p>
        </w:tc>
        <w:tc>
          <w:tcPr>
            <w:tcW w:type="dxa" w:w="38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оборачиваемость; потери; вредители; влажность</w:t>
            </w:r>
          </w:p>
        </w:tc>
        <w:tc>
          <w:tcPr>
            <w:tcW w:type="dxa" w:w="34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альтернативный склад и аварийный план</w:t>
            </w:r>
          </w:p>
        </w:tc>
      </w:tr>
      <w:tr>
        <w:trPr>
          <w:cantSplit/>
        </w:trPr>
        <w:tc>
          <w:tcPr>
            <w:tcW w:type="dxa" w:w="21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Холод/заморозка</w:t>
            </w:r>
          </w:p>
        </w:tc>
        <w:tc>
          <w:tcPr>
            <w:tcW w:type="dxa" w:w="38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температурные отклонения; кВт·ч/т; время восстановления</w:t>
            </w:r>
          </w:p>
        </w:tc>
        <w:tc>
          <w:tcPr>
            <w:tcW w:type="dxa" w:w="34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генератор/накопитель; аварийный перевод</w:t>
            </w:r>
          </w:p>
        </w:tc>
      </w:tr>
      <w:tr>
        <w:trPr>
          <w:cantSplit/>
        </w:trPr>
        <w:tc>
          <w:tcPr>
            <w:tcW w:type="dxa" w:w="21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Транспорт</w:t>
            </w:r>
          </w:p>
        </w:tc>
        <w:tc>
          <w:tcPr>
            <w:tcW w:type="dxa" w:w="38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время; температурный журнал; прослеживаемость</w:t>
            </w:r>
          </w:p>
        </w:tc>
        <w:tc>
          <w:tcPr>
            <w:tcW w:type="dxa" w:w="34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второй перевозчик и маршрут</w:t>
            </w:r>
          </w:p>
        </w:tc>
      </w:tr>
      <w:tr>
        <w:trPr>
          <w:cantSplit/>
        </w:trPr>
        <w:tc>
          <w:tcPr>
            <w:tcW w:type="dxa" w:w="21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Распределение</w:t>
            </w:r>
          </w:p>
        </w:tc>
        <w:tc>
          <w:tcPr>
            <w:tcW w:type="dxa" w:w="38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доля контрактного off-take; радиус; регулярность</w:t>
            </w:r>
          </w:p>
        </w:tc>
        <w:tc>
          <w:tcPr>
            <w:tcW w:type="dxa" w:w="34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портфель покупателей и социальный контур</w:t>
            </w:r>
          </w:p>
        </w:tc>
      </w:tr>
      <w:tr>
        <w:trPr>
          <w:cantSplit/>
        </w:trPr>
        <w:tc>
          <w:tcPr>
            <w:tcW w:type="dxa" w:w="21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Отзыв</w:t>
            </w:r>
          </w:p>
        </w:tc>
        <w:tc>
          <w:tcPr>
            <w:tcW w:type="dxa" w:w="38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время локализации и уведомления; полнота партии</w:t>
            </w:r>
          </w:p>
        </w:tc>
        <w:tc>
          <w:tcPr>
            <w:tcW w:type="dxa" w:w="34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учения и заранее назначенный руководитель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AF5FB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8" w:color="2E74B5"/>
              <w:left w:val="single" w:sz="8" w:color="2E74B5"/>
              <w:bottom w:val="single" w:sz="8" w:color="2E74B5"/>
              <w:right w:val="single" w:sz="8" w:color="2E74B5"/>
            </w:tcBorders>
          </w:tcPr>
          <w:p>
            <w:pPr>
              <w:spacing w:after="100"/>
            </w:pPr>
            <w:r>
              <w:rPr>
                <w:rFonts w:ascii="Arial" w:hAnsi="Arial" w:eastAsia="Arial" w:cs="Arial"/>
                <w:b/>
                <w:color w:val="2E74B5"/>
                <w:sz w:val="18"/>
              </w:rPr>
              <w:t>ДОСТУПНОСТЬ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0B2545"/>
                <w:sz w:val="22"/>
              </w:rPr>
              <w:t>Продукт считается вкладом в продовольственную безопасность территории только если подтверждены объём, календарь, цена/механизм доступа, получатель и устойчивость поставки.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18</w:t>
      </w:r>
      <w:r>
        <w:rPr>
          <w:rFonts w:ascii="Arial" w:hAnsi="Arial" w:eastAsia="Arial" w:cs="Arial"/>
          <w:b/>
          <w:color w:val="B28A2E"/>
          <w:sz w:val="18"/>
        </w:rPr>
        <w:t xml:space="preserve">  ОСТАТКИ И ЭНЕРГИЯ</w:t>
      </w:r>
    </w:p>
    <w:p>
      <w:pPr>
        <w:pStyle w:val="Heading1"/>
        <w:keepLines/>
        <w:widowControl/>
        <w:keepNext/>
      </w:pPr>
      <w:r>
        <w:t>Циркулярность: возвращать ресурс, а не риск</w:t>
      </w:r>
    </w:p>
    <w:p>
      <w:pPr>
        <w:spacing w:after="200"/>
        <w:pBdr>
          <w:bottom w:val="single" w:sz="8" w:color="D6E1E9"/>
        </w:pBdr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50"/>
        <w:gridCol w:w="3890"/>
        <w:gridCol w:w="3420"/>
      </w:tblGrid>
      <w:tr>
        <w:trPr>
          <w:tblHeader w:val="true"/>
          <w:tblHeader w:val="true"/>
        </w:trPr>
        <w:tc>
          <w:tcPr>
            <w:tcW w:type="dxa" w:w="205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Поток</w:t>
            </w:r>
          </w:p>
        </w:tc>
        <w:tc>
          <w:tcPr>
            <w:tcW w:type="dxa" w:w="389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Предпочтительный маршрут</w:t>
            </w:r>
          </w:p>
        </w:tc>
        <w:tc>
          <w:tcPr>
            <w:tcW w:type="dxa" w:w="342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Обязательный барьер</w:t>
            </w:r>
          </w:p>
        </w:tc>
      </w:tr>
      <w:tr>
        <w:trPr>
          <w:cantSplit/>
        </w:trPr>
        <w:tc>
          <w:tcPr>
            <w:tcW w:type="dxa" w:w="20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Растительные остатки</w:t>
            </w:r>
          </w:p>
        </w:tc>
        <w:tc>
          <w:tcPr>
            <w:tcW w:type="dxa" w:w="389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корм / компост / биогаз / мульча</w:t>
            </w:r>
          </w:p>
        </w:tc>
        <w:tc>
          <w:tcPr>
            <w:tcW w:type="dxa" w:w="342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пестициды, патогены, сорняки, пригодность</w:t>
            </w:r>
          </w:p>
        </w:tc>
      </w:tr>
      <w:tr>
        <w:trPr>
          <w:cantSplit/>
        </w:trPr>
        <w:tc>
          <w:tcPr>
            <w:tcW w:type="dxa" w:w="20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Навоз/помёт</w:t>
            </w:r>
          </w:p>
        </w:tc>
        <w:tc>
          <w:tcPr>
            <w:tcW w:type="dxa" w:w="389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контролируемое хранение → обработка → внесение</w:t>
            </w:r>
          </w:p>
        </w:tc>
        <w:tc>
          <w:tcPr>
            <w:tcW w:type="dxa" w:w="342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патогены, азот/фосфор, сроки, полевая ёмкость</w:t>
            </w:r>
          </w:p>
        </w:tc>
      </w:tr>
      <w:tr>
        <w:trPr>
          <w:cantSplit/>
        </w:trPr>
        <w:tc>
          <w:tcPr>
            <w:tcW w:type="dxa" w:w="20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Пищевые побочные продукты</w:t>
            </w:r>
          </w:p>
        </w:tc>
        <w:tc>
          <w:tcPr>
            <w:tcW w:type="dxa" w:w="389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пищевой ингредиент / корм / энергия</w:t>
            </w:r>
          </w:p>
        </w:tc>
        <w:tc>
          <w:tcPr>
            <w:tcW w:type="dxa" w:w="342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категория, аллерген, температура, законодательный допуск</w:t>
            </w:r>
          </w:p>
        </w:tc>
      </w:tr>
      <w:tr>
        <w:trPr>
          <w:cantSplit/>
        </w:trPr>
        <w:tc>
          <w:tcPr>
            <w:tcW w:type="dxa" w:w="20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Осадок очистки</w:t>
            </w:r>
          </w:p>
        </w:tc>
        <w:tc>
          <w:tcPr>
            <w:tcW w:type="dxa" w:w="389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обезвреживание / разрешённое применение / утилизация</w:t>
            </w:r>
          </w:p>
        </w:tc>
        <w:tc>
          <w:tcPr>
            <w:tcW w:type="dxa" w:w="342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тяжёлые металлы, органика, патогены</w:t>
            </w:r>
          </w:p>
        </w:tc>
      </w:tr>
      <w:tr>
        <w:trPr>
          <w:cantSplit/>
        </w:trPr>
        <w:tc>
          <w:tcPr>
            <w:tcW w:type="dxa" w:w="20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Тепло и биогаз</w:t>
            </w:r>
          </w:p>
        </w:tc>
        <w:tc>
          <w:tcPr>
            <w:tcW w:type="dxa" w:w="389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собственные нужды, резерв, разрешённый отпуск</w:t>
            </w:r>
          </w:p>
        </w:tc>
        <w:tc>
          <w:tcPr>
            <w:tcW w:type="dxa" w:w="342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качество газа, безопасность, учёт выбросов</w:t>
            </w:r>
          </w:p>
        </w:tc>
      </w:tr>
      <w:tr>
        <w:trPr>
          <w:cantSplit/>
        </w:trPr>
        <w:tc>
          <w:tcPr>
            <w:tcW w:type="dxa" w:w="20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Упаковка и опасные отходы</w:t>
            </w:r>
          </w:p>
        </w:tc>
        <w:tc>
          <w:tcPr>
            <w:tcW w:type="dxa" w:w="389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раздельный сбор и лицензированный оператор</w:t>
            </w:r>
          </w:p>
        </w:tc>
        <w:tc>
          <w:tcPr>
            <w:tcW w:type="dxa" w:w="342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запрет смешения с органическим контуром</w:t>
            </w:r>
          </w:p>
        </w:tc>
      </w:tr>
    </w:tbl>
    <w:p>
      <w:pPr>
        <w:spacing w:after="120"/>
        <w:keepLines/>
        <w:widowControl/>
      </w:pPr>
      <w:r>
        <w:rPr>
          <w:rFonts w:ascii="Arial" w:hAnsi="Arial" w:eastAsia="Arial" w:cs="Arial"/>
          <w:color w:val="172033"/>
          <w:sz w:val="20"/>
        </w:rPr>
        <w:t>Потери и отходы учитываются раздельно. Глобально 13,3% пищи теряется между сбором и розницей, а 1,05 млрд тонн было выброшено на уровне торговли, общепита и домохозяйств в 2022 году. Для пилота это аргумент в пользу измерения фактического выхода и срока хранения, а не лозунга «ноль отходов».</w:t>
      </w:r>
    </w:p>
    <w:p>
      <w:pPr>
        <w:spacing w:before="140" w:after="0"/>
      </w:pPr>
      <w:r>
        <w:rPr>
          <w:rFonts w:ascii="Arial" w:hAnsi="Arial" w:eastAsia="Arial" w:cs="Arial"/>
          <w:b/>
          <w:color w:val="5E6878"/>
          <w:sz w:val="16"/>
        </w:rPr>
        <w:t xml:space="preserve">Источник: </w:t>
      </w:r>
      <w:hyperlink r:id="rId20">
        <w:r>
          <w:rPr>
            <w:color w:val="2E74B5"/>
            <w:u w:val="single"/>
          </w:rPr>
          <w:t>UN SDG 12.3.1 и UNEP Food Waste Index 2024</w:t>
        </w:r>
      </w:hyperlink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19</w:t>
      </w:r>
      <w:r>
        <w:rPr>
          <w:rFonts w:ascii="Arial" w:hAnsi="Arial" w:eastAsia="Arial" w:cs="Arial"/>
          <w:b/>
          <w:color w:val="B28A2E"/>
          <w:sz w:val="18"/>
        </w:rPr>
        <w:t xml:space="preserve">  НАБЛЮДЕНИЕ И РЕАКЦИЯ</w:t>
      </w:r>
    </w:p>
    <w:p>
      <w:pPr>
        <w:pStyle w:val="Heading1"/>
        <w:keepLines/>
        <w:widowControl/>
        <w:keepNext/>
      </w:pPr>
      <w:r>
        <w:t>Биоценозная точка: четыре режима и три уровня</w:t>
      </w:r>
    </w:p>
    <w:p>
      <w:pPr>
        <w:spacing w:after="200"/>
        <w:pBdr>
          <w:bottom w:val="single" w:sz="8" w:color="D6E1E9"/>
        </w:pBdr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3300"/>
        <w:gridCol w:w="4160"/>
      </w:tblGrid>
      <w:tr>
        <w:trPr>
          <w:tblHeader w:val="true"/>
          <w:tblHeader w:val="true"/>
        </w:trPr>
        <w:tc>
          <w:tcPr>
            <w:tcW w:type="dxa" w:w="19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Режим</w:t>
            </w:r>
          </w:p>
        </w:tc>
        <w:tc>
          <w:tcPr>
            <w:tcW w:type="dxa" w:w="33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Триггер</w:t>
            </w:r>
          </w:p>
        </w:tc>
        <w:tc>
          <w:tcPr>
            <w:tcW w:type="dxa" w:w="416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Действие</w:t>
            </w:r>
          </w:p>
        </w:tc>
      </w:tr>
      <w:tr>
        <w:trPr>
          <w:cantSplit/>
        </w:trPr>
        <w:tc>
          <w:tcPr>
            <w:tcW w:type="dxa" w:w="19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Фоновый</w:t>
            </w:r>
          </w:p>
        </w:tc>
        <w:tc>
          <w:tcPr>
            <w:tcW w:type="dxa" w:w="33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показатели в допустимом коридоре</w:t>
            </w:r>
          </w:p>
        </w:tc>
        <w:tc>
          <w:tcPr>
            <w:tcW w:type="dxa" w:w="41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плановый мониторинг, профилактика, обновление прогноза</w:t>
            </w:r>
          </w:p>
        </w:tc>
      </w:tr>
      <w:tr>
        <w:trPr>
          <w:cantSplit/>
        </w:trPr>
        <w:tc>
          <w:tcPr>
            <w:tcW w:type="dxa" w:w="19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Повышенное внимание</w:t>
            </w:r>
          </w:p>
        </w:tc>
        <w:tc>
          <w:tcPr>
            <w:tcW w:type="dxa" w:w="33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тренд к порогу или сбой данных</w:t>
            </w:r>
          </w:p>
        </w:tc>
        <w:tc>
          <w:tcPr>
            <w:tcW w:type="dxa" w:w="41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учащение измерений, проверка источника, локальная корректировка</w:t>
            </w:r>
          </w:p>
        </w:tc>
      </w:tr>
      <w:tr>
        <w:trPr>
          <w:cantSplit/>
        </w:trPr>
        <w:tc>
          <w:tcPr>
            <w:tcW w:type="dxa" w:w="19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Чрезвычайный</w:t>
            </w:r>
          </w:p>
        </w:tc>
        <w:tc>
          <w:tcPr>
            <w:tcW w:type="dxa" w:w="33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превышение критического порога/угроза продукту, людям или среде</w:t>
            </w:r>
          </w:p>
        </w:tc>
        <w:tc>
          <w:tcPr>
            <w:tcW w:type="dxa" w:w="41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остановка участка, удержание партии, уведомление и аварийный протокол</w:t>
            </w:r>
          </w:p>
        </w:tc>
      </w:tr>
      <w:tr>
        <w:trPr>
          <w:cantSplit/>
        </w:trPr>
        <w:tc>
          <w:tcPr>
            <w:tcW w:type="dxa" w:w="19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Восстановление</w:t>
            </w:r>
          </w:p>
        </w:tc>
        <w:tc>
          <w:tcPr>
            <w:tcW w:type="dxa" w:w="33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опасность локализована, но функция не подтверждена</w:t>
            </w:r>
          </w:p>
        </w:tc>
        <w:tc>
          <w:tcPr>
            <w:tcW w:type="dxa" w:w="41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пошаговый возврат, усиленный контроль, независимая верификация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4300"/>
        <w:gridCol w:w="3060"/>
      </w:tblGrid>
      <w:tr>
        <w:trPr>
          <w:tblHeader w:val="true"/>
          <w:tblHeader w:val="true"/>
        </w:trPr>
        <w:tc>
          <w:tcPr>
            <w:tcW w:type="dxa" w:w="20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Уровень станции</w:t>
            </w:r>
          </w:p>
        </w:tc>
        <w:tc>
          <w:tcPr>
            <w:tcW w:type="dxa" w:w="43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Состав</w:t>
            </w:r>
          </w:p>
        </w:tc>
        <w:tc>
          <w:tcPr>
            <w:tcW w:type="dxa" w:w="306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Назначение</w:t>
            </w:r>
          </w:p>
        </w:tc>
      </w:tr>
      <w:tr>
        <w:trPr>
          <w:cantSplit/>
        </w:trPr>
        <w:tc>
          <w:tcPr>
            <w:tcW w:type="dxa" w:w="20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Базовый</w:t>
            </w:r>
          </w:p>
        </w:tc>
        <w:tc>
          <w:tcPr>
            <w:tcW w:type="dxa" w:w="43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минимальные метео-, почвенные, водные и производственные датчики</w:t>
            </w:r>
          </w:p>
        </w:tc>
        <w:tc>
          <w:tcPr>
            <w:tcW w:type="dxa" w:w="30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оперативное управление участком</w:t>
            </w:r>
          </w:p>
        </w:tc>
      </w:tr>
      <w:tr>
        <w:trPr>
          <w:cantSplit/>
        </w:trPr>
        <w:tc>
          <w:tcPr>
            <w:tcW w:type="dxa" w:w="20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Расширенный</w:t>
            </w:r>
          </w:p>
        </w:tc>
        <w:tc>
          <w:tcPr>
            <w:tcW w:type="dxa" w:w="43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дополнительные пробы, лабораторные точки, биота, энергия и логистика</w:t>
            </w:r>
          </w:p>
        </w:tc>
        <w:tc>
          <w:tcPr>
            <w:tcW w:type="dxa" w:w="30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оценка причин и межмодульных связей</w:t>
            </w:r>
          </w:p>
        </w:tc>
      </w:tr>
      <w:tr>
        <w:trPr>
          <w:cantSplit/>
        </w:trPr>
        <w:tc>
          <w:tcPr>
            <w:tcW w:type="dxa" w:w="20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Референсный</w:t>
            </w:r>
          </w:p>
        </w:tc>
        <w:tc>
          <w:tcPr>
            <w:tcW w:type="dxa" w:w="43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высокоточные методы, калибровка, контроль качества данных</w:t>
            </w:r>
          </w:p>
        </w:tc>
        <w:tc>
          <w:tcPr>
            <w:tcW w:type="dxa" w:w="30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сопоставимость сети и независимая проверка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F8F1DE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8" w:color="B28A2E"/>
              <w:left w:val="single" w:sz="8" w:color="B28A2E"/>
              <w:bottom w:val="single" w:sz="8" w:color="B28A2E"/>
              <w:right w:val="single" w:sz="8" w:color="B28A2E"/>
            </w:tcBorders>
          </w:tcPr>
          <w:p>
            <w:pPr>
              <w:spacing w:after="100"/>
            </w:pPr>
            <w:r>
              <w:rPr>
                <w:rFonts w:ascii="Arial" w:hAnsi="Arial" w:eastAsia="Arial" w:cs="Arial"/>
                <w:b/>
                <w:color w:val="B28A2E"/>
                <w:sz w:val="18"/>
              </w:rPr>
              <w:t>ЧЕЛОВЕК В КОНТУРЕ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0B2545"/>
                <w:sz w:val="22"/>
              </w:rPr>
              <w:t>Автоматическое правило может удержать партию или сформировать тревогу в пределах утверждённого протокола. Стратегическое изменение режима, бюджета или цели утверждает ответственный человек.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20</w:t>
      </w:r>
      <w:r>
        <w:rPr>
          <w:rFonts w:ascii="Arial" w:hAnsi="Arial" w:eastAsia="Arial" w:cs="Arial"/>
          <w:b/>
          <w:color w:val="B28A2E"/>
          <w:sz w:val="18"/>
        </w:rPr>
        <w:t xml:space="preserve">  ЭКВИЛИБРИУМ</w:t>
      </w:r>
    </w:p>
    <w:p>
      <w:pPr>
        <w:pStyle w:val="Heading1"/>
        <w:keepLines/>
        <w:widowControl/>
        <w:keepNext/>
      </w:pPr>
      <w:r>
        <w:t>Цифровая архитектура: от датчика до доказательства</w:t>
      </w:r>
    </w:p>
    <w:p>
      <w:pPr>
        <w:spacing w:after="200"/>
        <w:pBdr>
          <w:bottom w:val="single" w:sz="8" w:color="D6E1E9"/>
        </w:pBdr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4250"/>
        <w:gridCol w:w="3610"/>
      </w:tblGrid>
      <w:tr>
        <w:trPr>
          <w:tblHeader w:val="true"/>
          <w:tblHeader w:val="true"/>
        </w:trPr>
        <w:tc>
          <w:tcPr>
            <w:tcW w:type="dxa" w:w="15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Слой</w:t>
            </w:r>
          </w:p>
        </w:tc>
        <w:tc>
          <w:tcPr>
            <w:tcW w:type="dxa" w:w="425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Содержание</w:t>
            </w:r>
          </w:p>
        </w:tc>
        <w:tc>
          <w:tcPr>
            <w:tcW w:type="dxa" w:w="361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Контроль качества</w:t>
            </w:r>
          </w:p>
        </w:tc>
      </w:tr>
      <w:tr>
        <w:trPr>
          <w:cantSplit/>
        </w:trPr>
        <w:tc>
          <w:tcPr>
            <w:tcW w:type="dxa" w:w="15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Источник</w:t>
            </w:r>
          </w:p>
        </w:tc>
        <w:tc>
          <w:tcPr>
            <w:tcW w:type="dxa" w:w="42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датчик, лаборатория, оператор, документ, спутник</w:t>
            </w:r>
          </w:p>
        </w:tc>
        <w:tc>
          <w:tcPr>
            <w:tcW w:type="dxa" w:w="361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идентичность, калибровка, полномочия</w:t>
            </w:r>
          </w:p>
        </w:tc>
      </w:tr>
      <w:tr>
        <w:trPr>
          <w:cantSplit/>
        </w:trPr>
        <w:tc>
          <w:tcPr>
            <w:tcW w:type="dxa" w:w="15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Реестр</w:t>
            </w:r>
          </w:p>
        </w:tc>
        <w:tc>
          <w:tcPr>
            <w:tcW w:type="dxa" w:w="42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территория, актив, партия, проба, событие, разрешение</w:t>
            </w:r>
          </w:p>
        </w:tc>
        <w:tc>
          <w:tcPr>
            <w:tcW w:type="dxa" w:w="361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уникальный ID, версия, связи</w:t>
            </w:r>
          </w:p>
        </w:tc>
      </w:tr>
      <w:tr>
        <w:trPr>
          <w:cantSplit/>
        </w:trPr>
        <w:tc>
          <w:tcPr>
            <w:tcW w:type="dxa" w:w="15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Модель</w:t>
            </w:r>
          </w:p>
        </w:tc>
        <w:tc>
          <w:tcPr>
            <w:tcW w:type="dxa" w:w="42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материальные балансы, прогноз, сценарий, цифровой двойник</w:t>
            </w:r>
          </w:p>
        </w:tc>
        <w:tc>
          <w:tcPr>
            <w:tcW w:type="dxa" w:w="361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допущения, диапазон, точность, дата</w:t>
            </w:r>
          </w:p>
        </w:tc>
      </w:tr>
      <w:tr>
        <w:trPr>
          <w:cantSplit/>
        </w:trPr>
        <w:tc>
          <w:tcPr>
            <w:tcW w:type="dxa" w:w="15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Решение</w:t>
            </w:r>
          </w:p>
        </w:tc>
        <w:tc>
          <w:tcPr>
            <w:tcW w:type="dxa" w:w="42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порог, тревога, вариант, ответственный, срок</w:t>
            </w:r>
          </w:p>
        </w:tc>
        <w:tc>
          <w:tcPr>
            <w:tcW w:type="dxa" w:w="361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журнал «кто/почему/что изменил»</w:t>
            </w:r>
          </w:p>
        </w:tc>
      </w:tr>
      <w:tr>
        <w:trPr>
          <w:cantSplit/>
        </w:trPr>
        <w:tc>
          <w:tcPr>
            <w:tcW w:type="dxa" w:w="15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Исполнение</w:t>
            </w:r>
          </w:p>
        </w:tc>
        <w:tc>
          <w:tcPr>
            <w:tcW w:type="dxa" w:w="42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наряд, подрядчик, факт, фото/протокол, затраты</w:t>
            </w:r>
          </w:p>
        </w:tc>
        <w:tc>
          <w:tcPr>
            <w:tcW w:type="dxa" w:w="361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сопоставление с решением и контрактом</w:t>
            </w:r>
          </w:p>
        </w:tc>
      </w:tr>
      <w:tr>
        <w:trPr>
          <w:cantSplit/>
        </w:trPr>
        <w:tc>
          <w:tcPr>
            <w:tcW w:type="dxa" w:w="15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Верификация</w:t>
            </w:r>
          </w:p>
        </w:tc>
        <w:tc>
          <w:tcPr>
            <w:tcW w:type="dxa" w:w="42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повторное измерение, независимый вывод, статус</w:t>
            </w:r>
          </w:p>
        </w:tc>
        <w:tc>
          <w:tcPr>
            <w:tcW w:type="dxa" w:w="361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исходные данные и воспроизводимость</w:t>
            </w:r>
          </w:p>
        </w:tc>
      </w:tr>
      <w:tr>
        <w:trPr>
          <w:cantSplit/>
        </w:trPr>
        <w:tc>
          <w:tcPr>
            <w:tcW w:type="dxa" w:w="15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Архив</w:t>
            </w:r>
          </w:p>
        </w:tc>
        <w:tc>
          <w:tcPr>
            <w:tcW w:type="dxa" w:w="42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версии, права, лицензии, исторические ряды</w:t>
            </w:r>
          </w:p>
        </w:tc>
        <w:tc>
          <w:tcPr>
            <w:tcW w:type="dxa" w:w="361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неизменяемая ссылка и срок хранения</w:t>
            </w:r>
          </w:p>
        </w:tc>
      </w:tr>
    </w:tbl>
    <w:p>
      <w:pPr>
        <w:spacing w:after="120"/>
        <w:keepLines/>
        <w:widowControl/>
      </w:pPr>
      <w:r>
        <w:rPr>
          <w:rFonts w:ascii="Arial" w:hAnsi="Arial" w:eastAsia="Arial" w:cs="Arial"/>
          <w:color w:val="172033"/>
          <w:sz w:val="20"/>
        </w:rPr>
        <w:t>ЭКВИЛИБРИУМ объединяет наблюдение, прогноз и контроль отклонений. Он не заменяет лабораторию, надзор или оператора. Отдельно сохраняются измерение, интерпретация модели и управленческое решение — чтобы не выдавать прогноз за факт.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AF5FB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8" w:color="2E74B5"/>
              <w:left w:val="single" w:sz="8" w:color="2E74B5"/>
              <w:bottom w:val="single" w:sz="8" w:color="2E74B5"/>
              <w:right w:val="single" w:sz="8" w:color="2E74B5"/>
            </w:tcBorders>
          </w:tcPr>
          <w:p>
            <w:pPr>
              <w:spacing w:after="100"/>
            </w:pPr>
            <w:r>
              <w:rPr>
                <w:rFonts w:ascii="Arial" w:hAnsi="Arial" w:eastAsia="Arial" w:cs="Arial"/>
                <w:b/>
                <w:color w:val="2E74B5"/>
                <w:sz w:val="18"/>
              </w:rPr>
              <w:t>МИНИМУМ ПРОСЛЕЖИВАЕМОСТИ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0B2545"/>
                <w:sz w:val="22"/>
              </w:rPr>
              <w:t>Не менее 95% товарных партий в пилоте должны иметь связную цепочку происхождения; целевое время локализации тестовой партии при учениях — не более 2 часов. Это проектные цели пилота, не нормативы законодательства.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21</w:t>
      </w:r>
      <w:r>
        <w:rPr>
          <w:rFonts w:ascii="Arial" w:hAnsi="Arial" w:eastAsia="Arial" w:cs="Arial"/>
          <w:b/>
          <w:color w:val="B28A2E"/>
          <w:sz w:val="18"/>
        </w:rPr>
        <w:t xml:space="preserve">  РАЗДЕЛЕНИЕ ОТВЕТСТВЕННОСТИ</w:t>
      </w:r>
    </w:p>
    <w:p>
      <w:pPr>
        <w:pStyle w:val="Heading1"/>
        <w:keepLines/>
        <w:widowControl/>
        <w:keepNext/>
      </w:pPr>
      <w:r>
        <w:t>Роли экосистемы</w:t>
      </w:r>
    </w:p>
    <w:p>
      <w:pPr>
        <w:spacing w:after="200"/>
        <w:pBdr>
          <w:bottom w:val="single" w:sz="8" w:color="D6E1E9"/>
        </w:pBdr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4330"/>
        <w:gridCol w:w="3130"/>
      </w:tblGrid>
      <w:tr>
        <w:trPr>
          <w:tblHeader w:val="true"/>
          <w:tblHeader w:val="true"/>
        </w:trPr>
        <w:tc>
          <w:tcPr>
            <w:tcW w:type="dxa" w:w="19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Участник</w:t>
            </w:r>
          </w:p>
        </w:tc>
        <w:tc>
          <w:tcPr>
            <w:tcW w:type="dxa" w:w="433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Роль</w:t>
            </w:r>
          </w:p>
        </w:tc>
        <w:tc>
          <w:tcPr>
            <w:tcW w:type="dxa" w:w="313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Не подменяет</w:t>
            </w:r>
          </w:p>
        </w:tc>
      </w:tr>
      <w:tr>
        <w:trPr>
          <w:cantSplit/>
        </w:trPr>
        <w:tc>
          <w:tcPr>
            <w:tcW w:type="dxa" w:w="19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Совет Безопасности</w:t>
            </w:r>
          </w:p>
        </w:tc>
        <w:tc>
          <w:tcPr>
            <w:tcW w:type="dxa" w:w="433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стратегическая координация рисков и межведомственного контура</w:t>
            </w:r>
          </w:p>
        </w:tc>
        <w:tc>
          <w:tcPr>
            <w:tcW w:type="dxa" w:w="313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оператора и надзорные органы</w:t>
            </w:r>
          </w:p>
        </w:tc>
      </w:tr>
      <w:tr>
        <w:trPr>
          <w:cantSplit/>
        </w:trPr>
        <w:tc>
          <w:tcPr>
            <w:tcW w:type="dxa" w:w="19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ТПП РФ</w:t>
            </w:r>
          </w:p>
        </w:tc>
        <w:tc>
          <w:tcPr>
            <w:tcW w:type="dxa" w:w="433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бизнес-контур, кооперация, поставщики, покупатели, тиражирование</w:t>
            </w:r>
          </w:p>
        </w:tc>
        <w:tc>
          <w:tcPr>
            <w:tcW w:type="dxa" w:w="313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инвесткомитет и технический контроль</w:t>
            </w:r>
          </w:p>
        </w:tc>
      </w:tr>
      <w:tr>
        <w:trPr>
          <w:cantSplit/>
        </w:trPr>
        <w:tc>
          <w:tcPr>
            <w:tcW w:type="dxa" w:w="19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АСИ</w:t>
            </w:r>
          </w:p>
        </w:tc>
        <w:tc>
          <w:tcPr>
            <w:tcW w:type="dxa" w:w="433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инициативы, барьеры, практики масштабирования</w:t>
            </w:r>
          </w:p>
        </w:tc>
        <w:tc>
          <w:tcPr>
            <w:tcW w:type="dxa" w:w="313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правообладателя и заказчика</w:t>
            </w:r>
          </w:p>
        </w:tc>
      </w:tr>
      <w:tr>
        <w:trPr>
          <w:cantSplit/>
        </w:trPr>
        <w:tc>
          <w:tcPr>
            <w:tcW w:type="dxa" w:w="19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ECO‑PPA</w:t>
            </w:r>
          </w:p>
        </w:tc>
        <w:tc>
          <w:tcPr>
            <w:tcW w:type="dxa" w:w="433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мобилизация ресурсов, договорная связка инвесторов, оператора, покупателей и валидаторов</w:t>
            </w:r>
          </w:p>
        </w:tc>
        <w:tc>
          <w:tcPr>
            <w:tcW w:type="dxa" w:w="313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лицензии, разрешения и гарантии доходности</w:t>
            </w:r>
          </w:p>
        </w:tc>
      </w:tr>
      <w:tr>
        <w:trPr>
          <w:cantSplit/>
        </w:trPr>
        <w:tc>
          <w:tcPr>
            <w:tcW w:type="dxa" w:w="19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ЭКВИЛИБРИУМ</w:t>
            </w:r>
          </w:p>
        </w:tc>
        <w:tc>
          <w:tcPr>
            <w:tcW w:type="dxa" w:w="433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наблюдение, прогноз, пороги, сценарии и журнал решений</w:t>
            </w:r>
          </w:p>
        </w:tc>
        <w:tc>
          <w:tcPr>
            <w:tcW w:type="dxa" w:w="313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человеческое стратегическое решение</w:t>
            </w:r>
          </w:p>
        </w:tc>
      </w:tr>
      <w:tr>
        <w:trPr>
          <w:cantSplit/>
        </w:trPr>
        <w:tc>
          <w:tcPr>
            <w:tcW w:type="dxa" w:w="19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СПЕЦЗАЩИТА</w:t>
            </w:r>
          </w:p>
        </w:tc>
        <w:tc>
          <w:tcPr>
            <w:tcW w:type="dxa" w:w="433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исполнение инженерных и восстановительных работ по нарядам</w:t>
            </w:r>
          </w:p>
        </w:tc>
        <w:tc>
          <w:tcPr>
            <w:tcW w:type="dxa" w:w="313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независимую верификацию</w:t>
            </w:r>
          </w:p>
        </w:tc>
      </w:tr>
      <w:tr>
        <w:trPr>
          <w:cantSplit/>
        </w:trPr>
        <w:tc>
          <w:tcPr>
            <w:tcW w:type="dxa" w:w="19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Архив наследия</w:t>
            </w:r>
          </w:p>
        </w:tc>
        <w:tc>
          <w:tcPr>
            <w:tcW w:type="dxa" w:w="433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версии, доказательства, происхождение, права и результаты</w:t>
            </w:r>
          </w:p>
        </w:tc>
        <w:tc>
          <w:tcPr>
            <w:tcW w:type="dxa" w:w="313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оперативную систему управления</w:t>
            </w:r>
          </w:p>
        </w:tc>
      </w:tr>
      <w:tr>
        <w:trPr>
          <w:cantSplit/>
        </w:trPr>
        <w:tc>
          <w:tcPr>
            <w:tcW w:type="dxa" w:w="19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Оператор фермы</w:t>
            </w:r>
          </w:p>
        </w:tc>
        <w:tc>
          <w:tcPr>
            <w:tcW w:type="dxa" w:w="433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ежедневное производство, безопасность, персонал, бюджет и отчётность</w:t>
            </w:r>
          </w:p>
        </w:tc>
        <w:tc>
          <w:tcPr>
            <w:tcW w:type="dxa" w:w="313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заказчика и контролирующие органы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9F4EF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8" w:color="2F7D68"/>
              <w:left w:val="single" w:sz="8" w:color="2F7D68"/>
              <w:bottom w:val="single" w:sz="8" w:color="2F7D68"/>
              <w:right w:val="single" w:sz="8" w:color="2F7D68"/>
            </w:tcBorders>
          </w:tcPr>
          <w:p>
            <w:pPr>
              <w:spacing w:after="100"/>
            </w:pPr>
            <w:r>
              <w:rPr>
                <w:rFonts w:ascii="Arial" w:hAnsi="Arial" w:eastAsia="Arial" w:cs="Arial"/>
                <w:b/>
                <w:color w:val="2F7D68"/>
                <w:sz w:val="18"/>
              </w:rPr>
              <w:t>НЕЗАВИСИМОСТЬ КОНТРОЛЯ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0B2545"/>
                <w:sz w:val="22"/>
              </w:rPr>
              <w:t>Лицо, которое выполняет корректирующее действие, не должно единолично подтверждать, что результат достигнут. Верификатор получает доступ к исходным данным и версии методики.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22</w:t>
      </w:r>
      <w:r>
        <w:rPr>
          <w:rFonts w:ascii="Arial" w:hAnsi="Arial" w:eastAsia="Arial" w:cs="Arial"/>
          <w:b/>
          <w:color w:val="B28A2E"/>
          <w:sz w:val="18"/>
        </w:rPr>
        <w:t xml:space="preserve">  COMPLIANCE-BY-DESIGN</w:t>
      </w:r>
    </w:p>
    <w:p>
      <w:pPr>
        <w:pStyle w:val="Heading1"/>
        <w:keepLines/>
        <w:widowControl/>
        <w:keepNext/>
      </w:pPr>
      <w:r>
        <w:t>Карта соответствия: от обязательного к добровольному</w:t>
      </w:r>
    </w:p>
    <w:p>
      <w:pPr>
        <w:spacing w:after="200"/>
        <w:pBdr>
          <w:bottom w:val="single" w:sz="8" w:color="D6E1E9"/>
        </w:pBdr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4300"/>
        <w:gridCol w:w="2960"/>
      </w:tblGrid>
      <w:tr>
        <w:trPr>
          <w:tblHeader w:val="true"/>
          <w:tblHeader w:val="true"/>
        </w:trPr>
        <w:tc>
          <w:tcPr>
            <w:tcW w:type="dxa" w:w="21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Уровень</w:t>
            </w:r>
          </w:p>
        </w:tc>
        <w:tc>
          <w:tcPr>
            <w:tcW w:type="dxa" w:w="43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Что проверяется</w:t>
            </w:r>
          </w:p>
        </w:tc>
        <w:tc>
          <w:tcPr>
            <w:tcW w:type="dxa" w:w="296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Статус для проекта</w:t>
            </w:r>
          </w:p>
        </w:tc>
      </w:tr>
      <w:tr>
        <w:trPr>
          <w:cantSplit/>
        </w:trPr>
        <w:tc>
          <w:tcPr>
            <w:tcW w:type="dxa" w:w="21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Российская стратегия</w:t>
            </w:r>
          </w:p>
        </w:tc>
        <w:tc>
          <w:tcPr>
            <w:tcW w:type="dxa" w:w="43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Доктрина продовольственной безопасности; развитие сельского хозяйства; технологическая независимость</w:t>
            </w:r>
          </w:p>
        </w:tc>
        <w:tc>
          <w:tcPr>
            <w:tcW w:type="dxa" w:w="29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ориентир целей и национальных показателей</w:t>
            </w:r>
          </w:p>
        </w:tc>
      </w:tr>
      <w:tr>
        <w:trPr>
          <w:cantSplit/>
        </w:trPr>
        <w:tc>
          <w:tcPr>
            <w:tcW w:type="dxa" w:w="21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Право РФ / ЕАЭС</w:t>
            </w:r>
          </w:p>
        </w:tc>
        <w:tc>
          <w:tcPr>
            <w:tcW w:type="dxa" w:w="43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ТР ТС 021/2011 и 022/2011; продуктовые техрегламенты; ветеринария, фитосанитария, вода, отходы, земля, строительство, труд</w:t>
            </w:r>
          </w:p>
        </w:tc>
        <w:tc>
          <w:tcPr>
            <w:tcW w:type="dxa" w:w="29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обязательные требования по выбранным процессам</w:t>
            </w:r>
          </w:p>
        </w:tc>
      </w:tr>
      <w:tr>
        <w:trPr>
          <w:cantSplit/>
        </w:trPr>
        <w:tc>
          <w:tcPr>
            <w:tcW w:type="dxa" w:w="21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Codex Alimentarius</w:t>
            </w:r>
          </w:p>
        </w:tc>
        <w:tc>
          <w:tcPr>
            <w:tcW w:type="dxa" w:w="43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GHP/HACCP, гигиенические коды и риск-ориентированный контроль</w:t>
            </w:r>
          </w:p>
        </w:tc>
        <w:tc>
          <w:tcPr>
            <w:tcW w:type="dxa" w:w="29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международная методическая база; применяется с учётом права ЕАЭС/РФ</w:t>
            </w:r>
          </w:p>
        </w:tc>
      </w:tr>
      <w:tr>
        <w:trPr>
          <w:cantSplit/>
        </w:trPr>
        <w:tc>
          <w:tcPr>
            <w:tcW w:type="dxa" w:w="21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One Health / WOAH / IPPC</w:t>
            </w:r>
          </w:p>
        </w:tc>
        <w:tc>
          <w:tcPr>
            <w:tcW w:type="dxa" w:w="43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здоровье людей, животных, растений и среды; биозащита</w:t>
            </w:r>
          </w:p>
        </w:tc>
        <w:tc>
          <w:tcPr>
            <w:tcW w:type="dxa" w:w="29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методическая рамка и отраслевые стандарты</w:t>
            </w:r>
          </w:p>
        </w:tc>
      </w:tr>
      <w:tr>
        <w:trPr>
          <w:cantSplit/>
        </w:trPr>
        <w:tc>
          <w:tcPr>
            <w:tcW w:type="dxa" w:w="21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FAO/CFS/SDG</w:t>
            </w:r>
          </w:p>
        </w:tc>
        <w:tc>
          <w:tcPr>
            <w:tcW w:type="dxa" w:w="43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четыре измерения безопасности, устойчивое сельское хозяйство, питание, потери</w:t>
            </w:r>
          </w:p>
        </w:tc>
        <w:tc>
          <w:tcPr>
            <w:tcW w:type="dxa" w:w="29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система оценки вклада и сопоставимости</w:t>
            </w:r>
          </w:p>
        </w:tc>
      </w:tr>
      <w:tr>
        <w:trPr>
          <w:cantSplit/>
        </w:trPr>
        <w:tc>
          <w:tcPr>
            <w:tcW w:type="dxa" w:w="21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Контракты и стандарты покупателя</w:t>
            </w:r>
          </w:p>
        </w:tc>
        <w:tc>
          <w:tcPr>
            <w:tcW w:type="dxa" w:w="43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спецификации, аудит, холодовая цепь, качество, прослеживаемость</w:t>
            </w:r>
          </w:p>
        </w:tc>
        <w:tc>
          <w:tcPr>
            <w:tcW w:type="dxa" w:w="29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условие off-take; не заменяет обязательное право</w:t>
            </w:r>
          </w:p>
        </w:tc>
      </w:tr>
    </w:tbl>
    <w:p>
      <w:pPr>
        <w:spacing w:after="120"/>
        <w:keepLines/>
        <w:widowControl/>
      </w:pPr>
      <w:r>
        <w:rPr>
          <w:rFonts w:ascii="Arial" w:hAnsi="Arial" w:eastAsia="Arial" w:cs="Arial"/>
          <w:color w:val="172033"/>
          <w:sz w:val="20"/>
        </w:rPr>
        <w:t>ТР ТС 021/2011 требует от изготовителя разработать, внедрить и поддерживать процедуры, основанные на принципах HACCP. Это не равнозначно универсальному требованию приобрести добровольный «сертификат HACCP»: форму оценки соответствия и доказательства определяют применимые техрегламенты и продуктовая матрица.</w:t>
      </w:r>
    </w:p>
    <w:p>
      <w:pPr>
        <w:spacing w:after="120"/>
        <w:keepLines/>
        <w:widowControl/>
      </w:pPr>
      <w:r>
        <w:rPr>
          <w:rFonts w:ascii="Arial" w:hAnsi="Arial" w:eastAsia="Arial" w:cs="Arial"/>
          <w:color w:val="172033"/>
          <w:sz w:val="20"/>
        </w:rPr>
        <w:t>Реестр требований формируется после фиксации продукции, процессов, площадки и рынка. Для каждого пункта: источник, применимость, владелец, доказательство, срок, статус и связанный риск. «Соответствие в целом» без постатейной матрицы не принимается.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F9EBEA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8" w:color="A64040"/>
              <w:left w:val="single" w:sz="8" w:color="A64040"/>
              <w:bottom w:val="single" w:sz="8" w:color="A64040"/>
              <w:right w:val="single" w:sz="8" w:color="A64040"/>
            </w:tcBorders>
          </w:tcPr>
          <w:p>
            <w:pPr>
              <w:spacing w:after="100"/>
            </w:pPr>
            <w:r>
              <w:rPr>
                <w:rFonts w:ascii="Arial" w:hAnsi="Arial" w:eastAsia="Arial" w:cs="Arial"/>
                <w:b/>
                <w:color w:val="A64040"/>
                <w:sz w:val="18"/>
              </w:rPr>
              <w:t>ДО CAPEX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0B2545"/>
                <w:sz w:val="22"/>
              </w:rPr>
              <w:t>Запрещено заказывать основное оборудование до подтверждения категории объекта, санитарных разрывов, ресурсных лимитов, разрешительной трассы и спецификаций продукта.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23</w:t>
      </w:r>
      <w:r>
        <w:rPr>
          <w:rFonts w:ascii="Arial" w:hAnsi="Arial" w:eastAsia="Arial" w:cs="Arial"/>
          <w:b/>
          <w:color w:val="B28A2E"/>
          <w:sz w:val="18"/>
        </w:rPr>
        <w:t xml:space="preserve">  БАЗОВАЯ ЛИНИЯ → ЦЕЛЬ → ФАКТ</w:t>
      </w:r>
    </w:p>
    <w:p>
      <w:pPr>
        <w:pStyle w:val="Heading1"/>
        <w:keepLines/>
        <w:widowControl/>
        <w:keepNext/>
      </w:pPr>
      <w:r>
        <w:t>Панель KPI: результат, безопасность, устойчивость</w:t>
      </w:r>
    </w:p>
    <w:p>
      <w:pPr>
        <w:spacing w:after="200"/>
        <w:pBdr>
          <w:bottom w:val="single" w:sz="8" w:color="D6E1E9"/>
        </w:pBdr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5600"/>
        <w:gridCol w:w="1960"/>
      </w:tblGrid>
      <w:tr>
        <w:trPr>
          <w:tblHeader w:val="true"/>
          <w:tblHeader w:val="true"/>
        </w:trPr>
        <w:tc>
          <w:tcPr>
            <w:tcW w:type="dxa" w:w="18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5"/>
              </w:rPr>
              <w:t>Блок</w:t>
            </w:r>
          </w:p>
        </w:tc>
        <w:tc>
          <w:tcPr>
            <w:tcW w:type="dxa" w:w="56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5"/>
              </w:rPr>
              <w:t>Примеры KPI</w:t>
            </w:r>
          </w:p>
        </w:tc>
        <w:tc>
          <w:tcPr>
            <w:tcW w:type="dxa" w:w="196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5"/>
              </w:rPr>
              <w:t>Единица / период</w:t>
            </w:r>
          </w:p>
        </w:tc>
      </w:tr>
      <w:tr>
        <w:trPr>
          <w:cantSplit/>
        </w:trPr>
        <w:tc>
          <w:tcPr>
            <w:tcW w:type="dxa" w:w="18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Продукция</w:t>
            </w:r>
          </w:p>
        </w:tc>
        <w:tc>
          <w:tcPr>
            <w:tcW w:type="dxa" w:w="56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товарный выход; ассортимент; отклонение от плана; потери</w:t>
            </w:r>
          </w:p>
        </w:tc>
        <w:tc>
          <w:tcPr>
            <w:tcW w:type="dxa" w:w="19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т/мес.; SKU; %</w:t>
            </w:r>
          </w:p>
        </w:tc>
      </w:tr>
      <w:tr>
        <w:trPr>
          <w:cantSplit/>
        </w:trPr>
        <w:tc>
          <w:tcPr>
            <w:tcW w:type="dxa" w:w="18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Доступ</w:t>
            </w:r>
          </w:p>
        </w:tc>
        <w:tc>
          <w:tcPr>
            <w:tcW w:type="dxa" w:w="56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цена корзины; доля контрактного объёма; радиус; охват</w:t>
            </w:r>
          </w:p>
        </w:tc>
        <w:tc>
          <w:tcPr>
            <w:tcW w:type="dxa" w:w="19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руб.; %; км; человек</w:t>
            </w:r>
          </w:p>
        </w:tc>
      </w:tr>
      <w:tr>
        <w:trPr>
          <w:cantSplit/>
        </w:trPr>
        <w:tc>
          <w:tcPr>
            <w:tcW w:type="dxa" w:w="18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Питание/качество</w:t>
            </w:r>
          </w:p>
        </w:tc>
        <w:tc>
          <w:tcPr>
            <w:tcW w:type="dxa" w:w="56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нутритивный вклад; несоответствия; жалобы/отзывы</w:t>
            </w:r>
          </w:p>
        </w:tc>
        <w:tc>
          <w:tcPr>
            <w:tcW w:type="dxa" w:w="19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порций; %; случаи</w:t>
            </w:r>
          </w:p>
        </w:tc>
      </w:tr>
      <w:tr>
        <w:trPr>
          <w:cantSplit/>
        </w:trPr>
        <w:tc>
          <w:tcPr>
            <w:tcW w:type="dxa" w:w="18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Стабильность</w:t>
            </w:r>
          </w:p>
        </w:tc>
        <w:tc>
          <w:tcPr>
            <w:tcW w:type="dxa" w:w="56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запас; автономность воды/энергии; время восстановления</w:t>
            </w:r>
          </w:p>
        </w:tc>
        <w:tc>
          <w:tcPr>
            <w:tcW w:type="dxa" w:w="19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дни; часы</w:t>
            </w:r>
          </w:p>
        </w:tc>
      </w:tr>
      <w:tr>
        <w:trPr>
          <w:cantSplit/>
        </w:trPr>
        <w:tc>
          <w:tcPr>
            <w:tcW w:type="dxa" w:w="18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Почва/биота</w:t>
            </w:r>
          </w:p>
        </w:tc>
        <w:tc>
          <w:tcPr>
            <w:tcW w:type="dxa" w:w="56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углерод; эрозия; покров; индикаторные группы</w:t>
            </w:r>
          </w:p>
        </w:tc>
        <w:tc>
          <w:tcPr>
            <w:tcW w:type="dxa" w:w="19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тренд по сезону/году</w:t>
            </w:r>
          </w:p>
        </w:tc>
      </w:tr>
      <w:tr>
        <w:trPr>
          <w:cantSplit/>
        </w:trPr>
        <w:tc>
          <w:tcPr>
            <w:tcW w:type="dxa" w:w="18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Вода</w:t>
            </w:r>
          </w:p>
        </w:tc>
        <w:tc>
          <w:tcPr>
            <w:tcW w:type="dxa" w:w="56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водоёмкость; качество; повторное применение по допуску</w:t>
            </w:r>
          </w:p>
        </w:tc>
        <w:tc>
          <w:tcPr>
            <w:tcW w:type="dxa" w:w="19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м³/т; % проб; %</w:t>
            </w:r>
          </w:p>
        </w:tc>
      </w:tr>
      <w:tr>
        <w:trPr>
          <w:cantSplit/>
        </w:trPr>
        <w:tc>
          <w:tcPr>
            <w:tcW w:type="dxa" w:w="18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Питательные вещества</w:t>
            </w:r>
          </w:p>
        </w:tc>
        <w:tc>
          <w:tcPr>
            <w:tcW w:type="dxa" w:w="56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баланс N/P; доля безопасно возвращённых потоков</w:t>
            </w:r>
          </w:p>
        </w:tc>
        <w:tc>
          <w:tcPr>
            <w:tcW w:type="dxa" w:w="19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кг/га; %</w:t>
            </w:r>
          </w:p>
        </w:tc>
      </w:tr>
      <w:tr>
        <w:trPr>
          <w:cantSplit/>
        </w:trPr>
        <w:tc>
          <w:tcPr>
            <w:tcW w:type="dxa" w:w="18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Энергия/климат</w:t>
            </w:r>
          </w:p>
        </w:tc>
        <w:tc>
          <w:tcPr>
            <w:tcW w:type="dxa" w:w="56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кВт·ч/т; доля собственной энергии; выбросы по границе</w:t>
            </w:r>
          </w:p>
        </w:tc>
        <w:tc>
          <w:tcPr>
            <w:tcW w:type="dxa" w:w="19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кВт·ч/т; %; тCO₂e</w:t>
            </w:r>
          </w:p>
        </w:tc>
      </w:tr>
      <w:tr>
        <w:trPr>
          <w:cantSplit/>
        </w:trPr>
        <w:tc>
          <w:tcPr>
            <w:tcW w:type="dxa" w:w="18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Биозащита</w:t>
            </w:r>
          </w:p>
        </w:tc>
        <w:tc>
          <w:tcPr>
            <w:tcW w:type="dxa" w:w="56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инциденты; время обнаружения; выполнение корректировок</w:t>
            </w:r>
          </w:p>
        </w:tc>
        <w:tc>
          <w:tcPr>
            <w:tcW w:type="dxa" w:w="19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случаи; часы; %</w:t>
            </w:r>
          </w:p>
        </w:tc>
      </w:tr>
      <w:tr>
        <w:trPr>
          <w:cantSplit/>
        </w:trPr>
        <w:tc>
          <w:tcPr>
            <w:tcW w:type="dxa" w:w="18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Прослеживаемость</w:t>
            </w:r>
          </w:p>
        </w:tc>
        <w:tc>
          <w:tcPr>
            <w:tcW w:type="dxa" w:w="56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полнота паспортов; время локализации партии</w:t>
            </w:r>
          </w:p>
        </w:tc>
        <w:tc>
          <w:tcPr>
            <w:tcW w:type="dxa" w:w="19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%; минуты/часы</w:t>
            </w:r>
          </w:p>
        </w:tc>
      </w:tr>
      <w:tr>
        <w:trPr>
          <w:cantSplit/>
        </w:trPr>
        <w:tc>
          <w:tcPr>
            <w:tcW w:type="dxa" w:w="18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Экономика</w:t>
            </w:r>
          </w:p>
        </w:tc>
        <w:tc>
          <w:tcPr>
            <w:tcW w:type="dxa" w:w="56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себестоимость; маржинальный доход; денежный разрыв; DSCR</w:t>
            </w:r>
          </w:p>
        </w:tc>
        <w:tc>
          <w:tcPr>
            <w:tcW w:type="dxa" w:w="19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руб./ед.; руб.; дни; коэффициент</w:t>
            </w:r>
          </w:p>
        </w:tc>
      </w:tr>
      <w:tr>
        <w:trPr>
          <w:cantSplit/>
        </w:trPr>
        <w:tc>
          <w:tcPr>
            <w:tcW w:type="dxa" w:w="18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5"/>
              </w:rPr>
              <w:t>Социальный контур</w:t>
            </w:r>
          </w:p>
        </w:tc>
        <w:tc>
          <w:tcPr>
            <w:tcW w:type="dxa" w:w="56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занятость; безопасность труда; обучение; локальные закупки</w:t>
            </w:r>
          </w:p>
        </w:tc>
        <w:tc>
          <w:tcPr>
            <w:tcW w:type="dxa" w:w="19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5"/>
              </w:rPr>
              <w:t>FTE; случаи; часы; %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F8F1DE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8" w:color="B28A2E"/>
              <w:left w:val="single" w:sz="8" w:color="B28A2E"/>
              <w:bottom w:val="single" w:sz="8" w:color="B28A2E"/>
              <w:right w:val="single" w:sz="8" w:color="B28A2E"/>
            </w:tcBorders>
          </w:tcPr>
          <w:p>
            <w:pPr>
              <w:spacing w:after="100"/>
            </w:pPr>
            <w:r>
              <w:rPr>
                <w:rFonts w:ascii="Arial" w:hAnsi="Arial" w:eastAsia="Arial" w:cs="Arial"/>
                <w:b/>
                <w:color w:val="B28A2E"/>
                <w:sz w:val="18"/>
              </w:rPr>
              <w:t>МЕТОДОЛОГИЧЕСКАЯ ДИСЦИПЛИНА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0B2545"/>
                <w:sz w:val="22"/>
              </w:rPr>
              <w:t>PoU, FIES и другие показатели SDG 2 относятся к населению и территории; они не являются прямыми KPI одной фермы. Вклад фермы показывается через объём, цену, доход, стабильность и питание целевой группы.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24</w:t>
      </w:r>
      <w:r>
        <w:rPr>
          <w:rFonts w:ascii="Arial" w:hAnsi="Arial" w:eastAsia="Arial" w:cs="Arial"/>
          <w:b/>
          <w:color w:val="B28A2E"/>
          <w:sz w:val="18"/>
        </w:rPr>
        <w:t xml:space="preserve">  ФИНАНСОВАЯ МОДЕЛЬ</w:t>
      </w:r>
    </w:p>
    <w:p>
      <w:pPr>
        <w:pStyle w:val="Heading1"/>
        <w:keepLines/>
        <w:widowControl/>
        <w:keepNext/>
      </w:pPr>
      <w:r>
        <w:t>Экономика: считать портфель, а не красивую установку</w:t>
      </w:r>
    </w:p>
    <w:p>
      <w:pPr>
        <w:spacing w:after="200"/>
        <w:pBdr>
          <w:bottom w:val="single" w:sz="8" w:color="D6E1E9"/>
        </w:pBdr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50"/>
        <w:gridCol w:w="4160"/>
        <w:gridCol w:w="3450"/>
      </w:tblGrid>
      <w:tr>
        <w:trPr>
          <w:tblHeader w:val="true"/>
          <w:tblHeader w:val="true"/>
        </w:trPr>
        <w:tc>
          <w:tcPr>
            <w:tcW w:type="dxa" w:w="175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Элемент</w:t>
            </w:r>
          </w:p>
        </w:tc>
        <w:tc>
          <w:tcPr>
            <w:tcW w:type="dxa" w:w="416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Содержание</w:t>
            </w:r>
          </w:p>
        </w:tc>
        <w:tc>
          <w:tcPr>
            <w:tcW w:type="dxa" w:w="345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Правило</w:t>
            </w:r>
          </w:p>
        </w:tc>
      </w:tr>
      <w:tr>
        <w:trPr>
          <w:cantSplit/>
        </w:trPr>
        <w:tc>
          <w:tcPr>
            <w:tcW w:type="dxa" w:w="17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Выручка</w:t>
            </w:r>
          </w:p>
        </w:tc>
        <w:tc>
          <w:tcPr>
            <w:tcW w:type="dxa" w:w="41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свежие и переработанные продукты; семена/рассада; корм; услуги</w:t>
            </w:r>
          </w:p>
        </w:tc>
        <w:tc>
          <w:tcPr>
            <w:tcW w:type="dxa" w:w="34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только подтверждённый рынок и цена сценария</w:t>
            </w:r>
          </w:p>
        </w:tc>
      </w:tr>
      <w:tr>
        <w:trPr>
          <w:cantSplit/>
        </w:trPr>
        <w:tc>
          <w:tcPr>
            <w:tcW w:type="dxa" w:w="17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Экономия</w:t>
            </w:r>
          </w:p>
        </w:tc>
        <w:tc>
          <w:tcPr>
            <w:tcW w:type="dxa" w:w="41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замещённая энергия, удобрения, вода, утилизация</w:t>
            </w:r>
          </w:p>
        </w:tc>
        <w:tc>
          <w:tcPr>
            <w:tcW w:type="dxa" w:w="34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не считать одновременно как выручку</w:t>
            </w:r>
          </w:p>
        </w:tc>
      </w:tr>
      <w:tr>
        <w:trPr>
          <w:cantSplit/>
        </w:trPr>
        <w:tc>
          <w:tcPr>
            <w:tcW w:type="dxa" w:w="17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CAPEX</w:t>
            </w:r>
          </w:p>
        </w:tc>
        <w:tc>
          <w:tcPr>
            <w:tcW w:type="dxa" w:w="41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земля/подготовка, здания, линии, холод, вода, энергия, лаборатория, IT</w:t>
            </w:r>
          </w:p>
        </w:tc>
        <w:tc>
          <w:tcPr>
            <w:tcW w:type="dxa" w:w="34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полная стоимость владения + резерв</w:t>
            </w:r>
          </w:p>
        </w:tc>
      </w:tr>
      <w:tr>
        <w:trPr>
          <w:cantSplit/>
        </w:trPr>
        <w:tc>
          <w:tcPr>
            <w:tcW w:type="dxa" w:w="17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OPEX</w:t>
            </w:r>
          </w:p>
        </w:tc>
        <w:tc>
          <w:tcPr>
            <w:tcW w:type="dxa" w:w="41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семена, корм, персонал, энергия, ветеринария, упаковка, логистика, анализы</w:t>
            </w:r>
          </w:p>
        </w:tc>
        <w:tc>
          <w:tcPr>
            <w:tcW w:type="dxa" w:w="34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по режимам загрузки и сезонности</w:t>
            </w:r>
          </w:p>
        </w:tc>
      </w:tr>
      <w:tr>
        <w:trPr>
          <w:cantSplit/>
        </w:trPr>
        <w:tc>
          <w:tcPr>
            <w:tcW w:type="dxa" w:w="17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Оборотный капитал</w:t>
            </w:r>
          </w:p>
        </w:tc>
        <w:tc>
          <w:tcPr>
            <w:tcW w:type="dxa" w:w="41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запасы, незавершённое производство, дебиторка</w:t>
            </w:r>
          </w:p>
        </w:tc>
        <w:tc>
          <w:tcPr>
            <w:tcW w:type="dxa" w:w="34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помесячный денежный поток</w:t>
            </w:r>
          </w:p>
        </w:tc>
      </w:tr>
      <w:tr>
        <w:trPr>
          <w:cantSplit/>
        </w:trPr>
        <w:tc>
          <w:tcPr>
            <w:tcW w:type="dxa" w:w="17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Риск</w:t>
            </w:r>
          </w:p>
        </w:tc>
        <w:tc>
          <w:tcPr>
            <w:tcW w:type="dxa" w:w="41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цены, урожай, болезни, энергоснабжение, покупатель, разрешения</w:t>
            </w:r>
          </w:p>
        </w:tc>
        <w:tc>
          <w:tcPr>
            <w:tcW w:type="dxa" w:w="34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стресс-сценарии и страхование</w:t>
            </w:r>
          </w:p>
        </w:tc>
      </w:tr>
    </w:tbl>
    <w:p>
      <w:pPr>
        <w:spacing w:after="120"/>
        <w:keepLines/>
        <w:widowControl/>
      </w:pPr>
      <w:r>
        <w:rPr>
          <w:rFonts w:ascii="Arial" w:hAnsi="Arial" w:eastAsia="Arial" w:cs="Arial"/>
          <w:color w:val="172033"/>
          <w:sz w:val="20"/>
        </w:rPr>
        <w:t>Базовые формулы: себестоимость единицы = распределённый OPEX / товарный выпуск; маржинальный доход = выручка – переменные затраты; EBITDA-прокси = операционная выручка – операционные расходы до финансирования, налогов и амортизации. NPV, IRR и DSCR рассчитываются только после получения подтверждённых вводных.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tblHeader w:val="true"/>
          <w:cantSplit/>
          <w:cantSplit/>
          <w:cantSplit/>
        </w:trPr>
        <w:tc>
          <w:tcPr>
            <w:tcW w:type="dxa" w:w="3120"/>
            <w:shd w:fill="EAF5FB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7" w:color="2E74B5"/>
              <w:left w:val="single" w:sz="7" w:color="2E74B5"/>
              <w:bottom w:val="single" w:sz="7" w:color="2E74B5"/>
              <w:right w:val="single" w:sz="7" w:color="2E74B5"/>
            </w:tcBorders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color w:val="2E74B5"/>
                <w:sz w:val="40"/>
              </w:rPr>
              <w:t>BASE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 w:cs="Arial"/>
                <w:b/>
                <w:color w:val="0B2545"/>
                <w:sz w:val="17"/>
              </w:rPr>
              <w:t>плановый спрос и урожай</w:t>
            </w:r>
          </w:p>
        </w:tc>
        <w:tc>
          <w:tcPr>
            <w:tcW w:type="dxa" w:w="3120"/>
            <w:shd w:fill="F9EBEA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7" w:color="A64040"/>
              <w:left w:val="single" w:sz="7" w:color="A64040"/>
              <w:bottom w:val="single" w:sz="7" w:color="A64040"/>
              <w:right w:val="single" w:sz="7" w:color="A64040"/>
            </w:tcBorders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color w:val="A64040"/>
                <w:sz w:val="40"/>
              </w:rPr>
              <w:t>STRESS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 w:cs="Arial"/>
                <w:b/>
                <w:color w:val="0B2545"/>
                <w:sz w:val="17"/>
              </w:rPr>
              <w:t>цена/урожай/энергия/логистика</w:t>
            </w:r>
          </w:p>
        </w:tc>
        <w:tc>
          <w:tcPr>
            <w:tcW w:type="dxa" w:w="3120"/>
            <w:shd w:fill="E9F4EF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7" w:color="2F7D68"/>
              <w:left w:val="single" w:sz="7" w:color="2F7D68"/>
              <w:bottom w:val="single" w:sz="7" w:color="2F7D68"/>
              <w:right w:val="single" w:sz="7" w:color="2F7D68"/>
            </w:tcBorders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color w:val="2F7D68"/>
                <w:sz w:val="40"/>
              </w:rPr>
              <w:t>UPSIDE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 w:cs="Arial"/>
                <w:b/>
                <w:color w:val="0B2545"/>
                <w:sz w:val="17"/>
              </w:rPr>
              <w:t>кооперация и загрузка мощности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F8F1DE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8" w:color="B28A2E"/>
              <w:left w:val="single" w:sz="8" w:color="B28A2E"/>
              <w:bottom w:val="single" w:sz="8" w:color="B28A2E"/>
              <w:right w:val="single" w:sz="8" w:color="B28A2E"/>
            </w:tcBorders>
          </w:tcPr>
          <w:p>
            <w:pPr>
              <w:spacing w:after="100"/>
            </w:pPr>
            <w:r>
              <w:rPr>
                <w:rFonts w:ascii="Arial" w:hAnsi="Arial" w:eastAsia="Arial" w:cs="Arial"/>
                <w:b/>
                <w:color w:val="B28A2E"/>
                <w:sz w:val="18"/>
              </w:rPr>
              <w:t>КРЕДИТНЫЙ ФИЛЬТР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0B2545"/>
                <w:sz w:val="22"/>
              </w:rPr>
              <w:t>CAPEX не одобряется без владельца актива, оператора, источника собственных средств, подтверждённого off-take, резерва оборотного капитала и плана на случай биологического простоя.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25</w:t>
      </w:r>
      <w:r>
        <w:rPr>
          <w:rFonts w:ascii="Arial" w:hAnsi="Arial" w:eastAsia="Arial" w:cs="Arial"/>
          <w:b/>
          <w:color w:val="B28A2E"/>
          <w:sz w:val="18"/>
        </w:rPr>
        <w:t xml:space="preserve">  ПЛАН РАБОТ</w:t>
      </w:r>
    </w:p>
    <w:p>
      <w:pPr>
        <w:pStyle w:val="Heading1"/>
        <w:keepLines/>
        <w:widowControl/>
        <w:keepNext/>
      </w:pPr>
      <w:r>
        <w:t>90-дневный пилот: доказать модель до строительства</w:t>
      </w:r>
    </w:p>
    <w:p>
      <w:pPr>
        <w:spacing w:after="200"/>
        <w:pBdr>
          <w:bottom w:val="single" w:sz="8" w:color="D6E1E9"/>
        </w:pBdr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350"/>
        <w:gridCol w:w="4250"/>
        <w:gridCol w:w="3760"/>
      </w:tblGrid>
      <w:tr>
        <w:trPr>
          <w:tblHeader w:val="true"/>
          <w:tblHeader w:val="true"/>
        </w:trPr>
        <w:tc>
          <w:tcPr>
            <w:tcW w:type="dxa" w:w="135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Период</w:t>
            </w:r>
          </w:p>
        </w:tc>
        <w:tc>
          <w:tcPr>
            <w:tcW w:type="dxa" w:w="425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Работа</w:t>
            </w:r>
          </w:p>
        </w:tc>
        <w:tc>
          <w:tcPr>
            <w:tcW w:type="dxa" w:w="376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Проверяемый результат</w:t>
            </w:r>
          </w:p>
        </w:tc>
      </w:tr>
      <w:tr>
        <w:trPr>
          <w:cantSplit/>
        </w:trPr>
        <w:tc>
          <w:tcPr>
            <w:tcW w:type="dxa" w:w="13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Дни 1–15</w:t>
            </w:r>
          </w:p>
        </w:tc>
        <w:tc>
          <w:tcPr>
            <w:tcW w:type="dxa" w:w="42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мандат, границы, право доступа; карта спроса; реестр заинтересованных сторон; план безопасности работ</w:t>
            </w:r>
          </w:p>
        </w:tc>
        <w:tc>
          <w:tcPr>
            <w:tcW w:type="dxa" w:w="37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паспорт территории и протокол допущений</w:t>
            </w:r>
          </w:p>
        </w:tc>
      </w:tr>
      <w:tr>
        <w:trPr>
          <w:cantSplit/>
        </w:trPr>
        <w:tc>
          <w:tcPr>
            <w:tcW w:type="dxa" w:w="13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Дни 16–30</w:t>
            </w:r>
          </w:p>
        </w:tc>
        <w:tc>
          <w:tcPr>
            <w:tcW w:type="dxa" w:w="42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почва, вода, инфраструктура; потоки; санитарное зонирование; перечень продуктов и процессов</w:t>
            </w:r>
          </w:p>
        </w:tc>
        <w:tc>
          <w:tcPr>
            <w:tcW w:type="dxa" w:w="37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базовая линия и карта ограничений</w:t>
            </w:r>
          </w:p>
        </w:tc>
      </w:tr>
      <w:tr>
        <w:trPr>
          <w:cantSplit/>
        </w:trPr>
        <w:tc>
          <w:tcPr>
            <w:tcW w:type="dxa" w:w="13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Дни 31–55</w:t>
            </w:r>
          </w:p>
        </w:tc>
        <w:tc>
          <w:tcPr>
            <w:tcW w:type="dxa" w:w="42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варианты модулей; продуктовые/кормовые/водные/энергетические балансы; цифровой реестр</w:t>
            </w:r>
          </w:p>
        </w:tc>
        <w:tc>
          <w:tcPr>
            <w:tcW w:type="dxa" w:w="37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варианты A/B/C и цифровой двойник уровня концепции</w:t>
            </w:r>
          </w:p>
        </w:tc>
      </w:tr>
      <w:tr>
        <w:trPr>
          <w:cantSplit/>
        </w:trPr>
        <w:tc>
          <w:tcPr>
            <w:tcW w:type="dxa" w:w="13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Дни 56–75</w:t>
            </w:r>
          </w:p>
        </w:tc>
        <w:tc>
          <w:tcPr>
            <w:tcW w:type="dxa" w:w="42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CAPEX/OPEX; рынок и off-take; разрешительная трасса; стресс-тесты; план биозащиты/HACCP</w:t>
            </w:r>
          </w:p>
        </w:tc>
        <w:tc>
          <w:tcPr>
            <w:tcW w:type="dxa" w:w="37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предынвестиционная модель и risk register</w:t>
            </w:r>
          </w:p>
        </w:tc>
      </w:tr>
      <w:tr>
        <w:trPr>
          <w:cantSplit/>
        </w:trPr>
        <w:tc>
          <w:tcPr>
            <w:tcW w:type="dxa" w:w="13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Дни 76–90</w:t>
            </w:r>
          </w:p>
        </w:tc>
        <w:tc>
          <w:tcPr>
            <w:tcW w:type="dxa" w:w="42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демонстрация ключевых циклов; учения по отзыву; независимая проверка; решение комитета</w:t>
            </w:r>
          </w:p>
        </w:tc>
        <w:tc>
          <w:tcPr>
            <w:tcW w:type="dxa" w:w="37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GO / GO WITH CONDITIONS / STOP</w:t>
            </w:r>
          </w:p>
        </w:tc>
      </w:tr>
    </w:tbl>
    <w:p>
      <w:pPr>
        <w:spacing w:after="120"/>
        <w:keepLines/>
        <w:widowControl/>
      </w:pPr>
      <w:r>
        <w:rPr>
          <w:rFonts w:ascii="Arial" w:hAnsi="Arial" w:eastAsia="Arial" w:cs="Arial"/>
          <w:color w:val="172033"/>
          <w:sz w:val="20"/>
        </w:rPr>
        <w:t>Физический демонстратор может включать ограниченный контур мониторинга, пробоотбора, прослеживаемости и одну безопасную петлю ресурсного возврата. Полноценная ферма за 90 дней не строится.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AF5FB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8" w:color="2E74B5"/>
              <w:left w:val="single" w:sz="8" w:color="2E74B5"/>
              <w:bottom w:val="single" w:sz="8" w:color="2E74B5"/>
              <w:right w:val="single" w:sz="8" w:color="2E74B5"/>
            </w:tcBorders>
          </w:tcPr>
          <w:p>
            <w:pPr>
              <w:spacing w:after="100"/>
            </w:pPr>
            <w:r>
              <w:rPr>
                <w:rFonts w:ascii="Arial" w:hAnsi="Arial" w:eastAsia="Arial" w:cs="Arial"/>
                <w:b/>
                <w:color w:val="2E74B5"/>
                <w:sz w:val="18"/>
              </w:rPr>
              <w:t>ВЫХОДНОЙ ПАКЕТ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0B2545"/>
                <w:sz w:val="22"/>
              </w:rPr>
              <w:t>паспорт территории · каталог применимых модулей · схемы потоков и зонирования · реестр требований · базовая линия KPI · финансовые сценарии · risk register · программа реализации · независимое заключение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26</w:t>
      </w:r>
      <w:r>
        <w:rPr>
          <w:rFonts w:ascii="Arial" w:hAnsi="Arial" w:eastAsia="Arial" w:cs="Arial"/>
          <w:b/>
          <w:color w:val="B28A2E"/>
          <w:sz w:val="18"/>
        </w:rPr>
        <w:t xml:space="preserve">  ЭТАПНОЕ ФИНАНСИРОВАНИЕ</w:t>
      </w:r>
    </w:p>
    <w:p>
      <w:pPr>
        <w:pStyle w:val="Heading1"/>
        <w:keepLines/>
        <w:widowControl/>
        <w:keepNext/>
      </w:pPr>
      <w:r>
        <w:t>Реализация после пилота: 12–36 месяцев</w:t>
      </w:r>
    </w:p>
    <w:p>
      <w:pPr>
        <w:spacing w:after="200"/>
        <w:pBdr>
          <w:bottom w:val="single" w:sz="8" w:color="D6E1E9"/>
        </w:pBdr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1200"/>
        <w:gridCol w:w="4500"/>
        <w:gridCol w:w="2160"/>
      </w:tblGrid>
      <w:tr>
        <w:trPr>
          <w:tblHeader w:val="true"/>
          <w:tblHeader w:val="true"/>
        </w:trPr>
        <w:tc>
          <w:tcPr>
            <w:tcW w:type="dxa" w:w="15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Этап</w:t>
            </w:r>
          </w:p>
        </w:tc>
        <w:tc>
          <w:tcPr>
            <w:tcW w:type="dxa" w:w="12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Ориентир</w:t>
            </w:r>
          </w:p>
        </w:tc>
        <w:tc>
          <w:tcPr>
            <w:tcW w:type="dxa" w:w="45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Содержание</w:t>
            </w:r>
          </w:p>
        </w:tc>
        <w:tc>
          <w:tcPr>
            <w:tcW w:type="dxa" w:w="216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Gate</w:t>
            </w:r>
          </w:p>
        </w:tc>
      </w:tr>
      <w:tr>
        <w:trPr>
          <w:cantSplit/>
        </w:trPr>
        <w:tc>
          <w:tcPr>
            <w:tcW w:type="dxa" w:w="15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0. Проектирование</w:t>
            </w:r>
          </w:p>
        </w:tc>
        <w:tc>
          <w:tcPr>
            <w:tcW w:type="dxa" w:w="12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0–6 мес.</w:t>
            </w:r>
          </w:p>
        </w:tc>
        <w:tc>
          <w:tcPr>
            <w:tcW w:type="dxa" w:w="45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изыскания, ТЭО/проект, разрешения, контрактование, рабочая модель данных</w:t>
            </w:r>
          </w:p>
        </w:tc>
        <w:tc>
          <w:tcPr>
            <w:tcW w:type="dxa" w:w="21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готовность к строительству</w:t>
            </w:r>
          </w:p>
        </w:tc>
      </w:tr>
      <w:tr>
        <w:trPr>
          <w:cantSplit/>
        </w:trPr>
        <w:tc>
          <w:tcPr>
            <w:tcW w:type="dxa" w:w="15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1. Ядро</w:t>
            </w:r>
          </w:p>
        </w:tc>
        <w:tc>
          <w:tcPr>
            <w:tcW w:type="dxa" w:w="12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6–15 мес.</w:t>
            </w:r>
          </w:p>
        </w:tc>
        <w:tc>
          <w:tcPr>
            <w:tcW w:type="dxa" w:w="45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земля/вода, базовое растениеводство, склад, мониторинг, санитарные маршруты</w:t>
            </w:r>
          </w:p>
        </w:tc>
        <w:tc>
          <w:tcPr>
            <w:tcW w:type="dxa" w:w="21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стабильный безопасный выпуск</w:t>
            </w:r>
          </w:p>
        </w:tc>
      </w:tr>
      <w:tr>
        <w:trPr>
          <w:cantSplit/>
        </w:trPr>
        <w:tc>
          <w:tcPr>
            <w:tcW w:type="dxa" w:w="15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2. Переработка</w:t>
            </w:r>
          </w:p>
        </w:tc>
        <w:tc>
          <w:tcPr>
            <w:tcW w:type="dxa" w:w="12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12–24 мес.</w:t>
            </w:r>
          </w:p>
        </w:tc>
        <w:tc>
          <w:tcPr>
            <w:tcW w:type="dxa" w:w="45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первичная/глубокая переработка, холод, упаковка, логистика</w:t>
            </w:r>
          </w:p>
        </w:tc>
        <w:tc>
          <w:tcPr>
            <w:tcW w:type="dxa" w:w="21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подтверждённая загрузка и качество</w:t>
            </w:r>
          </w:p>
        </w:tc>
      </w:tr>
      <w:tr>
        <w:trPr>
          <w:cantSplit/>
        </w:trPr>
        <w:tc>
          <w:tcPr>
            <w:tcW w:type="dxa" w:w="15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3. Циркулярность</w:t>
            </w:r>
          </w:p>
        </w:tc>
        <w:tc>
          <w:tcPr>
            <w:tcW w:type="dxa" w:w="12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15–30 мес.</w:t>
            </w:r>
          </w:p>
        </w:tc>
        <w:tc>
          <w:tcPr>
            <w:tcW w:type="dxa" w:w="45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обработка органики, энергия, повторное использование воды по допуску</w:t>
            </w:r>
          </w:p>
        </w:tc>
        <w:tc>
          <w:tcPr>
            <w:tcW w:type="dxa" w:w="21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доказанный эффект без роста риска</w:t>
            </w:r>
          </w:p>
        </w:tc>
      </w:tr>
      <w:tr>
        <w:trPr>
          <w:cantSplit/>
        </w:trPr>
        <w:tc>
          <w:tcPr>
            <w:tcW w:type="dxa" w:w="15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4. Масштаб</w:t>
            </w:r>
          </w:p>
        </w:tc>
        <w:tc>
          <w:tcPr>
            <w:tcW w:type="dxa" w:w="12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24–36 мес.</w:t>
            </w:r>
          </w:p>
        </w:tc>
        <w:tc>
          <w:tcPr>
            <w:tcW w:type="dxa" w:w="45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кооперация, тиражирование, обучение, референсная станция</w:t>
            </w:r>
          </w:p>
        </w:tc>
        <w:tc>
          <w:tcPr>
            <w:tcW w:type="dxa" w:w="21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независимый аудит результата</w:t>
            </w:r>
          </w:p>
        </w:tc>
      </w:tr>
    </w:tbl>
    <w:p>
      <w:pPr>
        <w:spacing w:after="120"/>
        <w:keepLines/>
        <w:widowControl/>
      </w:pPr>
      <w:r>
        <w:rPr>
          <w:rFonts w:ascii="Arial" w:hAnsi="Arial" w:eastAsia="Arial" w:cs="Arial"/>
          <w:color w:val="172033"/>
          <w:sz w:val="20"/>
        </w:rPr>
        <w:t>Финансирование открывается траншами по подтверждённым воротам. Если рынок, безопасность или ресурсный баланс не подтверждены, следующий модуль не запускается независимо от уже понесённых затрат.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20"/>
        <w:gridCol w:w="4740"/>
      </w:tblGrid>
      <w:tr>
        <w:trPr>
          <w:tblHeader w:val="true"/>
          <w:cantSplit/>
          <w:cantSplit/>
        </w:trPr>
        <w:tc>
          <w:tcPr>
            <w:tcW w:type="dxa" w:w="4620"/>
            <w:shd w:fill="EAF5FB"/>
            <w:tcMar>
              <w:top w:w="130" w:type="dxa"/>
              <w:start w:w="120" w:type="dxa"/>
              <w:bottom w:w="120" w:type="dxa"/>
              <w:end w:w="120" w:type="dxa"/>
            </w:tcMar>
            <w:tcBorders>
              <w:top w:val="single" w:sz="6" w:color="2E74B5"/>
              <w:left w:val="single" w:sz="6" w:color="2E74B5"/>
              <w:bottom w:val="single" w:sz="6" w:color="2E74B5"/>
              <w:right w:val="single" w:sz="6" w:color="2E74B5"/>
            </w:tcBorders>
          </w:tcPr>
          <w:p>
            <w:pPr>
              <w:spacing w:after="140"/>
            </w:pPr>
            <w:r>
              <w:rPr>
                <w:rFonts w:ascii="Arial" w:hAnsi="Arial" w:eastAsia="Arial" w:cs="Arial"/>
                <w:b/>
                <w:color w:val="2E74B5"/>
                <w:sz w:val="20"/>
              </w:rPr>
              <w:t>РАННИЕ АКТИВЫ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обследования и цифровой паспорт;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вода, санитарные маршруты и мониторинг;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склад/холод для уже существующего выпуска;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контракты и обучение персонала.</w:t>
            </w:r>
          </w:p>
        </w:tc>
        <w:tc>
          <w:tcPr>
            <w:tcW w:type="dxa" w:w="4740"/>
            <w:shd w:fill="E9F4EF"/>
            <w:tcMar>
              <w:top w:w="130" w:type="dxa"/>
              <w:start w:w="120" w:type="dxa"/>
              <w:bottom w:w="120" w:type="dxa"/>
              <w:end w:w="120" w:type="dxa"/>
            </w:tcMar>
            <w:tcBorders>
              <w:top w:val="single" w:sz="6" w:color="2F7D68"/>
              <w:left w:val="single" w:sz="6" w:color="2F7D68"/>
              <w:bottom w:val="single" w:sz="6" w:color="2F7D68"/>
              <w:right w:val="single" w:sz="6" w:color="2F7D68"/>
            </w:tcBorders>
          </w:tcPr>
          <w:p>
            <w:pPr>
              <w:spacing w:after="140"/>
            </w:pPr>
            <w:r>
              <w:rPr>
                <w:rFonts w:ascii="Arial" w:hAnsi="Arial" w:eastAsia="Arial" w:cs="Arial"/>
                <w:b/>
                <w:color w:val="2F7D68"/>
                <w:sz w:val="20"/>
              </w:rPr>
              <w:t>ПОЗДНИЕ АКТИВЫ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глубокая переработка;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биогаз и сложная очистка;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животноводство/аквакультура;</w:t>
            </w:r>
          </w:p>
          <w:p>
            <w:pPr>
              <w:spacing w:after="80"/>
              <w:ind w:left="198" w:hanging="113"/>
            </w:pPr>
            <w:r>
              <w:rPr>
                <w:rFonts w:ascii="Arial" w:hAnsi="Arial" w:eastAsia="Arial" w:cs="Arial"/>
                <w:color w:val="172033"/>
                <w:sz w:val="18"/>
              </w:rPr>
              <w:t>• экспортный контур и тиражирование.</w:t>
            </w:r>
          </w:p>
        </w:tc>
      </w:tr>
    </w:tbl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27</w:t>
      </w:r>
      <w:r>
        <w:rPr>
          <w:rFonts w:ascii="Arial" w:hAnsi="Arial" w:eastAsia="Arial" w:cs="Arial"/>
          <w:b/>
          <w:color w:val="B28A2E"/>
          <w:sz w:val="18"/>
        </w:rPr>
        <w:t xml:space="preserve">  ЗАЩИТА ОТ НЕОБРАТИМЫХ ОШИБОК</w:t>
      </w:r>
    </w:p>
    <w:p>
      <w:pPr>
        <w:pStyle w:val="Heading1"/>
        <w:keepLines/>
        <w:widowControl/>
        <w:keepNext/>
      </w:pPr>
      <w:r>
        <w:t>Риски и стоп-условия</w:t>
      </w:r>
    </w:p>
    <w:p>
      <w:pPr>
        <w:spacing w:after="200"/>
        <w:pBdr>
          <w:bottom w:val="single" w:sz="8" w:color="D6E1E9"/>
        </w:pBdr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50"/>
        <w:gridCol w:w="3820"/>
        <w:gridCol w:w="3490"/>
      </w:tblGrid>
      <w:tr>
        <w:trPr>
          <w:tblHeader w:val="true"/>
          <w:tblHeader w:val="true"/>
        </w:trPr>
        <w:tc>
          <w:tcPr>
            <w:tcW w:type="dxa" w:w="205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Риск</w:t>
            </w:r>
          </w:p>
        </w:tc>
        <w:tc>
          <w:tcPr>
            <w:tcW w:type="dxa" w:w="382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Ранний индикатор</w:t>
            </w:r>
          </w:p>
        </w:tc>
        <w:tc>
          <w:tcPr>
            <w:tcW w:type="dxa" w:w="349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Стоп-условие / ответ</w:t>
            </w:r>
          </w:p>
        </w:tc>
      </w:tr>
      <w:tr>
        <w:trPr>
          <w:cantSplit/>
        </w:trPr>
        <w:tc>
          <w:tcPr>
            <w:tcW w:type="dxa" w:w="20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Нет правового мандата</w:t>
            </w:r>
          </w:p>
        </w:tc>
        <w:tc>
          <w:tcPr>
            <w:tcW w:type="dxa" w:w="382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неясный титул, доступ, водопользование, сервитут</w:t>
            </w:r>
          </w:p>
        </w:tc>
        <w:tc>
          <w:tcPr>
            <w:tcW w:type="dxa" w:w="349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STOP до документального устранения</w:t>
            </w:r>
          </w:p>
        </w:tc>
      </w:tr>
      <w:tr>
        <w:trPr>
          <w:cantSplit/>
        </w:trPr>
        <w:tc>
          <w:tcPr>
            <w:tcW w:type="dxa" w:w="20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Дефицит воды</w:t>
            </w:r>
          </w:p>
        </w:tc>
        <w:tc>
          <w:tcPr>
            <w:tcW w:type="dxa" w:w="382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баланс отрицателен в сухой год</w:t>
            </w:r>
          </w:p>
        </w:tc>
        <w:tc>
          <w:tcPr>
            <w:tcW w:type="dxa" w:w="349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сократить модуль/сменить продукт/площадку</w:t>
            </w:r>
          </w:p>
        </w:tc>
      </w:tr>
      <w:tr>
        <w:trPr>
          <w:cantSplit/>
        </w:trPr>
        <w:tc>
          <w:tcPr>
            <w:tcW w:type="dxa" w:w="20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Биологический риск</w:t>
            </w:r>
          </w:p>
        </w:tc>
        <w:tc>
          <w:tcPr>
            <w:tcW w:type="dxa" w:w="382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нет карантина, разделения потоков, резервного плана</w:t>
            </w:r>
          </w:p>
        </w:tc>
        <w:tc>
          <w:tcPr>
            <w:tcW w:type="dxa" w:w="349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не вводить животных/рыбу</w:t>
            </w:r>
          </w:p>
        </w:tc>
      </w:tr>
      <w:tr>
        <w:trPr>
          <w:cantSplit/>
        </w:trPr>
        <w:tc>
          <w:tcPr>
            <w:tcW w:type="dxa" w:w="20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Небезопасный возврат</w:t>
            </w:r>
          </w:p>
        </w:tc>
        <w:tc>
          <w:tcPr>
            <w:tcW w:type="dxa" w:w="382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нет анализа и допустимого маршрута</w:t>
            </w:r>
          </w:p>
        </w:tc>
        <w:tc>
          <w:tcPr>
            <w:tcW w:type="dxa" w:w="349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утилизация у лицензированного оператора</w:t>
            </w:r>
          </w:p>
        </w:tc>
      </w:tr>
      <w:tr>
        <w:trPr>
          <w:cantSplit/>
        </w:trPr>
        <w:tc>
          <w:tcPr>
            <w:tcW w:type="dxa" w:w="20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Нет рынка</w:t>
            </w:r>
          </w:p>
        </w:tc>
        <w:tc>
          <w:tcPr>
            <w:tcW w:type="dxa" w:w="382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off-take не покрывает минимальную загрузку</w:t>
            </w:r>
          </w:p>
        </w:tc>
        <w:tc>
          <w:tcPr>
            <w:tcW w:type="dxa" w:w="349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не закупать специализированную линию</w:t>
            </w:r>
          </w:p>
        </w:tc>
      </w:tr>
      <w:tr>
        <w:trPr>
          <w:cantSplit/>
        </w:trPr>
        <w:tc>
          <w:tcPr>
            <w:tcW w:type="dxa" w:w="20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Двойной счёт экономики</w:t>
            </w:r>
          </w:p>
        </w:tc>
        <w:tc>
          <w:tcPr>
            <w:tcW w:type="dxa" w:w="382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выручка и экономия от одного потока</w:t>
            </w:r>
          </w:p>
        </w:tc>
        <w:tc>
          <w:tcPr>
            <w:tcW w:type="dxa" w:w="349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пересчитать модель и заключение</w:t>
            </w:r>
          </w:p>
        </w:tc>
      </w:tr>
      <w:tr>
        <w:trPr>
          <w:cantSplit/>
        </w:trPr>
        <w:tc>
          <w:tcPr>
            <w:tcW w:type="dxa" w:w="20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Данные непроверяемы</w:t>
            </w:r>
          </w:p>
        </w:tc>
        <w:tc>
          <w:tcPr>
            <w:tcW w:type="dxa" w:w="382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нет источника, калибровки, версии</w:t>
            </w:r>
          </w:p>
        </w:tc>
        <w:tc>
          <w:tcPr>
            <w:tcW w:type="dxa" w:w="349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не использовать показатель для решения</w:t>
            </w:r>
          </w:p>
        </w:tc>
      </w:tr>
      <w:tr>
        <w:trPr>
          <w:cantSplit/>
        </w:trPr>
        <w:tc>
          <w:tcPr>
            <w:tcW w:type="dxa" w:w="20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Зависимость от одного узла</w:t>
            </w:r>
          </w:p>
        </w:tc>
        <w:tc>
          <w:tcPr>
            <w:tcW w:type="dxa" w:w="382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единственный корм, энергия, покупатель, холод</w:t>
            </w:r>
          </w:p>
        </w:tc>
        <w:tc>
          <w:tcPr>
            <w:tcW w:type="dxa" w:w="349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резерв/диверсификация до запуска</w:t>
            </w:r>
          </w:p>
        </w:tc>
      </w:tr>
      <w:tr>
        <w:trPr>
          <w:cantSplit/>
        </w:trPr>
        <w:tc>
          <w:tcPr>
            <w:tcW w:type="dxa" w:w="20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«Зелёные» заявления</w:t>
            </w:r>
          </w:p>
        </w:tc>
        <w:tc>
          <w:tcPr>
            <w:tcW w:type="dxa" w:w="382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нет границы, базовой линии и методики</w:t>
            </w:r>
          </w:p>
        </w:tc>
        <w:tc>
          <w:tcPr>
            <w:tcW w:type="dxa" w:w="349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запрет публичного утверждения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F9EBEA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8" w:color="A64040"/>
              <w:left w:val="single" w:sz="8" w:color="A64040"/>
              <w:bottom w:val="single" w:sz="8" w:color="A64040"/>
              <w:right w:val="single" w:sz="8" w:color="A64040"/>
            </w:tcBorders>
          </w:tcPr>
          <w:p>
            <w:pPr>
              <w:spacing w:after="100"/>
            </w:pPr>
            <w:r>
              <w:rPr>
                <w:rFonts w:ascii="Arial" w:hAnsi="Arial" w:eastAsia="Arial" w:cs="Arial"/>
                <w:b/>
                <w:color w:val="A64040"/>
                <w:sz w:val="18"/>
              </w:rPr>
              <w:t>ГЛАВНОЕ СТОП-УСЛОВИЕ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0B2545"/>
                <w:sz w:val="22"/>
              </w:rPr>
              <w:t>Если безопасность продукта, людей, животных, растений или экосистемы нельзя доказать — модуль не запускается, даже если финансовый сценарий выглядит привлекательным.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28</w:t>
      </w:r>
      <w:r>
        <w:rPr>
          <w:rFonts w:ascii="Arial" w:hAnsi="Arial" w:eastAsia="Arial" w:cs="Arial"/>
          <w:b/>
          <w:color w:val="B28A2E"/>
          <w:sz w:val="18"/>
        </w:rPr>
        <w:t xml:space="preserve">  ПЕРЕХОД К ДЕЙСТВИЮ</w:t>
      </w:r>
    </w:p>
    <w:p>
      <w:pPr>
        <w:pStyle w:val="Heading1"/>
        <w:keepLines/>
        <w:widowControl/>
        <w:keepNext/>
      </w:pPr>
      <w:r>
        <w:t>Мандат и следующие 10 рабочих дней</w:t>
      </w:r>
    </w:p>
    <w:p>
      <w:pPr>
        <w:spacing w:after="200"/>
        <w:pBdr>
          <w:bottom w:val="single" w:sz="8" w:color="D6E1E9"/>
        </w:pBdr>
      </w:pPr>
    </w:p>
    <w:p>
      <w:pPr>
        <w:spacing w:after="120"/>
        <w:keepLines/>
        <w:widowControl/>
      </w:pPr>
      <w:r>
        <w:rPr>
          <w:rFonts w:ascii="Arial" w:hAnsi="Arial" w:eastAsia="Arial" w:cs="Arial"/>
          <w:color w:val="172033"/>
          <w:sz w:val="20"/>
        </w:rPr>
        <w:t>Для запуска не требуется утверждать строительство. Требуется назначить владельца решения и дать ограниченный мандат на сбор данных, обследование, моделирование и переговоры без принятия инвестиционных обязательств.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00"/>
        <w:gridCol w:w="5250"/>
        <w:gridCol w:w="3010"/>
      </w:tblGrid>
      <w:tr>
        <w:trPr>
          <w:tblHeader w:val="true"/>
          <w:tblHeader w:val="true"/>
        </w:trPr>
        <w:tc>
          <w:tcPr>
            <w:tcW w:type="dxa" w:w="11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День</w:t>
            </w:r>
          </w:p>
        </w:tc>
        <w:tc>
          <w:tcPr>
            <w:tcW w:type="dxa" w:w="525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Действие</w:t>
            </w:r>
          </w:p>
        </w:tc>
        <w:tc>
          <w:tcPr>
            <w:tcW w:type="dxa" w:w="301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Ответственный результат</w:t>
            </w:r>
          </w:p>
        </w:tc>
      </w:tr>
      <w:tr>
        <w:trPr>
          <w:cantSplit/>
        </w:trPr>
        <w:tc>
          <w:tcPr>
            <w:tcW w:type="dxa" w:w="11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1–2</w:t>
            </w:r>
          </w:p>
        </w:tc>
        <w:tc>
          <w:tcPr>
            <w:tcW w:type="dxa" w:w="52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назначить заказчика, руководителя пилота, независимого верификатора и оператора данных</w:t>
            </w:r>
          </w:p>
        </w:tc>
        <w:tc>
          <w:tcPr>
            <w:tcW w:type="dxa" w:w="301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RACI и протокол полномочий</w:t>
            </w:r>
          </w:p>
        </w:tc>
      </w:tr>
      <w:tr>
        <w:trPr>
          <w:cantSplit/>
        </w:trPr>
        <w:tc>
          <w:tcPr>
            <w:tcW w:type="dxa" w:w="11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1–3</w:t>
            </w:r>
          </w:p>
        </w:tc>
        <w:tc>
          <w:tcPr>
            <w:tcW w:type="dxa" w:w="52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предложить 1–3 территории и представить титулы/права доступа</w:t>
            </w:r>
          </w:p>
        </w:tc>
        <w:tc>
          <w:tcPr>
            <w:tcW w:type="dxa" w:w="301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короткий список с красными флагами</w:t>
            </w:r>
          </w:p>
        </w:tc>
      </w:tr>
      <w:tr>
        <w:trPr>
          <w:cantSplit/>
        </w:trPr>
        <w:tc>
          <w:tcPr>
            <w:tcW w:type="dxa" w:w="11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2–5</w:t>
            </w:r>
          </w:p>
        </w:tc>
        <w:tc>
          <w:tcPr>
            <w:tcW w:type="dxa" w:w="52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определить целевую группу, продуктовую корзину и предварительный рынок</w:t>
            </w:r>
          </w:p>
        </w:tc>
        <w:tc>
          <w:tcPr>
            <w:tcW w:type="dxa" w:w="301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карта спроса и гипотезы off-take</w:t>
            </w:r>
          </w:p>
        </w:tc>
      </w:tr>
      <w:tr>
        <w:trPr>
          <w:cantSplit/>
        </w:trPr>
        <w:tc>
          <w:tcPr>
            <w:tcW w:type="dxa" w:w="11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3–7</w:t>
            </w:r>
          </w:p>
        </w:tc>
        <w:tc>
          <w:tcPr>
            <w:tcW w:type="dxa" w:w="52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согласовать протокол обследования, охрану труда, биозащиту и данные</w:t>
            </w:r>
          </w:p>
        </w:tc>
        <w:tc>
          <w:tcPr>
            <w:tcW w:type="dxa" w:w="301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план полевых работ и реестр источников</w:t>
            </w:r>
          </w:p>
        </w:tc>
      </w:tr>
      <w:tr>
        <w:trPr>
          <w:cantSplit/>
        </w:trPr>
        <w:tc>
          <w:tcPr>
            <w:tcW w:type="dxa" w:w="11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6"/>
              </w:rPr>
              <w:t>6–10</w:t>
            </w:r>
          </w:p>
        </w:tc>
        <w:tc>
          <w:tcPr>
            <w:tcW w:type="dxa" w:w="52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провести стартовую сессию и утвердить бюджет этапа 1</w:t>
            </w:r>
          </w:p>
        </w:tc>
        <w:tc>
          <w:tcPr>
            <w:tcW w:type="dxa" w:w="301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6"/>
              </w:rPr>
              <w:t>нулевая версия паспорта и календаря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9F4EF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8" w:color="2F7D68"/>
              <w:left w:val="single" w:sz="8" w:color="2F7D68"/>
              <w:bottom w:val="single" w:sz="8" w:color="2F7D68"/>
              <w:right w:val="single" w:sz="8" w:color="2F7D68"/>
            </w:tcBorders>
          </w:tcPr>
          <w:p>
            <w:pPr>
              <w:spacing w:after="100"/>
            </w:pPr>
            <w:r>
              <w:rPr>
                <w:rFonts w:ascii="Arial" w:hAnsi="Arial" w:eastAsia="Arial" w:cs="Arial"/>
                <w:b/>
                <w:color w:val="2F7D68"/>
                <w:sz w:val="18"/>
              </w:rPr>
              <w:t>ПРОЕКТ РЕШЕНИЯ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0B2545"/>
                <w:sz w:val="22"/>
              </w:rPr>
              <w:t>Одобрить 90-дневный предпроектный пилот при четырёх условиях: документальный мандат на территорию; независимая верификация; запрет CAPEX до Gate; хранение всех версий и доказательств в Архиве наследия.</w:t>
            </w:r>
          </w:p>
        </w:tc>
      </w:tr>
    </w:tbl>
    <w:p>
      <w:pPr>
        <w:spacing w:after="0"/>
      </w:pPr>
    </w:p>
    <w:p>
      <w:pPr>
        <w:spacing w:after="120"/>
        <w:keepLines/>
        <w:widowControl/>
      </w:pPr>
      <w:r>
        <w:rPr>
          <w:rFonts w:ascii="Arial" w:hAnsi="Arial" w:eastAsia="Arial" w:cs="Arial"/>
          <w:color w:val="5E6878"/>
          <w:sz w:val="18"/>
        </w:rPr>
        <w:t>Кандидатный маршрут «Сызрань — Рамено — Смолькино» может рассматриваться только после документальной проверки участков, полномочий, экологических ограничений и согласия заинтересованных сторон. До этого он не является утверждённой географией проекта.</w:t>
      </w:r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29</w:t>
      </w:r>
      <w:r>
        <w:rPr>
          <w:rFonts w:ascii="Arial" w:hAnsi="Arial" w:eastAsia="Arial" w:cs="Arial"/>
          <w:b/>
          <w:color w:val="B28A2E"/>
          <w:sz w:val="18"/>
        </w:rPr>
        <w:t xml:space="preserve">  ОФИЦИАЛЬНЫЕ ПЕРВИЧНЫЕ ИСТОЧНИКИ</w:t>
      </w:r>
    </w:p>
    <w:p>
      <w:pPr>
        <w:pStyle w:val="Heading1"/>
        <w:keepLines/>
        <w:widowControl/>
        <w:keepNext/>
      </w:pPr>
      <w:r>
        <w:t>Источники и нормативная база</w:t>
      </w:r>
    </w:p>
    <w:p>
      <w:pPr>
        <w:spacing w:after="200"/>
        <w:pBdr>
          <w:bottom w:val="single" w:sz="8" w:color="D6E1E9"/>
        </w:pBdr>
      </w:pPr>
    </w:p>
    <w:p>
      <w:pPr>
        <w:spacing w:after="100"/>
        <w:ind w:left="198" w:hanging="198"/>
        <w:keepLines/>
        <w:widowControl/>
      </w:pPr>
      <w:r>
        <w:rPr>
          <w:rFonts w:ascii="Arial" w:hAnsi="Arial" w:eastAsia="Arial" w:cs="Arial"/>
          <w:b/>
          <w:color w:val="B28A2E"/>
          <w:sz w:val="17"/>
        </w:rPr>
        <w:t xml:space="preserve">[1] </w:t>
      </w:r>
      <w:hyperlink r:id="rId13">
        <w:r>
          <w:rPr>
            <w:color w:val="2E74B5"/>
            <w:u w:val="single"/>
          </w:rPr>
          <w:t>Указ Президента РФ от 21.01.2020 № 20 — Доктрина продовольственной безопасности</w:t>
        </w:r>
      </w:hyperlink>
    </w:p>
    <w:p>
      <w:pPr>
        <w:spacing w:after="100"/>
        <w:ind w:left="198" w:hanging="198"/>
        <w:keepLines/>
        <w:widowControl/>
      </w:pPr>
      <w:r>
        <w:rPr>
          <w:rFonts w:ascii="Arial" w:hAnsi="Arial" w:eastAsia="Arial" w:cs="Arial"/>
          <w:b/>
          <w:color w:val="B28A2E"/>
          <w:sz w:val="17"/>
        </w:rPr>
        <w:t xml:space="preserve">[2] </w:t>
      </w:r>
      <w:hyperlink r:id="rId21">
        <w:r>
          <w:rPr>
            <w:color w:val="2E74B5"/>
            <w:u w:val="single"/>
          </w:rPr>
          <w:t>Указ Президента РФ от 10.03.2025 № 141 — изменения в Доктрину</w:t>
        </w:r>
      </w:hyperlink>
    </w:p>
    <w:p>
      <w:pPr>
        <w:spacing w:after="100"/>
        <w:ind w:left="198" w:hanging="198"/>
        <w:keepLines/>
        <w:widowControl/>
      </w:pPr>
      <w:r>
        <w:rPr>
          <w:rFonts w:ascii="Arial" w:hAnsi="Arial" w:eastAsia="Arial" w:cs="Arial"/>
          <w:b/>
          <w:color w:val="B28A2E"/>
          <w:sz w:val="17"/>
        </w:rPr>
        <w:t xml:space="preserve">[3] </w:t>
      </w:r>
      <w:hyperlink r:id="rId22">
        <w:r>
          <w:rPr>
            <w:color w:val="2E74B5"/>
            <w:u w:val="single"/>
          </w:rPr>
          <w:t>Росстат — сельское хозяйство и уровень самообеспечения продуктами</w:t>
        </w:r>
      </w:hyperlink>
    </w:p>
    <w:p>
      <w:pPr>
        <w:spacing w:after="100"/>
        <w:ind w:left="198" w:hanging="198"/>
        <w:keepLines/>
        <w:widowControl/>
      </w:pPr>
      <w:r>
        <w:rPr>
          <w:rFonts w:ascii="Arial" w:hAnsi="Arial" w:eastAsia="Arial" w:cs="Arial"/>
          <w:b/>
          <w:color w:val="B28A2E"/>
          <w:sz w:val="17"/>
        </w:rPr>
        <w:t xml:space="preserve">[4] </w:t>
      </w:r>
      <w:hyperlink r:id="rId23">
        <w:r>
          <w:rPr>
            <w:color w:val="2E74B5"/>
            <w:u w:val="single"/>
          </w:rPr>
          <w:t>Минсельхоз России — национальный проект технологического обеспечения продовольственной безопасности</w:t>
        </w:r>
      </w:hyperlink>
    </w:p>
    <w:p>
      <w:pPr>
        <w:spacing w:after="100"/>
        <w:ind w:left="198" w:hanging="198"/>
        <w:keepLines/>
        <w:widowControl/>
      </w:pPr>
      <w:r>
        <w:rPr>
          <w:rFonts w:ascii="Arial" w:hAnsi="Arial" w:eastAsia="Arial" w:cs="Arial"/>
          <w:b/>
          <w:color w:val="B28A2E"/>
          <w:sz w:val="17"/>
        </w:rPr>
        <w:t xml:space="preserve">[5] </w:t>
      </w:r>
      <w:hyperlink r:id="rId12">
        <w:r>
          <w:rPr>
            <w:color w:val="2E74B5"/>
            <w:u w:val="single"/>
          </w:rPr>
          <w:t>CFS — Global Strategic Framework for Food Security and Nutrition</w:t>
        </w:r>
      </w:hyperlink>
    </w:p>
    <w:p>
      <w:pPr>
        <w:spacing w:after="100"/>
        <w:ind w:left="198" w:hanging="198"/>
        <w:keepLines/>
        <w:widowControl/>
      </w:pPr>
      <w:r>
        <w:rPr>
          <w:rFonts w:ascii="Arial" w:hAnsi="Arial" w:eastAsia="Arial" w:cs="Arial"/>
          <w:b/>
          <w:color w:val="B28A2E"/>
          <w:sz w:val="17"/>
        </w:rPr>
        <w:t xml:space="preserve">[6] </w:t>
      </w:r>
      <w:hyperlink r:id="rId24">
        <w:r>
          <w:rPr>
            <w:color w:val="2E74B5"/>
            <w:u w:val="single"/>
          </w:rPr>
          <w:t>HLPE-FSN — agency and sustainability in food security</w:t>
        </w:r>
      </w:hyperlink>
    </w:p>
    <w:p>
      <w:pPr>
        <w:spacing w:after="100"/>
        <w:ind w:left="198" w:hanging="198"/>
        <w:keepLines/>
        <w:widowControl/>
      </w:pPr>
      <w:r>
        <w:rPr>
          <w:rFonts w:ascii="Arial" w:hAnsi="Arial" w:eastAsia="Arial" w:cs="Arial"/>
          <w:b/>
          <w:color w:val="B28A2E"/>
          <w:sz w:val="17"/>
        </w:rPr>
        <w:t xml:space="preserve">[7] </w:t>
      </w:r>
      <w:hyperlink r:id="rId15">
        <w:r>
          <w:rPr>
            <w:color w:val="2E74B5"/>
            <w:u w:val="single"/>
          </w:rPr>
          <w:t>SOFI 2026 — The State of Food Security and Nutrition in the World</w:t>
        </w:r>
      </w:hyperlink>
    </w:p>
    <w:p>
      <w:pPr>
        <w:spacing w:after="100"/>
        <w:ind w:left="198" w:hanging="198"/>
        <w:keepLines/>
        <w:widowControl/>
      </w:pPr>
      <w:r>
        <w:rPr>
          <w:rFonts w:ascii="Arial" w:hAnsi="Arial" w:eastAsia="Arial" w:cs="Arial"/>
          <w:b/>
          <w:color w:val="B28A2E"/>
          <w:sz w:val="17"/>
        </w:rPr>
        <w:t xml:space="preserve">[8] </w:t>
      </w:r>
      <w:hyperlink r:id="rId25">
        <w:r>
          <w:rPr>
            <w:color w:val="2E74B5"/>
            <w:u w:val="single"/>
          </w:rPr>
          <w:t>UN SDG Report 2026 — Goal 2</w:t>
        </w:r>
      </w:hyperlink>
    </w:p>
    <w:p>
      <w:pPr>
        <w:spacing w:after="100"/>
        <w:ind w:left="198" w:hanging="198"/>
        <w:keepLines/>
        <w:widowControl/>
      </w:pPr>
      <w:r>
        <w:rPr>
          <w:rFonts w:ascii="Arial" w:hAnsi="Arial" w:eastAsia="Arial" w:cs="Arial"/>
          <w:b/>
          <w:color w:val="B28A2E"/>
          <w:sz w:val="17"/>
        </w:rPr>
        <w:t xml:space="preserve">[9] </w:t>
      </w:r>
      <w:hyperlink r:id="rId26">
        <w:r>
          <w:rPr>
            <w:color w:val="2E74B5"/>
            <w:u w:val="single"/>
          </w:rPr>
          <w:t>UN Statistics — metadata of SDG 2 indicators</w:t>
        </w:r>
      </w:hyperlink>
    </w:p>
    <w:p>
      <w:pPr>
        <w:spacing w:after="100"/>
        <w:ind w:left="198" w:hanging="198"/>
        <w:keepLines/>
        <w:widowControl/>
      </w:pPr>
      <w:r>
        <w:rPr>
          <w:rFonts w:ascii="Arial" w:hAnsi="Arial" w:eastAsia="Arial" w:cs="Arial"/>
          <w:b/>
          <w:color w:val="B28A2E"/>
          <w:sz w:val="17"/>
        </w:rPr>
        <w:t xml:space="preserve">[10] </w:t>
      </w:r>
      <w:hyperlink r:id="rId27">
        <w:r>
          <w:rPr>
            <w:color w:val="2E74B5"/>
            <w:u w:val="single"/>
          </w:rPr>
          <w:t>FAOSTAT — production, balances, resources and food-security indicators</w:t>
        </w:r>
      </w:hyperlink>
    </w:p>
    <w:p>
      <w:pPr>
        <w:spacing w:after="120"/>
        <w:keepLines/>
        <w:widowControl/>
      </w:pPr>
      <w:r>
        <w:rPr>
          <w:rFonts w:ascii="Arial" w:hAnsi="Arial" w:eastAsia="Arial" w:cs="Arial"/>
          <w:color w:val="5E6878"/>
          <w:sz w:val="17"/>
        </w:rPr>
        <w:t>Проверка международных источников выполнена 29.08.2026. Числовые глобальные показатели в документе относятся к периодам, прямо указанным в SOFI 2026 и докладе SDG 2026. Для пилота они являются контекстом, а не локальной базовой линией.</w:t>
      </w:r>
    </w:p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30</w:t>
      </w:r>
      <w:r>
        <w:rPr>
          <w:rFonts w:ascii="Arial" w:hAnsi="Arial" w:eastAsia="Arial" w:cs="Arial"/>
          <w:b/>
          <w:color w:val="B28A2E"/>
          <w:sz w:val="18"/>
        </w:rPr>
        <w:t xml:space="preserve">  ПРОДОЛЖЕНИЕ</w:t>
      </w:r>
    </w:p>
    <w:p>
      <w:pPr>
        <w:pStyle w:val="Heading1"/>
        <w:keepLines/>
        <w:widowControl/>
        <w:keepNext/>
      </w:pPr>
      <w:r>
        <w:t>Источники и нормативная база</w:t>
      </w:r>
    </w:p>
    <w:p>
      <w:pPr>
        <w:spacing w:after="200"/>
        <w:pBdr>
          <w:bottom w:val="single" w:sz="8" w:color="D6E1E9"/>
        </w:pBdr>
      </w:pPr>
    </w:p>
    <w:p>
      <w:pPr>
        <w:spacing w:after="100"/>
        <w:ind w:left="198" w:hanging="198"/>
        <w:keepLines/>
        <w:widowControl/>
      </w:pPr>
      <w:r>
        <w:rPr>
          <w:rFonts w:ascii="Arial" w:hAnsi="Arial" w:eastAsia="Arial" w:cs="Arial"/>
          <w:b/>
          <w:color w:val="B28A2E"/>
          <w:sz w:val="17"/>
        </w:rPr>
        <w:t xml:space="preserve">[11] </w:t>
      </w:r>
      <w:hyperlink r:id="rId28">
        <w:r>
          <w:rPr>
            <w:color w:val="2E74B5"/>
            <w:u w:val="single"/>
          </w:rPr>
          <w:t>Codex Alimentarius — Codes of Practice; CXC 1-1969</w:t>
        </w:r>
      </w:hyperlink>
    </w:p>
    <w:p>
      <w:pPr>
        <w:spacing w:after="100"/>
        <w:ind w:left="198" w:hanging="198"/>
        <w:keepLines/>
        <w:widowControl/>
      </w:pPr>
      <w:r>
        <w:rPr>
          <w:rFonts w:ascii="Arial" w:hAnsi="Arial" w:eastAsia="Arial" w:cs="Arial"/>
          <w:b/>
          <w:color w:val="B28A2E"/>
          <w:sz w:val="17"/>
        </w:rPr>
        <w:t xml:space="preserve">[12] </w:t>
      </w:r>
      <w:hyperlink r:id="rId19">
        <w:r>
          <w:rPr>
            <w:color w:val="2E74B5"/>
            <w:u w:val="single"/>
          </w:rPr>
          <w:t>Codex Alimentarius — полный текст General Principles of Food Hygiene</w:t>
        </w:r>
      </w:hyperlink>
    </w:p>
    <w:p>
      <w:pPr>
        <w:spacing w:after="100"/>
        <w:ind w:left="198" w:hanging="198"/>
        <w:keepLines/>
        <w:widowControl/>
      </w:pPr>
      <w:r>
        <w:rPr>
          <w:rFonts w:ascii="Arial" w:hAnsi="Arial" w:eastAsia="Arial" w:cs="Arial"/>
          <w:b/>
          <w:color w:val="B28A2E"/>
          <w:sz w:val="17"/>
        </w:rPr>
        <w:t xml:space="preserve">[13] </w:t>
      </w:r>
      <w:hyperlink r:id="rId29">
        <w:r>
          <w:rPr>
            <w:color w:val="2E74B5"/>
            <w:u w:val="single"/>
          </w:rPr>
          <w:t>WHO — One Health</w:t>
        </w:r>
      </w:hyperlink>
    </w:p>
    <w:p>
      <w:pPr>
        <w:spacing w:after="100"/>
        <w:ind w:left="198" w:hanging="198"/>
        <w:keepLines/>
        <w:widowControl/>
      </w:pPr>
      <w:r>
        <w:rPr>
          <w:rFonts w:ascii="Arial" w:hAnsi="Arial" w:eastAsia="Arial" w:cs="Arial"/>
          <w:b/>
          <w:color w:val="B28A2E"/>
          <w:sz w:val="17"/>
        </w:rPr>
        <w:t xml:space="preserve">[14] </w:t>
      </w:r>
      <w:hyperlink r:id="rId18">
        <w:r>
          <w:rPr>
            <w:color w:val="2E74B5"/>
            <w:u w:val="single"/>
          </w:rPr>
          <w:t>WHO — продление Joint Plan of Action до 2029 года</w:t>
        </w:r>
      </w:hyperlink>
    </w:p>
    <w:p>
      <w:pPr>
        <w:spacing w:after="100"/>
        <w:ind w:left="198" w:hanging="198"/>
        <w:keepLines/>
        <w:widowControl/>
      </w:pPr>
      <w:r>
        <w:rPr>
          <w:rFonts w:ascii="Arial" w:hAnsi="Arial" w:eastAsia="Arial" w:cs="Arial"/>
          <w:b/>
          <w:color w:val="B28A2E"/>
          <w:sz w:val="17"/>
        </w:rPr>
        <w:t xml:space="preserve">[15] </w:t>
      </w:r>
      <w:hyperlink r:id="rId17">
        <w:r>
          <w:rPr>
            <w:color w:val="2E74B5"/>
            <w:u w:val="single"/>
          </w:rPr>
          <w:t>FAO — 10 Elements of Agroecology</w:t>
        </w:r>
      </w:hyperlink>
    </w:p>
    <w:p>
      <w:pPr>
        <w:spacing w:after="100"/>
        <w:ind w:left="198" w:hanging="198"/>
        <w:keepLines/>
        <w:widowControl/>
      </w:pPr>
      <w:r>
        <w:rPr>
          <w:rFonts w:ascii="Arial" w:hAnsi="Arial" w:eastAsia="Arial" w:cs="Arial"/>
          <w:b/>
          <w:color w:val="B28A2E"/>
          <w:sz w:val="17"/>
        </w:rPr>
        <w:t xml:space="preserve">[16] </w:t>
      </w:r>
      <w:hyperlink r:id="rId30">
        <w:r>
          <w:rPr>
            <w:color w:val="2E74B5"/>
            <w:u w:val="single"/>
          </w:rPr>
          <w:t>World Bank — FoodSystems 2030</w:t>
        </w:r>
      </w:hyperlink>
    </w:p>
    <w:p>
      <w:pPr>
        <w:spacing w:after="100"/>
        <w:ind w:left="198" w:hanging="198"/>
        <w:keepLines/>
        <w:widowControl/>
      </w:pPr>
      <w:r>
        <w:rPr>
          <w:rFonts w:ascii="Arial" w:hAnsi="Arial" w:eastAsia="Arial" w:cs="Arial"/>
          <w:b/>
          <w:color w:val="B28A2E"/>
          <w:sz w:val="17"/>
        </w:rPr>
        <w:t xml:space="preserve">[17] </w:t>
      </w:r>
      <w:hyperlink r:id="rId20">
        <w:r>
          <w:rPr>
            <w:color w:val="2E74B5"/>
            <w:u w:val="single"/>
          </w:rPr>
          <w:t>UNEP — Food Waste Index Report 2024</w:t>
        </w:r>
      </w:hyperlink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F8F1DE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8" w:color="B28A2E"/>
              <w:left w:val="single" w:sz="8" w:color="B28A2E"/>
              <w:bottom w:val="single" w:sz="8" w:color="B28A2E"/>
              <w:right w:val="single" w:sz="8" w:color="B28A2E"/>
            </w:tcBorders>
          </w:tcPr>
          <w:p>
            <w:pPr>
              <w:spacing w:after="100"/>
            </w:pPr>
            <w:r>
              <w:rPr>
                <w:rFonts w:ascii="Arial" w:hAnsi="Arial" w:eastAsia="Arial" w:cs="Arial"/>
                <w:b/>
                <w:color w:val="B28A2E"/>
                <w:sz w:val="18"/>
              </w:rPr>
              <w:t>ПРАВИЛО ПРИМЕНЕНИЯ ИСТОЧНИКОВ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0B2545"/>
                <w:sz w:val="22"/>
              </w:rPr>
              <w:t>Международные документы задают определения, методические рамки и сопоставимость. Обязательные требования определяются действующим правом Российской Федерации и ЕАЭС для конкретной территории, продукции и процесса.</w:t>
            </w:r>
          </w:p>
        </w:tc>
      </w:tr>
    </w:tbl>
    <w:p>
      <w:pPr>
        <w:spacing w:after="0"/>
      </w:pPr>
    </w:p>
    <w:p>
      <w:pPr>
        <w:pStyle w:val="Heading2"/>
      </w:pPr>
      <w:r>
        <w:t>Служебная подпись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50"/>
        <w:gridCol w:w="3500"/>
        <w:gridCol w:w="1550"/>
        <w:gridCol w:w="2060"/>
      </w:tblGrid>
      <w:tr>
        <w:trPr>
          <w:tblHeader w:val="true"/>
          <w:tblHeader w:val="true"/>
        </w:trPr>
        <w:tc>
          <w:tcPr>
            <w:tcW w:type="dxa" w:w="225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Роль</w:t>
            </w:r>
          </w:p>
        </w:tc>
        <w:tc>
          <w:tcPr>
            <w:tcW w:type="dxa" w:w="350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ФИО / организация</w:t>
            </w:r>
          </w:p>
        </w:tc>
        <w:tc>
          <w:tcPr>
            <w:tcW w:type="dxa" w:w="155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Дата</w:t>
            </w:r>
          </w:p>
        </w:tc>
        <w:tc>
          <w:tcPr>
            <w:tcW w:type="dxa" w:w="2060"/>
            <w:shd w:fill="0B254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</w:tcBorders>
            <w:vAlign w:val="center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Статус</w:t>
            </w:r>
          </w:p>
        </w:tc>
      </w:tr>
      <w:tr>
        <w:trPr>
          <w:cantSplit/>
        </w:trPr>
        <w:tc>
          <w:tcPr>
            <w:tcW w:type="dxa" w:w="22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Автор концепции</w:t>
            </w:r>
          </w:p>
        </w:tc>
        <w:tc>
          <w:tcPr>
            <w:tcW w:type="dxa" w:w="35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Соколов Сергей Леонидович</w:t>
            </w:r>
          </w:p>
        </w:tc>
        <w:tc>
          <w:tcPr>
            <w:tcW w:type="dxa" w:w="15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29.08.2026</w:t>
            </w:r>
          </w:p>
        </w:tc>
        <w:tc>
          <w:tcPr>
            <w:tcW w:type="dxa" w:w="20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подготовлено</w:t>
            </w:r>
          </w:p>
        </w:tc>
      </w:tr>
      <w:tr>
        <w:trPr>
          <w:cantSplit/>
        </w:trPr>
        <w:tc>
          <w:tcPr>
            <w:tcW w:type="dxa" w:w="22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Заказчик пилота</w:t>
            </w:r>
          </w:p>
        </w:tc>
        <w:tc>
          <w:tcPr>
            <w:tcW w:type="dxa" w:w="350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____________________________</w:t>
            </w:r>
          </w:p>
        </w:tc>
        <w:tc>
          <w:tcPr>
            <w:tcW w:type="dxa" w:w="155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____________</w:t>
            </w:r>
          </w:p>
        </w:tc>
        <w:tc>
          <w:tcPr>
            <w:tcW w:type="dxa" w:w="2060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на согласовании</w:t>
            </w:r>
          </w:p>
        </w:tc>
      </w:tr>
      <w:tr>
        <w:trPr>
          <w:cantSplit/>
        </w:trPr>
        <w:tc>
          <w:tcPr>
            <w:tcW w:type="dxa" w:w="22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172033"/>
                <w:sz w:val="17"/>
              </w:rPr>
              <w:t>Независимый верификатор</w:t>
            </w:r>
          </w:p>
        </w:tc>
        <w:tc>
          <w:tcPr>
            <w:tcW w:type="dxa" w:w="350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____________________________</w:t>
            </w:r>
          </w:p>
        </w:tc>
        <w:tc>
          <w:tcPr>
            <w:tcW w:type="dxa" w:w="155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____________</w:t>
            </w:r>
          </w:p>
        </w:tc>
        <w:tc>
          <w:tcPr>
            <w:tcW w:type="dxa" w:w="2060"/>
            <w:shd w:fill="F4F7F9"/>
            <w:tcMar>
              <w:top w:w="78" w:type="dxa"/>
              <w:start w:w="120" w:type="dxa"/>
              <w:bottom w:w="78" w:type="dxa"/>
              <w:end w:w="120" w:type="dxa"/>
            </w:tcMar>
            <w:tcBorders>
              <w:top w:val="single" w:sz="4" w:color="D6E1E9"/>
              <w:left w:val="single" w:sz="4" w:color="D6E1E9"/>
              <w:bottom w:val="single" w:sz="4" w:color="D6E1E9"/>
              <w:right w:val="single" w:sz="4" w:color="D6E1E9"/>
            </w:tcBorders>
            <w:vAlign w:val="top"/>
          </w:tcPr>
          <w:p>
            <w:pPr>
              <w:spacing w:after="0"/>
            </w:pPr>
            <w:r>
              <w:rPr>
                <w:rFonts w:ascii="Arial" w:hAnsi="Arial" w:eastAsia="Arial" w:cs="Arial"/>
                <w:b w:val="0"/>
                <w:color w:val="172033"/>
                <w:sz w:val="17"/>
              </w:rPr>
              <w:t>назначается</w:t>
            </w:r>
          </w:p>
        </w:tc>
      </w:tr>
    </w:tbl>
    <w:p>
      <w:r>
        <w:br w:type="page"/>
      </w:r>
    </w:p>
    <w:p>
      <w:pPr>
        <w:spacing w:after="40"/>
      </w:pPr>
      <w:r>
        <w:rPr>
          <w:rFonts w:ascii="Arial" w:hAnsi="Arial" w:eastAsia="Arial" w:cs="Arial"/>
          <w:b/>
          <w:color w:val="B28A2E"/>
          <w:sz w:val="21"/>
        </w:rPr>
        <w:t>31</w:t>
      </w:r>
      <w:r>
        <w:rPr>
          <w:rFonts w:ascii="Arial" w:hAnsi="Arial" w:eastAsia="Arial" w:cs="Arial"/>
          <w:b/>
          <w:color w:val="B28A2E"/>
          <w:sz w:val="18"/>
        </w:rPr>
        <w:t xml:space="preserve">  СТАРТОВЫЙ РЕЕСТР ПРИМЕНИМОСТИ</w:t>
      </w:r>
    </w:p>
    <w:p>
      <w:pPr>
        <w:pStyle w:val="Heading1"/>
        <w:keepLines/>
        <w:widowControl/>
        <w:keepNext/>
      </w:pPr>
      <w:r>
        <w:t>Ключевые обязательные акты РФ и ЕАЭС</w:t>
      </w:r>
    </w:p>
    <w:p>
      <w:pPr>
        <w:spacing w:after="200"/>
        <w:pBdr>
          <w:bottom w:val="single" w:sz="8" w:color="D6E1E9"/>
        </w:pBdr>
      </w:pPr>
    </w:p>
    <w:p>
      <w:pPr>
        <w:spacing w:after="100"/>
        <w:ind w:left="198" w:hanging="198"/>
        <w:keepLines/>
        <w:widowControl/>
      </w:pPr>
      <w:r>
        <w:rPr>
          <w:rFonts w:ascii="Arial" w:hAnsi="Arial" w:eastAsia="Arial" w:cs="Arial"/>
          <w:b/>
          <w:color w:val="B28A2E"/>
          <w:sz w:val="17"/>
        </w:rPr>
        <w:t xml:space="preserve">[18] </w:t>
      </w:r>
      <w:hyperlink r:id="rId31">
        <w:r>
          <w:rPr>
            <w:color w:val="2E74B5"/>
            <w:u w:val="single"/>
          </w:rPr>
          <w:t>ТР ТС 021/2011 «О безопасности пищевой продукции» — ЕЭК</w:t>
        </w:r>
      </w:hyperlink>
    </w:p>
    <w:p>
      <w:pPr>
        <w:spacing w:after="100"/>
        <w:ind w:left="198" w:hanging="198"/>
        <w:keepLines/>
        <w:widowControl/>
      </w:pPr>
      <w:r>
        <w:rPr>
          <w:rFonts w:ascii="Arial" w:hAnsi="Arial" w:eastAsia="Arial" w:cs="Arial"/>
          <w:b/>
          <w:color w:val="B28A2E"/>
          <w:sz w:val="17"/>
        </w:rPr>
        <w:t xml:space="preserve">[19] </w:t>
      </w:r>
      <w:hyperlink r:id="rId32">
        <w:r>
          <w:rPr>
            <w:color w:val="2E74B5"/>
            <w:u w:val="single"/>
          </w:rPr>
          <w:t>ТР ТС 022/2011 «Пищевая продукция в части её маркировки» — ЕЭК</w:t>
        </w:r>
      </w:hyperlink>
    </w:p>
    <w:p>
      <w:pPr>
        <w:spacing w:after="100"/>
        <w:ind w:left="198" w:hanging="198"/>
        <w:keepLines/>
        <w:widowControl/>
      </w:pPr>
      <w:r>
        <w:rPr>
          <w:rFonts w:ascii="Arial" w:hAnsi="Arial" w:eastAsia="Arial" w:cs="Arial"/>
          <w:b/>
          <w:color w:val="B28A2E"/>
          <w:sz w:val="17"/>
        </w:rPr>
        <w:t xml:space="preserve">[20] </w:t>
      </w:r>
      <w:hyperlink r:id="rId33">
        <w:r>
          <w:rPr>
            <w:color w:val="2E74B5"/>
            <w:u w:val="single"/>
          </w:rPr>
          <w:t>ЕЭК — официальный перечень принятых технических регламентов, включая зерно, молоко, мясо, рыбу и птицу</w:t>
        </w:r>
      </w:hyperlink>
    </w:p>
    <w:p>
      <w:pPr>
        <w:spacing w:after="100"/>
        <w:ind w:left="198" w:hanging="198"/>
        <w:keepLines/>
        <w:widowControl/>
      </w:pPr>
      <w:r>
        <w:rPr>
          <w:rFonts w:ascii="Arial" w:hAnsi="Arial" w:eastAsia="Arial" w:cs="Arial"/>
          <w:b/>
          <w:color w:val="B28A2E"/>
          <w:sz w:val="17"/>
        </w:rPr>
        <w:t xml:space="preserve">[21] </w:t>
      </w:r>
      <w:hyperlink r:id="rId34">
        <w:r>
          <w:rPr>
            <w:color w:val="2E74B5"/>
            <w:u w:val="single"/>
          </w:rPr>
          <w:t>Закон РФ № 4979-1 «О ветеринарии» — официальный портал правовой информации</w:t>
        </w:r>
      </w:hyperlink>
    </w:p>
    <w:p>
      <w:pPr>
        <w:spacing w:after="100"/>
        <w:ind w:left="198" w:hanging="198"/>
        <w:keepLines/>
        <w:widowControl/>
      </w:pPr>
      <w:r>
        <w:rPr>
          <w:rFonts w:ascii="Arial" w:hAnsi="Arial" w:eastAsia="Arial" w:cs="Arial"/>
          <w:b/>
          <w:color w:val="B28A2E"/>
          <w:sz w:val="17"/>
        </w:rPr>
        <w:t xml:space="preserve">[22] </w:t>
      </w:r>
      <w:hyperlink r:id="rId35">
        <w:r>
          <w:rPr>
            <w:color w:val="2E74B5"/>
            <w:u w:val="single"/>
          </w:rPr>
          <w:t>Решение КТС № 317 — ветеринарно-санитарные меры ЕАЭС</w:t>
        </w:r>
      </w:hyperlink>
    </w:p>
    <w:p>
      <w:pPr>
        <w:spacing w:after="100"/>
        <w:ind w:left="198" w:hanging="198"/>
        <w:keepLines/>
        <w:widowControl/>
      </w:pPr>
      <w:r>
        <w:rPr>
          <w:rFonts w:ascii="Arial" w:hAnsi="Arial" w:eastAsia="Arial" w:cs="Arial"/>
          <w:b/>
          <w:color w:val="B28A2E"/>
          <w:sz w:val="17"/>
        </w:rPr>
        <w:t xml:space="preserve">[23] </w:t>
      </w:r>
      <w:hyperlink r:id="rId36">
        <w:r>
          <w:rPr>
            <w:color w:val="2E74B5"/>
            <w:u w:val="single"/>
          </w:rPr>
          <w:t>Федеральный закон № 206-ФЗ «О карантине растений»</w:t>
        </w:r>
      </w:hyperlink>
    </w:p>
    <w:p>
      <w:pPr>
        <w:spacing w:after="100"/>
        <w:ind w:left="198" w:hanging="198"/>
        <w:keepLines/>
        <w:widowControl/>
      </w:pPr>
      <w:r>
        <w:rPr>
          <w:rFonts w:ascii="Arial" w:hAnsi="Arial" w:eastAsia="Arial" w:cs="Arial"/>
          <w:b/>
          <w:color w:val="B28A2E"/>
          <w:sz w:val="17"/>
        </w:rPr>
        <w:t xml:space="preserve">[24] </w:t>
      </w:r>
      <w:hyperlink r:id="rId37">
        <w:r>
          <w:rPr>
            <w:color w:val="2E74B5"/>
            <w:u w:val="single"/>
          </w:rPr>
          <w:t>Федеральный закон № 248-ФЗ «О побочных продуктах животноводства»</w:t>
        </w:r>
      </w:hyperlink>
    </w:p>
    <w:p>
      <w:pPr>
        <w:spacing w:after="100"/>
        <w:ind w:left="198" w:hanging="198"/>
        <w:keepLines/>
        <w:widowControl/>
      </w:pPr>
      <w:r>
        <w:rPr>
          <w:rFonts w:ascii="Arial" w:hAnsi="Arial" w:eastAsia="Arial" w:cs="Arial"/>
          <w:b/>
          <w:color w:val="B28A2E"/>
          <w:sz w:val="17"/>
        </w:rPr>
        <w:t xml:space="preserve">[25] </w:t>
      </w:r>
      <w:hyperlink r:id="rId38">
        <w:r>
          <w:rPr>
            <w:color w:val="2E74B5"/>
            <w:u w:val="single"/>
          </w:rPr>
          <w:t>Ветеринарные правила обращения с биологическими отходами — приказ Минсельхоза № 677 (2024)</w:t>
        </w:r>
      </w:hyperlink>
    </w:p>
    <w:p>
      <w:pPr>
        <w:spacing w:after="100"/>
        <w:ind w:left="198" w:hanging="198"/>
        <w:keepLines/>
        <w:widowControl/>
      </w:pPr>
      <w:r>
        <w:rPr>
          <w:rFonts w:ascii="Arial" w:hAnsi="Arial" w:eastAsia="Arial" w:cs="Arial"/>
          <w:b/>
          <w:color w:val="B28A2E"/>
          <w:sz w:val="17"/>
        </w:rPr>
        <w:t xml:space="preserve">[26] </w:t>
      </w:r>
      <w:hyperlink r:id="rId39">
        <w:r>
          <w:rPr>
            <w:color w:val="2E74B5"/>
            <w:u w:val="single"/>
          </w:rPr>
          <w:t>СанПиН 2.1.3684-21 — требования к территориям, воде, почве, помещениям и отходам</w:t>
        </w:r>
      </w:hyperlink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AF5FB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8" w:color="2E74B5"/>
              <w:left w:val="single" w:sz="8" w:color="2E74B5"/>
              <w:bottom w:val="single" w:sz="8" w:color="2E74B5"/>
              <w:right w:val="single" w:sz="8" w:color="2E74B5"/>
            </w:tcBorders>
          </w:tcPr>
          <w:p>
            <w:pPr>
              <w:spacing w:after="100"/>
            </w:pPr>
            <w:r>
              <w:rPr>
                <w:rFonts w:ascii="Arial" w:hAnsi="Arial" w:eastAsia="Arial" w:cs="Arial"/>
                <w:b/>
                <w:color w:val="2E74B5"/>
                <w:sz w:val="18"/>
              </w:rPr>
              <w:t>ПРИМЕНИМОСТЬ ПО ПРОДУКТУ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0B2545"/>
                <w:sz w:val="22"/>
              </w:rPr>
              <w:t>ТР ТС 015/2011 подключается для зерна; 033/2013 — для молока; 034/2013 — для мяса; ТР ЕАЭС 040/2016 — для рыбы; 051/2021 — для мяса птицы. Конкретный набор фиксируется после утверждения продуктовой матрицы.</w:t>
            </w:r>
          </w:p>
        </w:tc>
      </w:tr>
    </w:tbl>
    <w:p>
      <w:pPr>
        <w:spacing w:after="0"/>
      </w:pPr>
    </w:p>
    <w:p>
      <w:pPr>
        <w:spacing w:after="120"/>
        <w:keepLines/>
        <w:widowControl/>
      </w:pPr>
      <w:r>
        <w:rPr>
          <w:rFonts w:ascii="Arial" w:hAnsi="Arial" w:eastAsia="Arial" w:cs="Arial"/>
          <w:color w:val="5E6878"/>
          <w:sz w:val="17"/>
        </w:rPr>
        <w:t>Навоз, помёт, падёж и обычные производственные отходы относятся к разным правовым режимам. Поток нельзя объявить «удобрением» или «ресурсом» только на основании технологического намерения: требуются корректная классификация, уведомления, обработка, лабораторный контроль и разрешённый маршрут.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35" w:right="1219" w:bottom="822" w:left="1219" w:header="397" w:footer="34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 w:cs="Arial"/>
        <w:color w:val="5E6878"/>
        <w:sz w:val="16"/>
      </w:rPr>
      <w:t>Стратегическая концепция · версия 1.0 · 29.08.2026</w:t>
    </w:r>
    <w:r>
      <w:rPr>
        <w:rFonts w:ascii="Arial" w:hAnsi="Arial" w:eastAsia="Arial" w:cs="Arial"/>
        <w:color w:val="5E6878"/>
        <w:sz w:val="17"/>
      </w:rPr>
      <w:t xml:space="preserve"> · </w:t>
    </w:r>
    <w:r>
      <w:rPr>
        <w:rFonts w:ascii="Arial" w:hAnsi="Arial" w:eastAsia="Arial" w:cs="Arial"/>
        <w:color w:val="5E6878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  <w:pBdr>
        <w:bottom w:val="single" w:sz="6" w:color="D6E1E9"/>
      </w:pBdr>
    </w:pPr>
    <w:r>
      <w:rPr>
        <w:rFonts w:ascii="Arial" w:hAnsi="Arial" w:eastAsia="Arial" w:cs="Arial"/>
        <w:b/>
        <w:color w:val="B28A2E"/>
        <w:sz w:val="17"/>
      </w:rPr>
      <w:t>БИОЦЕНОЗ · ФЕРМА ПОЛНОГО ЦИКЛА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200"/>
      <w:outlineLvl w:val="0"/>
    </w:pPr>
    <w:rPr>
      <w:rFonts w:asciiTheme="majorHAnsi" w:eastAsiaTheme="majorEastAsia" w:hAnsiTheme="majorHAnsi" w:cstheme="majorBidi" w:ascii="Arial" w:hAnsi="Arial"/>
      <w:b/>
      <w:bCs/>
      <w:color w:val="0B2545"/>
      <w:sz w:val="4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0B2545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2E74B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0B2545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www.fao.org/cfs/policy-products/voluntary-guidelines-and-policy-recommendations/global-strategic-framework-for-food-security---nutrition" TargetMode="External"/><Relationship Id="rId13" Type="http://schemas.openxmlformats.org/officeDocument/2006/relationships/hyperlink" Target="https://www.kremlin.ru/acts/bank/45106" TargetMode="External"/><Relationship Id="rId14" Type="http://schemas.openxmlformats.org/officeDocument/2006/relationships/hyperlink" Target="https://mcx.gov.ru/press-service/news/v-2025-godu-rossiya-ukrepila-prodovolstvennuyu-bezopasnost-po-klyuchevym-pozitsiyam/" TargetMode="External"/><Relationship Id="rId15" Type="http://schemas.openxmlformats.org/officeDocument/2006/relationships/hyperlink" Target="https://openknowledge.fao.org/handle/20.500.14283/cd8306en" TargetMode="External"/><Relationship Id="rId16" Type="http://schemas.openxmlformats.org/officeDocument/2006/relationships/image" Target="media/image2.png"/><Relationship Id="rId17" Type="http://schemas.openxmlformats.org/officeDocument/2006/relationships/hyperlink" Target="https://www.fao.org/agroecology/overview/the-10-elements-of-agroecology/en" TargetMode="External"/><Relationship Id="rId18" Type="http://schemas.openxmlformats.org/officeDocument/2006/relationships/hyperlink" Target="https://www.who.int/news/item/14-08-2026-quadripartite-collaboration-extends-the-one-health-joint-plan-of-action-to-2029" TargetMode="External"/><Relationship Id="rId19" Type="http://schemas.openxmlformats.org/officeDocument/2006/relationships/hyperlink" Target="https://openknowledge.fao.org/server/api/core/bitstreams/6866dc55-d2c0-48dd-a528-a4d634f1b0b4/content" TargetMode="External"/><Relationship Id="rId20" Type="http://schemas.openxmlformats.org/officeDocument/2006/relationships/hyperlink" Target="https://www.unep.org/resources/publication/food-waste-index-report-2024" TargetMode="External"/><Relationship Id="rId21" Type="http://schemas.openxmlformats.org/officeDocument/2006/relationships/hyperlink" Target="https://publication.pravo.gov.ru/document/0001202503100058" TargetMode="External"/><Relationship Id="rId22" Type="http://schemas.openxmlformats.org/officeDocument/2006/relationships/hyperlink" Target="https://rosstat.gov.ru/enterprise_economy" TargetMode="External"/><Relationship Id="rId23" Type="http://schemas.openxmlformats.org/officeDocument/2006/relationships/hyperlink" Target="https://mcx.gov.ru/press-service/news/natsproekt-tekhnologicheskoe-obespechenie-prodovolstvennoy-bezopasnosti-stimuliruet-razvitie-agrarno/" TargetMode="External"/><Relationship Id="rId24" Type="http://schemas.openxmlformats.org/officeDocument/2006/relationships/hyperlink" Target="https://www.fao.org/cfs/cfs-hlpe/insights/news-insights/news-detail/ensuring-food-security--why-agency-and-sustainability-matter/en" TargetMode="External"/><Relationship Id="rId25" Type="http://schemas.openxmlformats.org/officeDocument/2006/relationships/hyperlink" Target="https://unstats.un.org/sdgs/report/2026/goal-02/" TargetMode="External"/><Relationship Id="rId26" Type="http://schemas.openxmlformats.org/officeDocument/2006/relationships/hyperlink" Target="https://unstats.un.org/sdgs/metadata/?Goal=2&amp;Target=&amp;Text=" TargetMode="External"/><Relationship Id="rId27" Type="http://schemas.openxmlformats.org/officeDocument/2006/relationships/hyperlink" Target="https://www.fao.org/faostat/en/" TargetMode="External"/><Relationship Id="rId28" Type="http://schemas.openxmlformats.org/officeDocument/2006/relationships/hyperlink" Target="https://www.fao.org/fao-who-codexalimentarius/codex-texts/codes-of-practice/en/" TargetMode="External"/><Relationship Id="rId29" Type="http://schemas.openxmlformats.org/officeDocument/2006/relationships/hyperlink" Target="https://www.who.int/health-topics/one-health" TargetMode="External"/><Relationship Id="rId30" Type="http://schemas.openxmlformats.org/officeDocument/2006/relationships/hyperlink" Target="https://www.worldbank.org/en/programs/food-systems-2030" TargetMode="External"/><Relationship Id="rId31" Type="http://schemas.openxmlformats.org/officeDocument/2006/relationships/hyperlink" Target="https://eec.eaeunion.org/comission/department/deptexreg/tr/PischevayaProd.php" TargetMode="External"/><Relationship Id="rId32" Type="http://schemas.openxmlformats.org/officeDocument/2006/relationships/hyperlink" Target="https://eec.eaeunion.org/comission/department/deptexreg/tr/PischevkaMarkirovka.php" TargetMode="External"/><Relationship Id="rId33" Type="http://schemas.openxmlformats.org/officeDocument/2006/relationships/hyperlink" Target="https://eec.eaeunion.org/comission/department/deptexreg/tr/TR_general.php" TargetMode="External"/><Relationship Id="rId34" Type="http://schemas.openxmlformats.org/officeDocument/2006/relationships/hyperlink" Target="https://pravo.gov.ru/proxy/ips/?docbody=&amp;nd=102023486" TargetMode="External"/><Relationship Id="rId35" Type="http://schemas.openxmlformats.org/officeDocument/2006/relationships/hyperlink" Target="https://eec.eaeunion.org/comission/department/depsanmer/regulation/veterinarno-sanitarnye-mery.php" TargetMode="External"/><Relationship Id="rId36" Type="http://schemas.openxmlformats.org/officeDocument/2006/relationships/hyperlink" Target="https://pravo.gov.ru/proxy/ips/?docbody=&amp;link_id=2&amp;nd=102356103&amp;vkart=card" TargetMode="External"/><Relationship Id="rId37" Type="http://schemas.openxmlformats.org/officeDocument/2006/relationships/hyperlink" Target="https://publication.pravo.gov.ru/Document/View/0001202207140005" TargetMode="External"/><Relationship Id="rId38" Type="http://schemas.openxmlformats.org/officeDocument/2006/relationships/hyperlink" Target="https://publication.pravo.gov.ru/document/0001202411290058" TargetMode="External"/><Relationship Id="rId39" Type="http://schemas.openxmlformats.org/officeDocument/2006/relationships/hyperlink" Target="https://publication.pravo.gov.ru/Document/View/00012021020500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Продовольственная безопасность: биоценоз и ферма полного цикла</dc:title>
  <dc:subject>Стратегическая концепция и программа 90-дневного пилота</dc:subject>
  <dc:creator>Соколов Сергей Леонидович</dc:creator>
  <cp:keywords>продовольственная безопасность; биоценоз; ферма полного цикла; One Health; HACCP; ЭКВИЛИБРИУМ; ECO-PPA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