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40"/>
        <w:jc w:val="center"/>
      </w:pPr>
      <w:r>
        <w:rPr>
          <w:rFonts w:ascii="Calibri" w:hAnsi="Calibri" w:eastAsia="Calibri"/>
          <w:b/>
          <w:i w:val="0"/>
          <w:color w:val="A77A18"/>
          <w:sz w:val="20"/>
        </w:rPr>
        <w:t>СТРАТЕГИЧЕСКИЙ ДОКЛАД</w:t>
      </w:r>
    </w:p>
    <w:p>
      <w:pPr>
        <w:pStyle w:val="Title"/>
        <w:jc w:val="center"/>
      </w:pPr>
      <w:r>
        <w:t>СПЕЦЗАЩИТА</w:t>
      </w:r>
    </w:p>
    <w:p>
      <w:pPr>
        <w:pStyle w:val="Subtitle"/>
        <w:jc w:val="center"/>
      </w:pPr>
      <w:r>
        <w:t>Кооперационная организация исполнения национальных и межрегиональных программ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3EE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F6B4F"/>
                <w:sz w:val="18"/>
              </w:rPr>
              <w:t>СИСТЕМНАЯ ФОРМУЛА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СФЕРА собирает инициативы и участников. ЭКВИЛИБРИУМ наблюдает, анализирует и подтверждает. ECO‑PPA формирует программную и ресурсную рамку. СПЕЦЗАЩИТА организует исполнение и масштабирование.</w:t>
            </w:r>
          </w:p>
        </w:tc>
      </w:tr>
    </w:tbl>
    <w:p>
      <w:pPr>
        <w:spacing w:after="0"/>
      </w:pPr>
    </w:p>
    <w:p>
      <w:pPr>
        <w:spacing w:before="480"/>
        <w:jc w:val="center"/>
      </w:pPr>
      <w:r>
        <w:rPr>
          <w:rFonts w:ascii="Calibri" w:hAnsi="Calibri" w:eastAsia="Calibri"/>
          <w:b/>
          <w:i w:val="0"/>
          <w:color w:val="16324A"/>
          <w:sz w:val="20"/>
        </w:rPr>
        <w:t>Подготовлено для рассмотрения на площадке Государственного Совета Российской Федерации</w:t>
      </w:r>
    </w:p>
    <w:p>
      <w:pPr>
        <w:jc w:val="center"/>
      </w:pPr>
      <w:r>
        <w:rPr>
          <w:rFonts w:ascii="Calibri" w:hAnsi="Calibri" w:eastAsia="Calibri"/>
          <w:b w:val="0"/>
          <w:i w:val="0"/>
          <w:color w:val="5B6570"/>
          <w:sz w:val="20"/>
        </w:rPr>
        <w:t>Инициатор: Соколов Сергей Леонидович</w:t>
      </w:r>
    </w:p>
    <w:p>
      <w:pPr>
        <w:jc w:val="center"/>
      </w:pPr>
      <w:r>
        <w:rPr>
          <w:rFonts w:ascii="Calibri" w:hAnsi="Calibri" w:eastAsia="Calibri"/>
          <w:b w:val="0"/>
          <w:i w:val="0"/>
          <w:color w:val="5B6570"/>
          <w:sz w:val="20"/>
        </w:rPr>
        <w:t>Редакция 2.0 · 24 августа 2026 года</w:t>
      </w:r>
    </w:p>
    <w:p>
      <w:pPr>
        <w:spacing w:before="480"/>
        <w:jc w:val="center"/>
      </w:pPr>
      <w:r>
        <w:rPr>
          <w:rFonts w:ascii="Calibri" w:hAnsi="Calibri" w:eastAsia="Calibri"/>
          <w:b w:val="0"/>
          <w:i/>
          <w:color w:val="5B6570"/>
          <w:sz w:val="18"/>
        </w:rPr>
        <w:t>Проект для межведомственного, научного, делового и общественного обсуждения</w:t>
      </w:r>
    </w:p>
    <w:p>
      <w:r>
        <w:br w:type="page"/>
      </w:r>
    </w:p>
    <w:p>
      <w:pPr>
        <w:pStyle w:val="Heading1"/>
      </w:pPr>
      <w:r>
        <w:t>Паспорт доклада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tblHeader w:val="true"/>
          <w:cantSplit/>
        </w:trPr>
        <w:tc>
          <w:tcPr>
            <w:tcW w:type="dxa" w:w="23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Параметр</w:t>
            </w:r>
          </w:p>
        </w:tc>
        <w:tc>
          <w:tcPr>
            <w:tcW w:type="dxa" w:w="70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Наименование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Доклад «СПЕЦЗАЩИТА: кооперационная организация исполнения национальных и межрегиональных программ».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Статус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Стратегический концепт; не является нормативным актом, государственной программой или подтверждением государственной поддержки.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Предмет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Организация полного цикла: инициатива → экспертиза → кооперация → ресурсы → пилот → верификация → масштабирование.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Архитектура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ЭКВИЛИБРИУМ — СФЕРА — ECO‑PPA — СПЕЦЗАЩИТА.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Территориальная модель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Биоценоз как единая природная, социальная, инфраструктурная и производственная система.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Пилотная связка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Сызрань — Рамено — Смолькино; площадки и полномочия требуют документального подтверждения.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Горизонт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2026–2028 годы; первый 12‑месячный план внедрения в составе 18‑месячного полного пилотного цикла.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Ключевой результат</w:t>
            </w:r>
          </w:p>
        </w:tc>
        <w:tc>
          <w:tcPr>
            <w:tcW w:type="dxa" w:w="7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Доказанная модель кооперационного исполнения, пригодная для воспроизведения в других субъектах Российской Федерации.</w:t>
            </w:r>
          </w:p>
        </w:tc>
      </w:tr>
    </w:tbl>
    <w:p>
      <w:pPr>
        <w:spacing w:after="0"/>
      </w:pPr>
    </w:p>
    <w:p>
      <w:pPr>
        <w:pStyle w:val="Heading1"/>
      </w:pPr>
      <w:r>
        <w:t>Содержание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1. Резюме для принятия решения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2. Системная проблема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3. Миссия, видение и стратегическая цель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3.1. Цивилизационный горизонт: Возрождение Земли и Галактическая Культура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4. Архитектура единой системы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5. Место в контуре публичной власти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6. Девятнадцать кооперативных участков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7. Жизненный цикл проектов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8. Система управления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9. Экономическая модель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10. Цифровой контур ЭКВИЛИБРИУМ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11. Биоценозы и мониторинг территории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12. Предварительный технологический портфель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13. Пилот Сызрань — Рамено — Смолькино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14. Взаимодействие с комиссиями Госсовета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15. Партнёрский контур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16. Система показателей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17. Риски и защитные механизмы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18. Дорожная карта 2026–2028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19. Предлагаемые решения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Приложения</w:t>
      </w:r>
    </w:p>
    <w:p>
      <w:pPr>
        <w:pStyle w:val="Heading1"/>
      </w:pPr>
      <w:r>
        <w:t>1. Резюме для принятия решения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«СПЕЦЗАЩИТА» предлагается рассматривать как кооперационную платформу исполнения, которая собирает под конкретную общественно значимую задачу предприятия, научные организации, технологические команды, финансовых партнёров, институты развития, регионы, муниципалитеты и общественные инициативы.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Ключевая проблема, которую решает СПЕЦЗАЩИТА, — отсутствие непрерывной цепочки между инициативой, государственным приоритетом, подготовленным спросом, технологией, производителем, ресурсами, пилотной территорией и подтверждённым результатом.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EEF5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E74B5"/>
                <w:sz w:val="18"/>
              </w:rPr>
              <w:t>КЛЮЧЕВАЯ ФОРМУЛА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Инициатива → экспертиза → кооперация → ресурсное обеспечение → пилот → подтверждённый результат → масштабирование.</w:t>
            </w:r>
          </w:p>
        </w:tc>
      </w:tr>
    </w:tbl>
    <w:p>
      <w:pPr>
        <w:spacing w:after="0"/>
      </w:pP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Для государственного контура СПЕЦЗАЩИТА не должна подменять Правительство, министерства, регионы, муниципалитеты, заказчиков, надзорные органы или институты развития. Её функция — связать законные полномочия и компетенции участников в управляемую проектную цепочку, обеспечить прохождение контрольных точек и сформировать доказательства результата.</w:t>
      </w:r>
    </w:p>
    <w:p>
      <w:pPr>
        <w:pStyle w:val="Heading2"/>
      </w:pPr>
      <w:r>
        <w:t>Предлагаемое решение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Принять доклад к межкомиссионному и межведомственному рассмотрению.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Создать рабочую группу по комплексному устойчивому развитию территорий на базе ECO‑PPA.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Провести независимую правовую, финансовую, научно-техническую и экологическую экспертизу модели.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Отобрать 3–5 пилотных территорий, включая проверку готовности связки Сызрань — Рамено — Смолькино.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Зафиксировать базовые показатели до начала внедрения и обеспечить независимую верификацию.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 итогам пилота представить Президиуму Госсовета предложения о масштабировании.</w:t>
      </w:r>
    </w:p>
    <w:p>
      <w:pPr>
        <w:pStyle w:val="Heading1"/>
      </w:pPr>
      <w:r>
        <w:t>2. Системная проблема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Крупные программы развития распределены между множеством ведомств, уровней власти, предприятий, источников финансирования и систем учёта. В результате даже перспективные инициативы часто не получают полного маршрута до внедрения.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900"/>
        <w:gridCol w:w="3560"/>
      </w:tblGrid>
      <w:tr>
        <w:trPr>
          <w:tblHeader w:val="true"/>
          <w:cantSplit/>
        </w:trPr>
        <w:tc>
          <w:tcPr>
            <w:tcW w:type="dxa" w:w="1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Разрыв</w:t>
            </w:r>
          </w:p>
        </w:tc>
        <w:tc>
          <w:tcPr>
            <w:tcW w:type="dxa" w:w="3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Проявление</w:t>
            </w:r>
          </w:p>
        </w:tc>
        <w:tc>
          <w:tcPr>
            <w:tcW w:type="dxa" w:w="35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Последствие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Координационный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Участники действуют в разных регламентах и не видят общей архитектуры ответственности.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Сроки растут, решения дублируются, ответственность размывается.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Доверия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Нет единого реестра ресурсов, обязательств, прав и достигнутых результатов.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Партнёры не могут оценить реальное состояние проекта.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Проектной готовности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Идея не преобразована в паспорт, ТЭО, рисковую и финансовую модель.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Банки, государство и инвесторы не готовы принимать решение.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Промышленного внедрения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Разработка не связана с производителем, заказчиком и системой эксплуатации.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Технология остаётся на стадии демонстрации.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Финансирования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Источники ресурсов не собраны в допустимую и прозрачную структуру.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Пилот не запускается либо становится зависимым от одного источника.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Доказательности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Эффект измеряется после начала проекта или только декларативно.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Невозможно объективно оценить результат и масштабировать решение.</w:t>
            </w:r>
          </w:p>
        </w:tc>
      </w:tr>
    </w:tbl>
    <w:p>
      <w:pPr>
        <w:spacing w:after="0"/>
      </w:pPr>
    </w:p>
    <w:p>
      <w:pPr>
        <w:pStyle w:val="Heading1"/>
      </w:pPr>
      <w:r>
        <w:t>3. Миссия, видение и стратегическая цель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3EE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F6B4F"/>
                <w:sz w:val="18"/>
              </w:rPr>
              <w:t>МИССИЯ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Организовать справедливую и прагматичную кооперацию для защиты жизни, территории, труда, технологий и будущих поколений.</w:t>
            </w:r>
          </w:p>
        </w:tc>
      </w:tr>
    </w:tbl>
    <w:p>
      <w:pPr>
        <w:spacing w:after="0"/>
      </w:pPr>
    </w:p>
    <w:p>
      <w:pPr>
        <w:pStyle w:val="Heading2"/>
      </w:pPr>
      <w:r>
        <w:t>Видение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СПЕЦЗАЩИТА становится доверенным контуром исполнения общественно значимых программ, в котором каждый ресурс получает понятную роль, каждое обязательство фиксируется, каждый участник понимает границы ответственности, а результат подтверждается документами, испытаниями и данными.</w:t>
      </w:r>
    </w:p>
    <w:p>
      <w:pPr>
        <w:pStyle w:val="Heading2"/>
      </w:pPr>
      <w:r>
        <w:t>Стратегическая цель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Создать воспроизводимую модель формирования проектного портфеля, запуска территориальных пилотов и масштабирования доказанных решений через кооперацию государства, бизнеса, науки и общества.</w:t>
      </w:r>
    </w:p>
    <w:p>
      <w:pPr>
        <w:pStyle w:val="Heading2"/>
      </w:pPr>
      <w:r>
        <w:t>Основные принципы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cantSplit/>
        </w:trPr>
        <w:tc>
          <w:tcPr>
            <w:tcW w:type="dxa" w:w="26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Принцип</w:t>
            </w:r>
          </w:p>
        </w:tc>
        <w:tc>
          <w:tcPr>
            <w:tcW w:type="dxa" w:w="67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Практический смысл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Здравый смысл и справедливость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Решение оценивается по последствиям для человека, территории, природы и системы.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Законность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Каждый механизм проходит проверку на соответствие применимому законодательству.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Добровольность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Участник понимает права, обязанности, риски, условия и порядок выхода.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Полномочия и ответственность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Полномочия соответствуют компетенциям и принятой ответственности.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Доказательность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Заявленный эффект подтверждается показателями, документами, испытаниями и независимой проверкой.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Прозрачность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Ресурсы, обязательства, статусы и решения прослеживаемы.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Сбережение природы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Воздействие учитывается на полном жизненном цикле.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Человекоцентричность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Оценке подлежат качество среды и реальные возможности человека, а не его достоинство.</w:t>
            </w:r>
          </w:p>
        </w:tc>
      </w:tr>
      <w:tr>
        <w:trPr>
          <w:cantSplit/>
        </w:trP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Масштабируемость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Пилот изначально проектируется для воспроизведения на другой территории.</w:t>
            </w:r>
          </w:p>
        </w:tc>
      </w:tr>
    </w:tbl>
    <w:p>
      <w:pPr>
        <w:spacing w:after="0"/>
      </w:pPr>
    </w:p>
    <w:p>
      <w:pPr>
        <w:pStyle w:val="Heading1"/>
      </w:pPr>
      <w:r>
        <w:t>3.1. Цивилизационный горизонт: Возрождение Земли и Галактическая Культура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Долгосрочная философия СПЕЦЗАЩИТЫ исходит из того, что защита территории не ограничивается устранением отдельных аварий и дефицитов. Высшая цель — восстановление способности Земли поддерживать жизнь, развитие культуры ответственного созидания и включение человечества в длительную космическую перспективу.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3650"/>
        <w:gridCol w:w="2910"/>
      </w:tblGrid>
      <w:tr>
        <w:trPr>
          <w:tblHeader w:val="true"/>
          <w:cantSplit/>
        </w:trPr>
        <w:tc>
          <w:tcPr>
            <w:tcW w:type="dxa" w:w="2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Концепт</w:t>
            </w:r>
          </w:p>
        </w:tc>
        <w:tc>
          <w:tcPr>
            <w:tcW w:type="dxa" w:w="365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Содержание в докладе</w:t>
            </w:r>
          </w:p>
        </w:tc>
        <w:tc>
          <w:tcPr>
            <w:tcW w:type="dxa" w:w="291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Практический перевод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Конгломерат «Возрождение Земли»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Планетарная кооперация людей, государств, науки, бизнеса и общественных инициатив ради восстановления природных систем.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Биоценозы, климатическая и экологическая адаптация, восстановление воды, почв, лесов и качества среды.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Межзвёздный союз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Форсайт-модель будущего сотрудничества цивилизации в научной, космической, культурной и гуманитарной сферах.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Развитие космической науки, аэрокосмического мониторинга, планетарной безопасности и международного научного сотрудничества.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Галактическая Федерация Света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Авторский философско-символический образ этической цивилизации, основанной на достоинстве жизни, знании, ответственности и ненасилии.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Ценностные принципы: защита жизни, мирное сотрудничество, приоритет знания, ответственности и долгосрочных последствий.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Генеральный План установления Галактической Культуры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Долгосрочная культурно-цивилизационная рамка перехода от разобщённого потребления к культуре сохранения жизни, знания и созидательной кооперации.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Образование, культура, научная дипломатия, сохранение наследия, этика технологий и подготовка человечества к космической эпохе.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6E2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A77A18"/>
                <w:sz w:val="18"/>
              </w:rPr>
              <w:t>ГРАНИЦА ДОКАЗАТЕЛЬНОСТИ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В официальном контуре названия «Межзвёздный союз» и «Галактическая Федерация Света» используются только как авторские футурологические и символические модели. Доклад не утверждает их существование в качестве юридически или научно подтверждённых организаций и не основывает государственные решения на непроверяемых предпосылках.</w:t>
            </w:r>
          </w:p>
        </w:tc>
      </w:tr>
    </w:tbl>
    <w:p>
      <w:pPr>
        <w:spacing w:after="0"/>
      </w:pPr>
    </w:p>
    <w:p>
      <w:pPr>
        <w:pStyle w:val="Heading2"/>
      </w:pPr>
      <w:r>
        <w:t>Три горизонта реализации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4900"/>
        <w:gridCol w:w="2660"/>
      </w:tblGrid>
      <w:tr>
        <w:trPr>
          <w:tblHeader w:val="true"/>
          <w:cantSplit/>
        </w:trPr>
        <w:tc>
          <w:tcPr>
            <w:tcW w:type="dxa" w:w="1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Горизонт</w:t>
            </w:r>
          </w:p>
        </w:tc>
        <w:tc>
          <w:tcPr>
            <w:tcW w:type="dxa" w:w="4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Срок и предмет</w:t>
            </w:r>
          </w:p>
        </w:tc>
        <w:tc>
          <w:tcPr>
            <w:tcW w:type="dxa" w:w="26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Измеримый результат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Земной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2026–2035: биоценозы, экологическое восстановление, энергетическая и инфраструктурная устойчивость.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Работающие территориальные системы и подтверждённое улучшение среды.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Планетарный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2035–2050: глобальный мониторинг, международные программы, культура мира и ответственность за биосферу.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Совместимые системы раннего предупреждения, научные стандарты и международные пилоты.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Космический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После 2050: космическая наука, сохранение наследия, этика взаимодействия и долгосрочная культура цивилизации.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Научно и юридически обоснованные программы мирного космического сотрудничества.</w:t>
            </w:r>
          </w:p>
        </w:tc>
      </w:tr>
    </w:tbl>
    <w:p>
      <w:pPr>
        <w:spacing w:after="0"/>
      </w:pPr>
    </w:p>
    <w:p>
      <w:pPr>
        <w:pStyle w:val="Heading1"/>
      </w:pPr>
      <w:r>
        <w:t>4. Архитектура единой системы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4000"/>
        <w:gridCol w:w="3260"/>
      </w:tblGrid>
      <w:tr>
        <w:trPr>
          <w:tblHeader w:val="true"/>
          <w:cantSplit/>
        </w:trPr>
        <w:tc>
          <w:tcPr>
            <w:tcW w:type="dxa" w:w="21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Контур</w:t>
            </w:r>
          </w:p>
        </w:tc>
        <w:tc>
          <w:tcPr>
            <w:tcW w:type="dxa" w:w="40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Основная роль</w:t>
            </w:r>
          </w:p>
        </w:tc>
        <w:tc>
          <w:tcPr>
            <w:tcW w:type="dxa" w:w="32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Выход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СФЕРА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Единое пространство инициатив, компетенций, общественного участия и коммуникации.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Поток инициатив, участников, знаний, обратная связь.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ЭКВИЛИБРИУМ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Наблюдение, аналитика, прогнозирование, цифровой двойник и верификация.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Паспорта территории, сценарии, показатели, архив доказательств.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ИАЦ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Стратегическая экспертиза и институциональное проектирование.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Доклады, варианты решений, межведомственные модели.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ECO‑PPA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Механизм мобилизации государственных и частных ресурсов и закрепления обязательств.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Программная, финансовая и договорная рамка.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СПЕЦЗАЩИТА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Кооперационная организация исполнения.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Консорциумы, производство, поставки, внедрение, эксплуатация, масштабирование.</w:t>
            </w:r>
          </w:p>
        </w:tc>
      </w:tr>
      <w:tr>
        <w:trPr>
          <w:cantSplit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Независимая верификация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Проверка данных, результата, соблюдения критериев и конфликтов интересов.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Заключение о достигнутом эффекте и остаточных рисках.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EEF5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E74B5"/>
                <w:sz w:val="18"/>
              </w:rPr>
              <w:t>КОНТУР УПРАВЛЕНИЯ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Угроза или проблема → наблюдение → анализ → институциональное проектирование → мобилизация ресурсов → кооперационное исполнение → измерение → верификация → корректировка.</w:t>
            </w:r>
          </w:p>
        </w:tc>
      </w:tr>
    </w:tbl>
    <w:p>
      <w:pPr>
        <w:spacing w:after="0"/>
      </w:pPr>
    </w:p>
    <w:p>
      <w:pPr>
        <w:pStyle w:val="Heading2"/>
      </w:pPr>
      <w:r>
        <w:t>Границы ролей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ЭКВИЛИБРИУМ не заменяет государственные информационные системы, бухгалтерский, налоговый, банковский или официальный статистический учёт.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ECO‑PPA не создаёт финансовых обязательств без надлежащих договоров, полномочий, экспертизы и источников обеспечения.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СПЕЦЗАЩИТА не присваивает себе полномочия органов государственной власти, заказчиков, надзорных органов и собственников технологий.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СФЕРА не подменяет официальные процедуры общественного обсуждения и принятия решений.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Критические решения сохраняют человеческий контроль и юридически определённого ответственного.</w:t>
      </w:r>
    </w:p>
    <w:p>
      <w:pPr>
        <w:pStyle w:val="Heading1"/>
      </w:pPr>
      <w:r>
        <w:t>5. Место в контуре публичной власти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3600"/>
        <w:gridCol w:w="3460"/>
      </w:tblGrid>
      <w:tr>
        <w:trPr>
          <w:tblHeader w:val="true"/>
          <w:cantSplit/>
        </w:trPr>
        <w:tc>
          <w:tcPr>
            <w:tcW w:type="dxa" w:w="23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Уровень</w:t>
            </w:r>
          </w:p>
        </w:tc>
        <w:tc>
          <w:tcPr>
            <w:tcW w:type="dxa" w:w="36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Функция</w:t>
            </w:r>
          </w:p>
        </w:tc>
        <w:tc>
          <w:tcPr>
            <w:tcW w:type="dxa" w:w="34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Связь со СПЕЦЗАЩИТОЙ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Президент Российской Федерации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Определение стратегических приоритетов и поручений.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СПЕЦЗАЩИТА исполняет только оформленные задачи в пределах договоров и полномочий.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Государственный Совет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Согласование федерального, регионального и муниципального контуров развития.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Рассмотрение межрегиональной модели и результатов пилотов.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Правительство Российской Федерации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Организация государственной политики и межведомственная координация.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Определение федерального координатора, регламентов и мер поддержки.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Федеральные органы исполнительной власти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Отраслевая политика, регулирование, государственные программы.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Экспертиза, нормативное сопровождение и участие в профильных проектах.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Субъекты Российской Федерации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Региональная политика и руководство пилотами.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Губернаторский штаб, площадки, региональные ресурсы и показатели.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Муниципалитеты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Подготовка объектов, работа с населением, эксплуатация.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Муниципальный проектный офис и паспорт территории.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Федеральное Собрание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Законодательное и бюджетное сопровождение.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Подготовка нормативных решений после подтверждения потребности пилотом.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6. Девятнадцать кооперативных участков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Целевая архитектура СПЕЦЗАЩИТЫ включает 19 кооперативных участков. Это рабочая проектная модель: перед включением в уставные и корпоративные документы перечень должен быть сопоставлен с действующей организационной структурой и утверждён в установленном порядке.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0"/>
        <w:gridCol w:w="2600"/>
        <w:gridCol w:w="3950"/>
        <w:gridCol w:w="2330"/>
      </w:tblGrid>
      <w:tr>
        <w:trPr>
          <w:tblHeader w:val="true"/>
          <w:cantSplit/>
        </w:trPr>
        <w:tc>
          <w:tcPr>
            <w:tcW w:type="dxa" w:w="48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№</w:t>
            </w:r>
          </w:p>
        </w:tc>
        <w:tc>
          <w:tcPr>
            <w:tcW w:type="dxa" w:w="26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Кооперативный участок</w:t>
            </w:r>
          </w:p>
        </w:tc>
        <w:tc>
          <w:tcPr>
            <w:tcW w:type="dxa" w:w="395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Основные функции</w:t>
            </w:r>
          </w:p>
        </w:tc>
        <w:tc>
          <w:tcPr>
            <w:tcW w:type="dxa" w:w="233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Стратегическое управление и программирование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Цели, сценарии, приоритеты, связь с государственными стратегиями.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Стратегия и портфель программ.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2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Проектный офис и управление портфелем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Паспортизация, стадийность, графики, зависимости, контрольные точки.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Управляемый портфель проектов.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3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Право и корпоративное управление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Правовые модели, полномочия, договоры, права, комплаенс.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Юридически исполнимая конструкция.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4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Финансы, казначейство и инвестиционная подготовка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Бюджеты, раздельный учёт, ТЭО, источники, риски, отчётность.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Банкуемый и контролируемый проект.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5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Энергетика и мини‑генерация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Локальные источники, резервирование, накопление, энергосервис.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Надёжное энергоснабжение пилота.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6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Экологические технологии и экомодули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Модульные решения воды, отходов, среды и жизнеобеспечения.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Быстрый измеримый экологический эффект.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7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Вода, почвы и восстановление территорий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Мониторинг, очистка, рекультивация, восстановление природного капитала.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Восстановленные функции территории.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8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Агропромышленность и биоценозы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Замкнутые циклы, агроэкология, продовольственная устойчивость.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Живая территориальная система.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9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Материалы и промышленная кооперация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Материаловедение, компоненты, локализация, производственные цепочки.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Серийное производство и снижение зависимости.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10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Строительство и инфраструктура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Проектирование, земля, сети, строительство, ввод и эксплуатация.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Готовые объекты и инфраструктура.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11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Цифровая платформа, реестры и данные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Архитектура ЭКВИЛИБРИУМ, паспорта, журнал решений, доступы.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Прослеживаемость и цифровая доказательность.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12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Научные исследования и испытания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НИОКР, уровни готовности, испытательные программы и экспертные заключения.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Подтверждённая работоспособность.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13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Стандартизация, метрология и сертификация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Методики измерений, стандарты, подтверждение соответствия.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Сопоставимые и воспроизводимые результаты.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14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Безопасность, устойчивость и управление рисками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Физическая, информационная, экологическая и операционная устойчивость.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Реестр рисков и планы реагирования.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15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Логистика и снабжение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Поставки, складирование, транспорт, резервные цепочки.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Своевременное обеспечение проектов.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16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Образование и кадровый резерв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Подготовка операторов, инженеров, управленцев и муниципальных команд.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Компетентные кадры для эксплуатации.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17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Социальные программы и реабилитация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Здоровье, доступность, занятость, поддержка семей и ветеранов.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Подтверждённый общественный эффект.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18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Международная кооперация и экспорт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Партнёрства, адаптация стандартов, экспорт технологий и моделей.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Масштабирование на внешнем контуре.</w:t>
            </w:r>
          </w:p>
        </w:tc>
      </w:tr>
      <w:tr>
        <w:trPr>
          <w:cantSplit/>
        </w:trPr>
        <w:tc>
          <w:tcPr>
            <w:tcW w:type="dxa" w:w="4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19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Коммуникации, общественное участие и масштабирование</w:t>
            </w:r>
          </w:p>
        </w:tc>
        <w:tc>
          <w:tcPr>
            <w:tcW w:type="dxa" w:w="39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СФЕРА, общественная обратная связь, тиражирование практик.</w:t>
            </w:r>
          </w:p>
        </w:tc>
        <w:tc>
          <w:tcPr>
            <w:tcW w:type="dxa" w:w="23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Доверие, участие и устойчивый спрос.</w:t>
            </w:r>
          </w:p>
        </w:tc>
      </w:tr>
    </w:tbl>
    <w:p>
      <w:pPr>
        <w:spacing w:after="0"/>
      </w:pPr>
    </w:p>
    <w:p>
      <w:pPr>
        <w:pStyle w:val="Heading2"/>
      </w:pPr>
      <w:r>
        <w:t>Группировка участков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1500"/>
        <w:gridCol w:w="5560"/>
      </w:tblGrid>
      <w:tr>
        <w:trPr>
          <w:tblHeader w:val="true"/>
          <w:cantSplit/>
        </w:trPr>
        <w:tc>
          <w:tcPr>
            <w:tcW w:type="dxa" w:w="23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Контур</w:t>
            </w:r>
          </w:p>
        </w:tc>
        <w:tc>
          <w:tcPr>
            <w:tcW w:type="dxa" w:w="15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Участки</w:t>
            </w:r>
          </w:p>
        </w:tc>
        <w:tc>
          <w:tcPr>
            <w:tcW w:type="dxa" w:w="55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Стратегический и правовой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1–4</w:t>
            </w:r>
          </w:p>
        </w:tc>
        <w:tc>
          <w:tcPr>
            <w:tcW w:type="dxa" w:w="5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Целеполагание, портфель, право, финансы и ответственность.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Технологический и территориальный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5–10</w:t>
            </w:r>
          </w:p>
        </w:tc>
        <w:tc>
          <w:tcPr>
            <w:tcW w:type="dxa" w:w="5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Энергия, экология, вода, биоценозы, материалы и инфраструктура.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Доказательный и защитный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11–14</w:t>
            </w:r>
          </w:p>
        </w:tc>
        <w:tc>
          <w:tcPr>
            <w:tcW w:type="dxa" w:w="5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Данные, наука, стандарты, безопасность и риски.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Обеспечивающий и социальный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15–19</w:t>
            </w:r>
          </w:p>
        </w:tc>
        <w:tc>
          <w:tcPr>
            <w:tcW w:type="dxa" w:w="5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9"/>
              </w:rPr>
              <w:t>Логистика, кадры, социальные программы, международное развитие и участие.</w:t>
            </w:r>
          </w:p>
        </w:tc>
      </w:tr>
    </w:tbl>
    <w:p>
      <w:pPr>
        <w:spacing w:after="0"/>
      </w:pPr>
    </w:p>
    <w:p>
      <w:pPr>
        <w:pStyle w:val="Heading1"/>
      </w:pPr>
      <w:r>
        <w:t>7. Жизненный цикл проектов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000"/>
        <w:gridCol w:w="2760"/>
        <w:gridCol w:w="2100"/>
      </w:tblGrid>
      <w:tr>
        <w:trPr>
          <w:tblHeader w:val="true"/>
          <w:cantSplit/>
        </w:trPr>
        <w:tc>
          <w:tcPr>
            <w:tcW w:type="dxa" w:w="15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30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Ключевой вопрос</w:t>
            </w:r>
          </w:p>
        </w:tc>
        <w:tc>
          <w:tcPr>
            <w:tcW w:type="dxa" w:w="27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Обязательный выход</w:t>
            </w:r>
          </w:p>
        </w:tc>
        <w:tc>
          <w:tcPr>
            <w:tcW w:type="dxa" w:w="21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Решение о переходе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1. Регистрация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Что предлагается, кем и для какой территории?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Паспорт инициативы.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Допустить к квалификации или вернуть на доработку.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2. Квалификация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Соответствует ли инициатива целям и ограничениям?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Квалификационная карта.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Допустить к экспертизе или отклонить.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3. Экспертиза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Работоспособно ли решение и подтверждены ли права?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Комплексное заключение.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Структурировать либо остановить.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4. Структурирование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Кто, что, на каких условиях и за чей риск делает?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Консорциум, договорная и финансовая модель.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Запускать подготовку пилота.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5. Пилот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Работает ли решение в реальных условиях?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Объект, протоколы, данные эксплуатации.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Продолжить, скорректировать или прекратить.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6. Верификация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Подтверждён ли заявленный эффект?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Независимый отчёт и остаточные риски.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Допустить к тиражированию.</w:t>
            </w:r>
          </w:p>
        </w:tc>
      </w:tr>
      <w:tr>
        <w:trPr>
          <w:cantSplit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7. Масштабирование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Можно ли воспроизвести результат?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Типовой пакет внедрения и эксплуатации.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Включить в межрегиональную программу.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6E2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A77A18"/>
                <w:sz w:val="18"/>
              </w:rPr>
              <w:t>КОНТРОЛЬНЫЙ ПРИНЦИП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Финансирование следующей стадии открывается только после подтверждения результатов предыдущей контрольной точки.</w:t>
            </w:r>
          </w:p>
        </w:tc>
      </w:tr>
    </w:tbl>
    <w:p>
      <w:pPr>
        <w:spacing w:after="0"/>
      </w:pPr>
    </w:p>
    <w:p>
      <w:pPr>
        <w:pStyle w:val="Heading1"/>
      </w:pPr>
      <w:r>
        <w:t>8. Система управления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00"/>
        <w:gridCol w:w="4050"/>
        <w:gridCol w:w="2410"/>
      </w:tblGrid>
      <w:tr>
        <w:trPr>
          <w:tblHeader w:val="true"/>
          <w:cantSplit/>
        </w:trPr>
        <w:tc>
          <w:tcPr>
            <w:tcW w:type="dxa" w:w="2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Орган</w:t>
            </w:r>
          </w:p>
        </w:tc>
        <w:tc>
          <w:tcPr>
            <w:tcW w:type="dxa" w:w="405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Компетенция</w:t>
            </w:r>
          </w:p>
        </w:tc>
        <w:tc>
          <w:tcPr>
            <w:tcW w:type="dxa" w:w="241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Общее собрание членов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Вопросы, отнесённые законом и уставом к высшему органу.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 подменяется проектными органами.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Совет кооператива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Стратегия, программы, портфель, ключевые партнёрства.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 вмешивается в независимую верификацию.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Исполнительная дирекция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Операционное управление, координация, договоры, отчётность.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Действует в утверждённых бюджетах и полномочиях.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Проектный комитет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Квалификация, допуск, приоритизация, контроль стадий.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Решения протоколируются; конфликты интересов раскрываются.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Научно-технический совет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Научная обоснованность, технологическая готовность, испытания.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 подтверждает финансовую или юридическую состоятельность.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Инвестиционно-финансовый комитет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Финансовая модель, источники, риски, условия финансирования.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 гарантирует доходность без проверки и договора.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Ревизионный и комплаенс-контур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Финансовый контроль, целевое использование, контрагенты.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Организационно отделён от исполнителей.</w:t>
            </w:r>
          </w:p>
        </w:tc>
      </w:tr>
      <w:tr>
        <w:trPr>
          <w:cantSplit/>
        </w:trP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Общественно-экспертный совет</w:t>
            </w:r>
          </w:p>
        </w:tc>
        <w:tc>
          <w:tcPr>
            <w:tcW w:type="dxa" w:w="4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Интересы территорий, обратная связь, общественный контроль.</w:t>
            </w:r>
          </w:p>
        </w:tc>
        <w:tc>
          <w:tcPr>
            <w:tcW w:type="dxa" w:w="24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 подменяет формальные полномочия и надзор.</w:t>
            </w:r>
          </w:p>
        </w:tc>
      </w:tr>
    </w:tbl>
    <w:p>
      <w:pPr>
        <w:spacing w:after="0"/>
      </w:pPr>
    </w:p>
    <w:p>
      <w:pPr>
        <w:pStyle w:val="Heading2"/>
      </w:pPr>
      <w:r>
        <w:t>Региональный уровень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Губернаторский или межведомственный штаб — политико-управленческая координация пилота.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Региональный проектный офис — график, бюджет, данные, участники и контрольные точки.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Муниципальный офис — земля, объекты, разрешения, взаимодействие с населением и эксплуатация.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Территориальный общественно-экспертный совет — обратная связь и оценка последствий.</w:t>
      </w:r>
    </w:p>
    <w:p>
      <w:pPr>
        <w:pStyle w:val="Heading1"/>
      </w:pPr>
      <w:r>
        <w:t>9. Экономическая модель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СПЕЦЗАЩИТА может объединять несколько видов ресурсного обеспечения только при условии их юридической допустимости, прозрачного происхождения и раздельного учёта.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3650"/>
        <w:gridCol w:w="2910"/>
      </w:tblGrid>
      <w:tr>
        <w:trPr>
          <w:tblHeader w:val="true"/>
          <w:cantSplit/>
        </w:trPr>
        <w:tc>
          <w:tcPr>
            <w:tcW w:type="dxa" w:w="2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Источник / инструмент</w:t>
            </w:r>
          </w:p>
        </w:tc>
        <w:tc>
          <w:tcPr>
            <w:tcW w:type="dxa" w:w="365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Допустимое применение</w:t>
            </w:r>
          </w:p>
        </w:tc>
        <w:tc>
          <w:tcPr>
            <w:tcW w:type="dxa" w:w="291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Условие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Паевые и целевые взносы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Организационное и проектное обеспечение в пределах устава.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Решение уполномоченного органа и целевой учёт.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Выручка от поставок и услуг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Поставка, сервис, проектное управление, эксплуатация.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Рыночные и договорно определённые условия.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Гранты, субсидии, меры поддержки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НИОКР, пилоты, инфраструктура, обучение.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Соблюдение условий предоставления и отчётности.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Банковское и проектное финансирование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Капитальные затраты и оборотный капитал.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ТЭО, обеспечение, рисковая модель и платёжный источник.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ГЧП и концессии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Объекты инфраструктуры и длительная эксплуатация.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Конкурсные и нормативные процедуры.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Инвестиционные соглашения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Технологические и производственные проекты.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Раскрытие условий, прав и распределения рисков.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Вклад оборудования, прав, труда и компетенций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Кооперационное участие.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Независимая оценка значимых неденежных вкладов.</w:t>
            </w:r>
          </w:p>
        </w:tc>
      </w:tr>
    </w:tbl>
    <w:p>
      <w:pPr>
        <w:spacing w:after="0"/>
      </w:pPr>
    </w:p>
    <w:p>
      <w:pPr>
        <w:pStyle w:val="Heading2"/>
      </w:pPr>
      <w:r>
        <w:t>Базовые финансовые правила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Раздельный учёт по каждому проекту.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Целевое использование средств и ресурсов.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Этапное финансирование по контрольным точкам.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Резервирование рисков и план действий при отклонениях.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Независимая оценка значимых активов и прав.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Контроль взаимозависимых сделок и конфликтов интересов.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Проверка происхождения средств и деловой репутации контрагентов.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Регулярная управленческая и финансовая отчётность.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CEEEE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9B1C1C"/>
                <w:sz w:val="18"/>
              </w:rPr>
              <w:t>НЕОБХОДИМАЯ ОГОВОРКА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Стоимость активов, права на технологии, источники финансирования, доходность и гарантии не считаются подтверждёнными до завершения юридической, финансовой и технической проверки.</w:t>
            </w:r>
          </w:p>
        </w:tc>
      </w:tr>
    </w:tbl>
    <w:p>
      <w:pPr>
        <w:spacing w:after="0"/>
      </w:pPr>
    </w:p>
    <w:p>
      <w:pPr>
        <w:pStyle w:val="Heading1"/>
      </w:pPr>
      <w:r>
        <w:t>10. Цифровой контур ЭКВИЛИБРИУМ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ЭКВИЛИБРИУМ создаёт институциональный цифровой двойник программы: связывает цели, объекты, участников, полномочия, проекты, договоры, ресурсы, риски, показатели и доказательства в единой модели.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3650"/>
        <w:gridCol w:w="2910"/>
      </w:tblGrid>
      <w:tr>
        <w:trPr>
          <w:tblHeader w:val="true"/>
          <w:cantSplit/>
        </w:trPr>
        <w:tc>
          <w:tcPr>
            <w:tcW w:type="dxa" w:w="2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Реестр / функция</w:t>
            </w:r>
          </w:p>
        </w:tc>
        <w:tc>
          <w:tcPr>
            <w:tcW w:type="dxa" w:w="365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Содержание</w:t>
            </w:r>
          </w:p>
        </w:tc>
        <w:tc>
          <w:tcPr>
            <w:tcW w:type="dxa" w:w="291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Управленческий результат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Участники и полномочия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Организации, лица, компетенции, роли, допуски.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Понятно, кто вправе принимать решение и исполнять работу.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Инициативы и проекты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Паспорта, стадии, зависимости, сроки, бюджеты.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Единая картина портфеля.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Технологии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Права, уровень готовности, испытания, ограничения.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Снижение технологического риска.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Договоры и обязательства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Предмет, ответственные, сроки, условия перехода.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Прослеживаемая ответственность.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Ресурсы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Финансы, оборудование, материалы, труд, данные.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Контроль доступности и движения ресурсов.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Риски и инциденты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Риск, владелец, вероятность, последствия, меры.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Раннее предупреждение и корректировка.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Показатели и доказательства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Базовая линия, цель, источник, периодичность, верификатор.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Подтверждение результата.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Архив решений</w:t>
            </w:r>
          </w:p>
        </w:tc>
        <w:tc>
          <w:tcPr>
            <w:tcW w:type="dxa" w:w="3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Протоколы, основания, версии, изменения.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Институциональная память и аудит.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EEF5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E74B5"/>
                <w:sz w:val="18"/>
              </w:rPr>
              <w:t>ПРИНЦИП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Данные не заменяют решение человека, но делают основания решения, ответственность и последствия прослеживаемыми.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11. Биоценозы и мониторинг территории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Биоценоз предлагается использовать как базовую территориальную единицу ECO‑PPA: не отдельный объект, а связанная система природы, человека, инфраструктуры, производства, энергии и данных. Устойчивость формируется не количеством разрозненных объектов, а качеством связей и замкнутостью потоков.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4000"/>
        <w:gridCol w:w="2860"/>
      </w:tblGrid>
      <w:tr>
        <w:trPr>
          <w:tblHeader w:val="true"/>
          <w:cantSplit/>
        </w:trPr>
        <w:tc>
          <w:tcPr>
            <w:tcW w:type="dxa" w:w="25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Контур биоценоза</w:t>
            </w:r>
          </w:p>
        </w:tc>
        <w:tc>
          <w:tcPr>
            <w:tcW w:type="dxa" w:w="40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Предмет управления</w:t>
            </w:r>
          </w:p>
        </w:tc>
        <w:tc>
          <w:tcPr>
            <w:tcW w:type="dxa" w:w="28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Пример результата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Природный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Вода, почва, лес, биоразнообразие.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Восстановленные экосистемные функции.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Энергетический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Мини‑генерация, накопление, резервирование.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Надёжное и экономичное снабжение.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Водный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Очистка, оборот, сбросы, водный баланс.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Снижение потребления и загрязнения.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Продовольственный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Агроэкология, локальные цепочки, биомасса.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Продовольственная устойчивость.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Жилищный и социальный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Здоровая среда, услуги, безопасность, доступность.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Улучшение качества жизни.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Производственный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Материалы, ремонт, возврат в цикл, отходы.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Ресурсная эффективность и локализация.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Цифровой</w:t>
            </w:r>
          </w:p>
        </w:tc>
        <w:tc>
          <w:tcPr>
            <w:tcW w:type="dxa" w:w="4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Датчики, паспорта, модели, прогнозы.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Раннее предупреждение и доказательность.</w:t>
            </w:r>
          </w:p>
        </w:tc>
      </w:tr>
    </w:tbl>
    <w:p>
      <w:pPr>
        <w:spacing w:after="0"/>
      </w:pPr>
    </w:p>
    <w:p>
      <w:pPr>
        <w:pStyle w:val="Heading2"/>
      </w:pPr>
      <w:r>
        <w:t>Биоценозная точка мониторинга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Биоценозная точка мониторинга — «цифровой орган чувств» территории. Она объединяет наблюдение атмосферы, воды, почвы, растений, животных, микроорганизмов, здоровья человека и техногенной нагрузки.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Что происходит на территории?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Является ли изменение естественным или опасным?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Каков вероятный источник воздействия?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Как изменение влияет на биоценоз и человека?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Какие действия необходимы и кто должен их выполнить?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3EE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F6B4F"/>
                <w:sz w:val="18"/>
              </w:rPr>
              <w:t>ЦЕПОЧКА РЕАГИРОВАНИЯ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Биоценозная точка наблюдает → ЭКВИЛИБРИУМ анализирует → ECO‑PPA закрепляет действия и ресурсы → СПЕЦЗАЩИТА организует исполнение → независимый контур подтверждает результат.</w:t>
            </w:r>
          </w:p>
        </w:tc>
      </w:tr>
    </w:tbl>
    <w:p>
      <w:pPr>
        <w:spacing w:after="0"/>
      </w:pPr>
    </w:p>
    <w:p>
      <w:pPr>
        <w:pStyle w:val="Heading1"/>
      </w:pPr>
      <w:r>
        <w:t>12. Предварительный технологический портфель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Ниже приведены направления-кандидаты. Их включение в государственный или инвестиционный контур возможно только после подтверждения собственников, прав, готовности технологии, испытаний, экономики, безопасности и соответствия требованиям.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3500"/>
        <w:gridCol w:w="2860"/>
      </w:tblGrid>
      <w:tr>
        <w:trPr>
          <w:tblHeader w:val="true"/>
          <w:cantSplit/>
        </w:trPr>
        <w:tc>
          <w:tcPr>
            <w:tcW w:type="dxa" w:w="30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Направление</w:t>
            </w:r>
          </w:p>
        </w:tc>
        <w:tc>
          <w:tcPr>
            <w:tcW w:type="dxa" w:w="35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Назначение</w:t>
            </w:r>
          </w:p>
        </w:tc>
        <w:tc>
          <w:tcPr>
            <w:tcW w:type="dxa" w:w="28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Требуемая проверка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Экомодули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Модульное обеспечение воды, среды, отходов, питания и локальной инфраструктуры.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Состав модулей, производители, сертификаты, себестоимость, эксплуатация.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Мини‑генерация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Локальная энергия, резервирование и устойчивость объектов.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Технология, топливо/ресурс, подключение, тарифная и энергосервисная модель.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Очистка и оборот воды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Снижение потребления, загрязнения и рисков для здоровья.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Качество воды, производительность, расходные материалы, утилизация осадка.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Восстановление почв и грунтов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Рекультивация, стабилизация и подготовка площадок.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Состав материалов, экологическая безопасность, испытания и долговечность.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Материаловедение и продукция высокой чистоты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Локализация стратегических материалов и компонентов.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Права, технология, сырьё, качество, рынок, серийность.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Переработка литийсодержащих и иных сложных отходов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Возврат ценных материалов и снижение экологической нагрузки.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Лицензии, технология, выход продукта, экономика, безопасность.</w:t>
            </w:r>
          </w:p>
        </w:tc>
      </w:tr>
      <w:tr>
        <w:trPr>
          <w:cantSplit/>
        </w:trP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Цифровой мониторинг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Наблюдение, прогноз, диагностика и верификация.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Качество данных, метрология, кибербезопасность, совместимость с ГИС.</w:t>
            </w:r>
          </w:p>
        </w:tc>
      </w:tr>
    </w:tbl>
    <w:p>
      <w:pPr>
        <w:spacing w:after="0"/>
      </w:pPr>
    </w:p>
    <w:p>
      <w:pPr>
        <w:pStyle w:val="Heading1"/>
      </w:pPr>
      <w:r>
        <w:t>13. Пилот Сызрань — Рамено — Смолькино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6E2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A77A18"/>
                <w:sz w:val="18"/>
              </w:rPr>
              <w:t>СТАТУС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Пилотная связка является рабочей концепцией. До запуска необходимо документально подтвердить площадки, права, заинтересованность территорий, полномочия, ресурсы, технологии, экономику и показатели воздействия.</w:t>
            </w:r>
          </w:p>
        </w:tc>
      </w:tr>
    </w:tbl>
    <w:p>
      <w:pPr>
        <w:spacing w:after="0"/>
      </w:pPr>
    </w:p>
    <w:p>
      <w:pPr>
        <w:pStyle w:val="Heading2"/>
      </w:pPr>
      <w:r>
        <w:t>Назначение пилота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Проверить на взаимосвязанных территориях полный цикл СПЕЦЗАЩИТЫ: от паспорта проблем и ресурсов до кооперационного внедрения, эксплуатации, измерения эффекта и подготовки типового пакета масштабирования.</w:t>
      </w:r>
    </w:p>
    <w:p>
      <w:pPr>
        <w:pStyle w:val="Heading2"/>
      </w:pPr>
      <w:r>
        <w:t>Минимальный пакет готовности — 11 позиций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Паспорт каждой территории и исходная базовая линия.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Письма заинтересованности и ответственные органы/организации.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Подтверждение прав на землю, объекты и инфраструктуру.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Перечень 3–5 приоритетных проектов для первой очереди.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Паспорта технологий, собственники прав и уровень готовности.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Предварительные проектные консорциумы и распределение ответственности.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Финансовая модель, источники ресурсов и распределение рисков.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Правовая карта разрешений, закупок, договоров и регулирования.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12‑месячный план внедрения с контрольными точками.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Методика измерения экологического, социального и экономического эффекта.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Критерии завершения пилота и допуска к масштабированию.</w:t>
      </w:r>
    </w:p>
    <w:p>
      <w:pPr>
        <w:pStyle w:val="Heading2"/>
      </w:pPr>
      <w:r>
        <w:t>Временная модель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4850"/>
        <w:gridCol w:w="2610"/>
      </w:tblGrid>
      <w:tr>
        <w:trPr>
          <w:tblHeader w:val="true"/>
          <w:cantSplit/>
        </w:trPr>
        <w:tc>
          <w:tcPr>
            <w:tcW w:type="dxa" w:w="1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485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Содержание</w:t>
            </w:r>
          </w:p>
        </w:tc>
        <w:tc>
          <w:tcPr>
            <w:tcW w:type="dxa" w:w="261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0–3 месяца</w:t>
            </w:r>
          </w:p>
        </w:tc>
        <w:tc>
          <w:tcPr>
            <w:tcW w:type="dxa" w:w="4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Проверка площадок, паспорта, экспертиза, базовые показатели, договорная модель.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Решение о запуске.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4–6 месяцев</w:t>
            </w:r>
          </w:p>
        </w:tc>
        <w:tc>
          <w:tcPr>
            <w:tcW w:type="dxa" w:w="4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Проектирование, закупки, подготовка производственной и строительной кооперации.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Готовность к внедрению.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7–12 месяцев</w:t>
            </w:r>
          </w:p>
        </w:tc>
        <w:tc>
          <w:tcPr>
            <w:tcW w:type="dxa" w:w="4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Монтаж, запуск, обучение, первичная эксплуатация, сбор данных.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Работающие решения и первая оценка.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13–18 месяцев</w:t>
            </w:r>
          </w:p>
        </w:tc>
        <w:tc>
          <w:tcPr>
            <w:tcW w:type="dxa" w:w="4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Стабилизация эксплуатации, независимая верификация, корректировка и типизация.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Отчёт и пакет масштабирования.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14. Взаимодействие с комиссиями Госсовета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Ведущей предлагается определить комиссию Госсовета по направлению «Экологическое благополучие». Программа требует межкомиссионной сборки, поскольку соединяет природные, энергетические, промышленные, инфраструктурные, цифровые, финансовые и социальные задачи.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3700"/>
        <w:gridCol w:w="2860"/>
      </w:tblGrid>
      <w:tr>
        <w:trPr>
          <w:tblHeader w:val="true"/>
          <w:cantSplit/>
        </w:trPr>
        <w:tc>
          <w:tcPr>
            <w:tcW w:type="dxa" w:w="2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Комиссия</w:t>
            </w:r>
          </w:p>
        </w:tc>
        <w:tc>
          <w:tcPr>
            <w:tcW w:type="dxa" w:w="37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Предмет СПЕЦЗАЩИТЫ</w:t>
            </w:r>
          </w:p>
        </w:tc>
        <w:tc>
          <w:tcPr>
            <w:tcW w:type="dxa" w:w="28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Предлагаемый результат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Экологическое благополучие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ECO‑PPA, биоценозы, экомодули, восстановление территорий.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Ведущая комиссия и межрегиональный экологический пилот.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Энергетика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Мини‑генерация, накопление, резервирование.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Энергетический контур пилота.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Промышленность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Кооперация предприятий, оборудование, локализация.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Реестр производителей и кооперационный заказ.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Технологическое лидерство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ЭКВИЛИБРИУМ, новые материалы, технологии и НИОКР.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Независимая экспертиза и испытательная программа.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Инфраструктура для жизни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Комплексное развитие территорий и экомодули.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Интеграция в мастер-планы и инфраструктурные проекты.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Инвестиции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ГЧП, концессии, проектное и банковское финансирование.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Финансовая модель пилота.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Экономика данных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Цифровые паспорта, мониторинг и доказательства.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Требования к данным и цифровому контуру.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Государственное и муниципальное управление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Регламенты федерального, регионального и муниципального взаимодействия.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Модель проектных штабов и ответственности.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Кадры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Подготовка проектных, инженерных и муниципальных команд.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Кадровая программа эксплуатации.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Продолжительная и активная жизнь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Здоровье среды, реабилитация и качество жизни.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Социальный блок показателей.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Международная кооперация и экспорт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Тиражирование технологий и методик.</w:t>
            </w:r>
          </w:p>
        </w:tc>
        <w:tc>
          <w:tcPr>
            <w:tcW w:type="dxa" w:w="2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Подготовленный внешний контур после российского пилота.</w:t>
            </w:r>
          </w:p>
        </w:tc>
      </w:tr>
    </w:tbl>
    <w:p>
      <w:pPr>
        <w:spacing w:after="0"/>
      </w:pPr>
    </w:p>
    <w:p>
      <w:pPr>
        <w:pStyle w:val="Heading2"/>
      </w:pPr>
      <w:r>
        <w:t>Предлагаемая рабочая группа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«ECO‑PPA — комплексное устойчивое развитие территорий Российской Федерации» — межкомиссионная и межведомственная рабочая группа с участием Правительства, профильных ведомств, пилотных регионов, науки, бизнеса и общественных организаций.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Руководитель — председатель профильной комиссии Госсовета.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Заместитель от федерального центра — представитель Правительства Российской Федерации.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Заместитель от регионов — глава пилотного субъекта.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Ответственный секретарь — представитель аппарата Госсовета или Администрации Президента.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СПЕЦЗАЩИТА — кандидат на функции кооперационного проектного офиса после комплексной проверки.</w:t>
      </w:r>
    </w:p>
    <w:p>
      <w:pPr>
        <w:pStyle w:val="Heading1"/>
      </w:pPr>
      <w:r>
        <w:t>15. Партнёрский контур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3800"/>
        <w:gridCol w:w="2760"/>
      </w:tblGrid>
      <w:tr>
        <w:trPr>
          <w:tblHeader w:val="true"/>
          <w:cantSplit/>
        </w:trPr>
        <w:tc>
          <w:tcPr>
            <w:tcW w:type="dxa" w:w="2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Участник</w:t>
            </w:r>
          </w:p>
        </w:tc>
        <w:tc>
          <w:tcPr>
            <w:tcW w:type="dxa" w:w="38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Предлагаемая роль</w:t>
            </w:r>
          </w:p>
        </w:tc>
        <w:tc>
          <w:tcPr>
            <w:tcW w:type="dxa" w:w="27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Необходимое оформление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ТПП РФ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Деловой и промышленный контур, региональные палаты, кооперация предприятий.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Соглашение, рабочая группа, реестр предприятий и запросов.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АСИ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Отбор инициатив, региональные практики, поддержка пилотов и масштабирование.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Экспертное рассмотрение и паспорт инициативы.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РСПП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Крупный бизнес, отраслевые объединения, промышленная кооперация.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Отраслевая сессия и пул партнёров.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РАН, университеты, научные центры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Научная экспертиза, исследования, испытания, методики.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Технические задания и независимые заключения.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Институты развития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Финансирование, гарантии, меры поддержки, проектная подготовка.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Соответствие мандату и требованиям конкретного института.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Банки и инвесторы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Проектное финансирование и оценка рисков.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Банкуемый пакет и независимая проверка.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Регионы и муниципалитеты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Заказ, площадки, штабы, эксплуатация и данные.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Решения уполномоченных органов и проектные соглашения.</w:t>
            </w:r>
          </w:p>
        </w:tc>
      </w:tr>
      <w:tr>
        <w:trPr>
          <w:cantSplit/>
        </w:trPr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Общественные организации и СФЕРА</w:t>
            </w:r>
          </w:p>
        </w:tc>
        <w:tc>
          <w:tcPr>
            <w:tcW w:type="dxa" w:w="3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Инициативы, участие жителей, обратная связь и контроль.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Регламент участия и защита персональных данных.</w:t>
            </w:r>
          </w:p>
        </w:tc>
      </w:tr>
    </w:tbl>
    <w:p>
      <w:pPr>
        <w:spacing w:after="0"/>
      </w:pPr>
    </w:p>
    <w:p>
      <w:pPr>
        <w:pStyle w:val="Heading1"/>
      </w:pPr>
      <w:r>
        <w:t>16. Система показателей</w:t>
      </w:r>
    </w:p>
    <w:p>
      <w:pPr>
        <w:spacing w:after="120" w:line="264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Каждый проект получает базовую линию, целевое значение, источник данных, периодичность измерения, владельца показателя и независимого верификатора. Набор показателей формируется пропорционально масштабу и рискам проекта.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5000"/>
        <w:gridCol w:w="2160"/>
      </w:tblGrid>
      <w:tr>
        <w:trPr>
          <w:tblHeader w:val="true"/>
          <w:cantSplit/>
        </w:trPr>
        <w:tc>
          <w:tcPr>
            <w:tcW w:type="dxa" w:w="22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Группа</w:t>
            </w:r>
          </w:p>
        </w:tc>
        <w:tc>
          <w:tcPr>
            <w:tcW w:type="dxa" w:w="50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Примеры показателей</w:t>
            </w:r>
          </w:p>
        </w:tc>
        <w:tc>
          <w:tcPr>
            <w:tcW w:type="dxa" w:w="21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Природа</w:t>
            </w:r>
          </w:p>
        </w:tc>
        <w:tc>
          <w:tcPr>
            <w:tcW w:type="dxa" w:w="5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Качество воды и почвы, выбросы, отходы, биоразнообразие, восстановленная площадь.</w:t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Подтверждение экологического эффекта.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Ресурсы и энергия</w:t>
            </w:r>
          </w:p>
        </w:tc>
        <w:tc>
          <w:tcPr>
            <w:tcW w:type="dxa" w:w="5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Локальная генерация, надёжность, повторное использование воды, возврат материалов.</w:t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Оценка ресурсной устойчивости.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Экономика</w:t>
            </w:r>
          </w:p>
        </w:tc>
        <w:tc>
          <w:tcPr>
            <w:tcW w:type="dxa" w:w="5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Инвестиции, локализация, рабочие места, производительность, стоимость жизненного цикла.</w:t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Оценка экономической состоятельности.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Человек</w:t>
            </w:r>
          </w:p>
        </w:tc>
        <w:tc>
          <w:tcPr>
            <w:tcW w:type="dxa" w:w="5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Безопасность, здоровье среды, доступность услуг, обучение, участие жителей.</w:t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Оценка общественного результата.</w:t>
            </w:r>
          </w:p>
        </w:tc>
      </w:tr>
      <w:tr>
        <w:trPr>
          <w:cantSplit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Управление</w:t>
            </w:r>
          </w:p>
        </w:tc>
        <w:tc>
          <w:tcPr>
            <w:tcW w:type="dxa" w:w="5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Сроки, бюджет, качество данных, исполнение обязательств, инциденты.</w:t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Оценка управляемости и доверия.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8EEF5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E74B5"/>
                <w:sz w:val="18"/>
              </w:rPr>
              <w:t>СТАНДАРТ РАЗВИТИЯ ЧЕЛОВЕКА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Для социального контура может применяться система из 19 стандартов и 260 измеримых показателей. Это отдельный нормативно-концептуальный проект; для каждого пилота выбирается релевантная подвыборка, а не автоматически все 260 показателей.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17. Риски и защитные механизмы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3500"/>
        <w:gridCol w:w="3560"/>
      </w:tblGrid>
      <w:tr>
        <w:trPr>
          <w:tblHeader w:val="true"/>
          <w:cantSplit/>
        </w:trPr>
        <w:tc>
          <w:tcPr>
            <w:tcW w:type="dxa" w:w="23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Риск</w:t>
            </w:r>
          </w:p>
        </w:tc>
        <w:tc>
          <w:tcPr>
            <w:tcW w:type="dxa" w:w="35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Проявление</w:t>
            </w:r>
          </w:p>
        </w:tc>
        <w:tc>
          <w:tcPr>
            <w:tcW w:type="dxa" w:w="35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Защитный механизм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Правовой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Заявленные полномочия, права или механизмы не оформлены.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Правовая карта, проверка полномочий, договоры, разрешения.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Репутационный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Создаётся впечатление уже полученной государственной поддержки.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Точное обозначение статуса концепции; запрет на неподтверждённые формулировки.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Технологический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Заявленные характеристики не подтверждаются в реальных условиях.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Испытания, контрольная группа, независимый научно-технический совет.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Финансовый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Недостаток средств, завышенная оценка, кассовый разрыв.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Этапное финансирование, независимая оценка, резерв и сценарии.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Конфликт интересов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Один участник одновременно продаёт, оценивает и подтверждает результат.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Разделение собственника, оператора, заказчика, инвестора и верификатора.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Данные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Неполные, несопоставимые или зависимые данные.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Метрология, паспорт источника, контроль качества, журнал изменений.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Экологический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Непредвиденное негативное воздействие.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Оценка жизненного цикла, мониторинг, план остановки и восстановления.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Операционный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Срыв поставок, кадров или сроков.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Резервные поставщики, кадровый резерв, управление критическим путём.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Социальный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Отсутствие доверия жителей или неравномерное распределение выгод.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Раннее участие, общественный контроль, прозрачные критерии результата.</w:t>
            </w:r>
          </w:p>
        </w:tc>
      </w:tr>
      <w:tr>
        <w:trPr>
          <w:cantSplit/>
        </w:trP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Масштабирования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Пилот работает только в уникальных условиях.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7"/>
              </w:rPr>
              <w:t>Типизация, анализ переносимости, эксплуатационные регламенты.</w:t>
            </w:r>
          </w:p>
        </w:tc>
      </w:tr>
    </w:tbl>
    <w:p>
      <w:pPr>
        <w:spacing w:after="0"/>
      </w:pPr>
    </w:p>
    <w:p>
      <w:pPr>
        <w:pStyle w:val="Heading2"/>
      </w:pPr>
      <w:r>
        <w:t>Условия допуска к государственному пилоту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Подтверждены юридическое лицо, полномочия и корпоративные решения.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Подтверждены права на технологии, активы, данные и оборудование.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Определены заказчик, оператор, исполнители, собственники, инвесторы и верификаторы.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Зафиксированы базовые показатели и методика расчёта эффекта до начала работ.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Проведены закупки и отбор исполнителей в соответствии с применимым законодательством.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Сформированы бюджет, источники средств, резервы и порядок прекращения проекта.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Предусмотрены независимый аудит, комплаенс и публичная отчётность.</w:t>
      </w:r>
    </w:p>
    <w:p>
      <w:pPr>
        <w:pStyle w:val="Heading1"/>
      </w:pPr>
      <w:r>
        <w:t>18. Дорожная карта 2026–2028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4900"/>
        <w:gridCol w:w="2560"/>
      </w:tblGrid>
      <w:tr>
        <w:trPr>
          <w:tblHeader w:val="true"/>
          <w:cantSplit/>
        </w:trPr>
        <w:tc>
          <w:tcPr>
            <w:tcW w:type="dxa" w:w="1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49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Ключевые действия</w:t>
            </w:r>
          </w:p>
        </w:tc>
        <w:tc>
          <w:tcPr>
            <w:tcW w:type="dxa" w:w="25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Контрольный результат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III–IV кварталы 2026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Инвентаризация участников, документов, технологий и пилотных территорий; создание проектного офиса; предварительная экспертиза.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Проверенный базовый пакет и решение о допуске к подготовке.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I–II кварталы 2027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Формирование межкомиссионной группы; выбор 3–5 территорий; паспорта и базовые показатели; договорная и финансовая модель.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Утверждённые паспорта пилотов.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III–IV кварталы 2027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Проектирование, производство, закупки, строительство и запуск первой очереди; обучение команд.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Работающие объекты и первичные данные.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I–II кварталы 2028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Эксплуатация, корректировка, независимая верификация и оценка переносимости.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Подтверждённый отчёт о результатах и рисках.</w:t>
            </w:r>
          </w:p>
        </w:tc>
      </w:tr>
      <w:tr>
        <w:trPr>
          <w:cantSplit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III–IV кварталы 2028</w:t>
            </w:r>
          </w:p>
        </w:tc>
        <w:tc>
          <w:tcPr>
            <w:tcW w:type="dxa" w:w="4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Подготовка типовых пакетов, предложений по нормативному обеспечению и финансированию; рассмотрение на Президиуме Госсовета.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Решение о федеральном масштабировании.</w:t>
            </w:r>
          </w:p>
        </w:tc>
      </w:tr>
    </w:tbl>
    <w:p>
      <w:pPr>
        <w:spacing w:after="0"/>
      </w:pPr>
    </w:p>
    <w:p>
      <w:pPr>
        <w:pStyle w:val="Heading1"/>
      </w:pPr>
      <w:r>
        <w:t>19. Предлагаемые решения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3EE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F6B4F"/>
                <w:sz w:val="18"/>
              </w:rPr>
              <w:t>ГЛАВНЫЙ ЗАПРОС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Не предоставление исключительного статуса, а создание прозрачного институционального маршрута: рабочая группа → экспертиза → пилот → измеримый результат → решение о масштабировании.</w:t>
            </w:r>
          </w:p>
        </w:tc>
      </w:tr>
    </w:tbl>
    <w:p>
      <w:pPr>
        <w:spacing w:after="0"/>
      </w:pP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Принять настоящий доклад к рассмотрению профильными комиссиями Государственного Совета.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Поддержать проведение межкомиссионной стратегической сессии по модели ECO‑PPA и СПЕЦЗАЩИТЫ.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Поручить сформировать межведомственную рабочую группу и определить федерального координатора.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Провести комплексную независимую экспертизу организации, технологий, прав, активов, финансовой модели и пилотных площадок.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Отобрать 3–5 пилотных территорий и сформировать их паспорта.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Утвердить единые требования к данным, показателям, верификации и публичной отчётности.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Разработать порядок финансирования пилотов с разделением рисков и этапными контрольными точками.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Представить промежуточный доклад через шесть месяцев после запуска внедрения.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 завершении 18‑месячного цикла представить предложения о федеральном масштабировании.</w:t>
      </w:r>
    </w:p>
    <w:p>
      <w:pPr>
        <w:pStyle w:val="Heading1"/>
      </w:pPr>
      <w:r>
        <w:t>Приложение 1. Проект поручений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Правительству Российской Федерации совместно с профильными комиссиями Государственного Совета рассмотреть концепцию межрегиональной программы комплексного устойчивого развития территорий на основе ECO‑PPA.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Определить федеральный орган-координатор и состав межведомственной рабочей группы.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Обеспечить проведение независимой правовой, финансовой, научно-технической и экологической экспертизы материалов СПЕЦЗАЩИТЫ.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Представить предложения по перечню пилотных субъектов Российской Федерации и критериям их отбора.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Утвердить требования к паспортам территорий, технологиям, финансовым моделям, данным и верификации.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Обеспечить формирование цифрового мониторинга пилотных проектов с соблюдением требований информационной безопасности и законодательства о данных.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Представить доклад о готовности пилотов и необходимых нормативных решениях.</w:t>
      </w:r>
    </w:p>
    <w:p>
      <w:pPr>
        <w:pStyle w:val="ListNumber"/>
        <w:spacing w:after="10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 итогам пилотирования представить предложения о масштабировании доказанных решений.</w:t>
      </w:r>
    </w:p>
    <w:p>
      <w:pPr>
        <w:pStyle w:val="Heading1"/>
      </w:pPr>
      <w:r>
        <w:t>Приложение 2. Матрица ответственности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4200"/>
        <w:gridCol w:w="2660"/>
      </w:tblGrid>
      <w:tr>
        <w:trPr>
          <w:tblHeader w:val="true"/>
          <w:cantSplit/>
        </w:trPr>
        <w:tc>
          <w:tcPr>
            <w:tcW w:type="dxa" w:w="25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Участник</w:t>
            </w:r>
          </w:p>
        </w:tc>
        <w:tc>
          <w:tcPr>
            <w:tcW w:type="dxa" w:w="420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Ответственность</w:t>
            </w:r>
          </w:p>
        </w:tc>
        <w:tc>
          <w:tcPr>
            <w:tcW w:type="dxa" w:w="266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Президент / Госсовет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Стратегическое решение, согласование уровней публичной власти.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Политико-управленческий мандат.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Правительство РФ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Межведомственная координация и нормативное обеспечение.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Согласованная программа.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Профильные ведомства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Отраслевая экспертиза и государственные меры.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Регуляторная и программная поддержка.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Губернаторы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Руководство региональными пилотами.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Достижение территориальных показателей.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Муниципалитеты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Площадки, объекты, взаимодействие с жителями, эксплуатация.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Работающие решения на территории.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ECO‑PPA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Программная, ресурсная и договорная рамка.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Собранные обязательства и ресурсы.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СПЕЦЗАЩИТА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Кооперация исполнителей и управление внедрением.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Поставка, строительство, запуск, сервис.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ЭКВИЛИБРИУМ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Данные, аналитика, прогнозирование и архив доказательств.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Прослеживаемый результат.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СФЕРА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Инициативы, общественное участие и коммуникация.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Обратная связь и доверие.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Наука и независимый аудит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Проверка технологии, методики и результата.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Доказательность и снижение рисков.</w:t>
            </w:r>
          </w:p>
        </w:tc>
      </w:tr>
      <w:tr>
        <w:trPr>
          <w:cantSplit/>
        </w:trP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Бизнес и инвесторы</w:t>
            </w:r>
          </w:p>
        </w:tc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Капитал, технологии, производство и компетенции.</w:t>
            </w:r>
          </w:p>
        </w:tc>
        <w:tc>
          <w:tcPr>
            <w:tcW w:type="dxa" w:w="2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Финансирование и масштабирование.</w:t>
            </w:r>
          </w:p>
        </w:tc>
      </w:tr>
    </w:tbl>
    <w:p>
      <w:pPr>
        <w:spacing w:after="0"/>
      </w:pPr>
    </w:p>
    <w:p>
      <w:pPr>
        <w:pStyle w:val="Heading1"/>
      </w:pPr>
      <w:r>
        <w:t>Приложение 3. Пакет документов следующего уровня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Устав и корпоративные решения по целевой модели СПЕЦЗАЩИТЫ.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Организационная структура и положения об органах управления.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Реестр членов, участников, партнёров, компетенций и полномочий.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Положение о 19 кооперативных участках.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Методика квалификации и допуска проектов.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Положение о проектном комитете и научно-техническом совете.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Политика конфликта интересов, комплаенса и проверки контрагентов.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Финансовая политика, казначейство и раздельный учёт.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Архитектура ЭКВИЛИБРИУМ, модель данных и требования информационной безопасности.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Реестр технологий с правами, готовностью, испытаниями и сертификатами.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Паспорта пилотных территорий и 3–5 проектов первой очереди.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Финансовая модель, источники средств и распределение рисков.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Методика оценки экологического, социального и экономического эффекта.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Положение о независимой верификации.</w:t>
      </w:r>
    </w:p>
    <w:p>
      <w:pPr>
        <w:pStyle w:val="ListBullet"/>
        <w:spacing w:after="80" w:line="280" w:lineRule="auto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Проект соглашения о межкомиссионной и межведомственной рабочей группе.</w:t>
      </w:r>
    </w:p>
    <w:p>
      <w:r>
        <w:br w:type="page"/>
      </w:r>
    </w:p>
    <w:p>
      <w:pPr>
        <w:pStyle w:val="Heading1"/>
      </w:pPr>
      <w:r>
        <w:t>Приложение 4. Определено и требует подтверждения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cantSplit/>
        </w:trPr>
        <w:tc>
          <w:tcPr>
            <w:tcW w:type="dxa" w:w="468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Определено концепцией</w:t>
            </w:r>
          </w:p>
        </w:tc>
        <w:tc>
          <w:tcPr>
            <w:tcW w:type="dxa" w:w="4680"/>
            <w:shd w:fill="16324A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Требует подтверждения и оформления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Миссия, принципы и роль кооперационной организации исполнения.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Точная организационно-правовая конструкция и соответствие действующему уставу.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Архитектура ЭКВИЛИБРИУМ — СФЕРА — ECO‑PPA — СПЕЦЗАЩИТА.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Права, владельцы, договоры интеграции и режимы данных.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Перечень 19 кооперативных участков как рабочая модель.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Корпоративное утверждение, положения, руководители и ресурсы.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Семистадийный жизненный цикл проектов.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Регламенты, формы документов и полномочия органов допуска.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Пилотная связка Сызрань — Рамено — Смолькино.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Площадки, заинтересованность, права, объекты и ответственные.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Направления: экомодули, мини‑генерация, биоценозы, материалы и мониторинг.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Конкретные технологии, собственники, характеристики, испытания и экономика.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Маршрут через комиссии Госсовета.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Согласие комиссий, федерального координатора и пилотных регионов.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Принцип независимой верификации.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6F8FA"/>
          </w:tcPr>
          <w:p>
            <w:pPr>
              <w:spacing w:after="0" w:line="252" w:lineRule="auto"/>
            </w:pPr>
            <w:r>
              <w:rPr>
                <w:rFonts w:ascii="Calibri" w:hAnsi="Calibri" w:eastAsia="Calibri"/>
                <w:b w:val="0"/>
                <w:i w:val="0"/>
                <w:color w:val="20262D"/>
                <w:sz w:val="18"/>
              </w:rPr>
              <w:t>Организации-валидаторы, аккредитация, методики и финансирование проверки.</w:t>
            </w:r>
          </w:p>
        </w:tc>
      </w:tr>
    </w:tbl>
    <w:p>
      <w:pPr>
        <w:spacing w:after="0"/>
      </w:pPr>
    </w:p>
    <w:p>
      <w:pPr>
        <w:pStyle w:val="Heading1"/>
      </w:pPr>
      <w:r>
        <w:t>Итоговая позиция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3EE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 w:line="259" w:lineRule="auto"/>
            </w:pPr>
            <w:r>
              <w:rPr>
                <w:rFonts w:ascii="Calibri" w:hAnsi="Calibri" w:eastAsia="Calibri"/>
                <w:b/>
                <w:i w:val="0"/>
                <w:color w:val="2F6B4F"/>
                <w:sz w:val="18"/>
              </w:rPr>
              <w:t>ФОРМУЛА ДОКЛАДА</w:t>
              <w:br/>
            </w:r>
            <w:r>
              <w:rPr>
                <w:rFonts w:ascii="Calibri" w:hAnsi="Calibri" w:eastAsia="Calibri"/>
                <w:b/>
                <w:i w:val="0"/>
                <w:color w:val="16324A"/>
                <w:sz w:val="24"/>
              </w:rPr>
              <w:t>СПЕЦЗАЩИТА — не новая надстройка над органами власти и не владелец всех решений. Это кооперационная организация исполнения, которая по прозрачным правилам собирает лучшую доступную кооперацию под конкретную задачу, доводит проект до работающего результата и передаёт государству, территории и обществу проверяемые основания для масштабирования.</w:t>
            </w:r>
          </w:p>
        </w:tc>
      </w:tr>
    </w:tbl>
    <w:p>
      <w:pPr>
        <w:spacing w:after="0"/>
      </w:pPr>
    </w:p>
    <w:p>
      <w:pPr>
        <w:spacing w:after="120" w:line="264" w:lineRule="auto"/>
        <w:jc w:val="both"/>
      </w:pPr>
      <w:r>
        <w:rPr>
          <w:rFonts w:ascii="Calibri" w:hAnsi="Calibri" w:eastAsia="Calibri"/>
          <w:b w:val="0"/>
          <w:i w:val="0"/>
          <w:color w:val="000000"/>
          <w:sz w:val="22"/>
        </w:rPr>
        <w:t>Предлагаемый путь — начать не с декларации федерального статуса, а с комплексной проверки, ограниченного пилота, независимого измерения и доказанного результата. Именно такая последовательность создаёт доверие и превращает концепцию в институт развития.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440" w:bottom="1152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center"/>
      <w:tblLook w:firstColumn="1" w:firstRow="1" w:lastColumn="0" w:lastRow="0" w:noHBand="0" w:noVBand="1" w:val="04A0"/>
      <w:tblInd w:w="0" w:type="dxa"/>
    </w:tblPr>
    <w:tblGrid>
      <w:gridCol w:w="7600"/>
      <w:gridCol w:w="1760"/>
    </w:tblGrid>
    <w:tr>
      <w:tc>
        <w:tcPr>
          <w:tcW w:type="dxa" w:w="7600"/>
        </w:tcPr>
        <w:p>
          <w:r>
            <w:rPr>
              <w:rFonts w:ascii="Calibri" w:hAnsi="Calibri" w:eastAsia="Calibri"/>
              <w:b w:val="0"/>
              <w:i w:val="0"/>
              <w:color w:val="5B6570"/>
              <w:sz w:val="16"/>
            </w:rPr>
            <w:t>Стратегический доклад для государственного и экспертного рассмотрения</w:t>
          </w:r>
        </w:p>
      </w:tc>
      <w:tc>
        <w:tcPr>
          <w:tcW w:type="dxa" w:w="1760"/>
        </w:tcPr>
        <w:p>
          <w:pPr>
            <w:jc w:val="right"/>
          </w:pPr>
          <w:r>
            <w:rPr>
              <w:rFonts w:ascii="Calibri" w:hAnsi="Calibri" w:eastAsia="Calibri"/>
              <w:b w:val="0"/>
              <w:i w:val="0"/>
              <w:color w:val="5B6570"/>
              <w:sz w:val="16"/>
            </w:rPr>
            <w:t xml:space="preserve">Стр. </w:t>
          </w:r>
          <w:r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5B6570"/>
        <w:sz w:val="18"/>
      </w:rPr>
      <w:t>СПЕЦЗАЩИТА · ECO‑PPA · ЭКВИЛИБРИУМ · СФЕРА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0262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6324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632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b w:val="0"/>
      <w:i/>
      <w:iCs/>
      <w:color w:val="5B657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280" w:lineRule="auto"/>
      <w:ind w:left="1080" w:hanging="360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СПЕЦЗАЩИТА</dc:title>
  <dc:subject>Кооперационная организация исполнения национальных и межрегиональных программ</dc:subject>
  <dc:creator>Соколов Сергей Леонидович</dc:creator>
  <cp:keywords>СПЕЦЗАЩИТА, ECO-PPA, ЭКВИЛИБРИУМ, СФЕРА, Госсовет, биоценозы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