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rPr>
          <w:rFonts w:ascii="Calibri" w:hAnsi="Calibri"/>
          <w:b/>
          <w:i w:val="0"/>
          <w:color w:val="A77A18"/>
          <w:sz w:val="20"/>
        </w:rPr>
        <w:t>СТРАТЕГИЧЕСКАЯ ЗАПИСКА</w:t>
      </w:r>
    </w:p>
    <w:p>
      <w:pPr>
        <w:pStyle w:val="Title"/>
        <w:jc w:val="center"/>
      </w:pPr>
      <w:r>
        <w:t>МЫ НА ГОССОВЕТЕ</w:t>
      </w:r>
    </w:p>
    <w:p>
      <w:pPr>
        <w:pStyle w:val="Subtitle"/>
        <w:jc w:val="center"/>
      </w:pPr>
      <w:r>
        <w:t>Место программы СПЕЦЗАЩИТА — ECO‑PPA — ЭКВИЛИБРИУМ в структуре Государственного Совета Российской Федерации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77A18"/>
                <w:sz w:val="18"/>
              </w:rPr>
              <w:t>ГЛАВНАЯ ПОЗИЦИЯ</w:t>
              <w:br/>
            </w:r>
            <w:r>
              <w:rPr>
                <w:rFonts w:ascii="Calibri" w:hAnsi="Calibri"/>
                <w:b/>
                <w:i w:val="0"/>
                <w:color w:val="18324A"/>
                <w:sz w:val="24"/>
              </w:rPr>
              <w:t>Не отдельный коммерческий проект, а межрегиональная программа экологического, энергетического, промышленного и инфраструктурного развития России.</w:t>
            </w:r>
          </w:p>
        </w:tc>
      </w:tr>
    </w:tbl>
    <w:p>
      <w:pPr>
        <w:spacing w:after="0"/>
      </w:pPr>
    </w:p>
    <w:p>
      <w:pPr>
        <w:spacing w:before="480"/>
        <w:jc w:val="center"/>
      </w:pPr>
      <w:r>
        <w:rPr>
          <w:rFonts w:ascii="Calibri" w:hAnsi="Calibri"/>
          <w:b w:val="0"/>
          <w:i/>
          <w:color w:val="5B6570"/>
          <w:sz w:val="20"/>
        </w:rPr>
        <w:t>Подготовлено для предварительного межведомственного и экспертного обсуждения</w:t>
      </w:r>
    </w:p>
    <w:p>
      <w:pPr>
        <w:jc w:val="center"/>
      </w:pPr>
      <w:r>
        <w:rPr>
          <w:rFonts w:ascii="Calibri" w:hAnsi="Calibri"/>
          <w:b/>
          <w:i w:val="0"/>
          <w:color w:val="18324A"/>
          <w:sz w:val="20"/>
        </w:rPr>
        <w:t>Август 2026 года</w:t>
      </w:r>
    </w:p>
    <w:p>
      <w:r>
        <w:br w:type="page"/>
      </w:r>
    </w:p>
    <w:p>
      <w:pPr>
        <w:pStyle w:val="Heading1"/>
      </w:pPr>
      <w:r>
        <w:t>1. Наша позиция в системе Госсовета</w:t>
      </w:r>
    </w:p>
    <w:p>
      <w:r>
        <w:t>Государственный Совет является для программы верхним стратегическим контуром согласования федеральных, региональных и муниципальных решений. Наша задача — войти не с просьбой о поддержке отдельной организации, а с доказуемой моделью решения межотраслевых государственных задач.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Контур</w:t>
            </w:r>
          </w:p>
        </w:tc>
        <w:tc>
          <w:tcPr>
            <w:tcW w:type="dxa" w:w="716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Роль в программе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ECO‑PPA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Механизм формирования, ресурсного обеспечения и реализации комплексных программ.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СПЕЦЗАЩИТА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Кооперационный оператор исполнения, объединяющий предприятия, технологии и региональные площадки.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ЭКВИЛИБРИУМ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Система наблюдения, прогнозирования, цифровых паспортов и верификации результатов.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СФЕРА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Общественный контур инициатив, коммуникации и участия граждан.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Экомодули и мини‑генерация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Первые предметные продукты для пилотного внедрения и подтверждения эффекта.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77A18"/>
                <w:sz w:val="18"/>
              </w:rPr>
              <w:t>КЛЮЧЕВОЙ ЗАПРОС</w:t>
              <w:br/>
            </w:r>
            <w:r>
              <w:rPr>
                <w:rFonts w:ascii="Calibri" w:hAnsi="Calibri"/>
                <w:b/>
                <w:i w:val="0"/>
                <w:color w:val="18324A"/>
                <w:sz w:val="24"/>
              </w:rPr>
              <w:t>Создать межкомиссионную рабочую группу, провести независимую экспертизу и запустить пилоты в 3–5 субъектах Российской Федерации.</w:t>
            </w:r>
          </w:p>
        </w:tc>
      </w:tr>
    </w:tbl>
    <w:p>
      <w:pPr>
        <w:spacing w:after="0"/>
      </w:pPr>
    </w:p>
    <w:p>
      <w:pPr>
        <w:pStyle w:val="Heading1"/>
      </w:pPr>
      <w:r>
        <w:t>2. Ведущий контур комиссий Госсовета</w:t>
      </w:r>
    </w:p>
    <w:p>
      <w:r>
        <w:t>Базовой точкой входа предлагается определить комиссию по направлению «Экологическое благополучие». Одновременно программа требует межкомиссионной сборки, поскольку объединяет экологию, энергетику, промышленность, инфраструктуру, данные и инвестиции.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050"/>
        <w:gridCol w:w="4110"/>
      </w:tblGrid>
      <w:tr>
        <w:tc>
          <w:tcPr>
            <w:tcW w:type="dxa" w:w="22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Комиссия</w:t>
            </w:r>
          </w:p>
        </w:tc>
        <w:tc>
          <w:tcPr>
            <w:tcW w:type="dxa" w:w="305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Наш предмет</w:t>
            </w:r>
          </w:p>
        </w:tc>
        <w:tc>
          <w:tcPr>
            <w:tcW w:type="dxa" w:w="411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Ожидаемое решение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Экологическое благополучие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ECO‑PPA, экомодули, восстановление территорий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Ведущая комиссия; постановка межрегионального экологического пилота.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Энергетика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Мини‑генерация, автономные энергокомплексы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Пилоты распределённой энергетики и требования к подключению.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Промышленность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Производственная кооперация, материалы, локализация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Реестр производителей и программа серийного выпуска.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Технологическое лидерство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ЭКВИЛИБРИУМ, новые технологии, НИОКР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Независимая технологическая экспертиза и программа испытаний.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Инфраструктура для жизни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Комплексное развитие территорий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Включение решений в мастер‑планы и инфраструктурные проекты.</w:t>
            </w:r>
          </w:p>
        </w:tc>
      </w:tr>
      <w:t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Инвестиции</w:t>
            </w:r>
          </w:p>
        </w:tc>
        <w:tc>
          <w:tcPr>
            <w:tcW w:type="dxa" w:w="3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Проектное финансирование, ГЧП, концессии</w:t>
            </w:r>
          </w:p>
        </w:tc>
        <w:tc>
          <w:tcPr>
            <w:tcW w:type="dxa" w:w="41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Финансовая модель и фондирование пилотных проектов.</w:t>
            </w:r>
          </w:p>
        </w:tc>
      </w:tr>
    </w:tbl>
    <w:p>
      <w:pPr>
        <w:spacing w:after="0"/>
      </w:pPr>
    </w:p>
    <w:p>
      <w:pPr>
        <w:pStyle w:val="Heading1"/>
      </w:pPr>
      <w:r>
        <w:t>3. Поддерживающие комиссии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3350"/>
        <w:gridCol w:w="4460"/>
      </w:tblGrid>
      <w:tr>
        <w:tc>
          <w:tcPr>
            <w:tcW w:type="dxa" w:w="155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Блок</w:t>
            </w:r>
          </w:p>
        </w:tc>
        <w:tc>
          <w:tcPr>
            <w:tcW w:type="dxa" w:w="335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Комиссии</w:t>
            </w:r>
          </w:p>
        </w:tc>
        <w:tc>
          <w:tcPr>
            <w:tcW w:type="dxa" w:w="446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Задачи программы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Финансы и экономика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Экономика и финансы; Эффективная и конкурентная экономика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Бюджетные и внебюджетные механизмы, окупаемость, производительность, МСП.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Управление и данные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Государственное и муниципальное управление; Экономика данных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Регламенты взаимодействия, цифровые паспорта, мониторинг показателей.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Территории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Сельское хозяйство; Северный морской путь и Арктика; Транспорт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АПК, удалённые территории, логистика и устойчивость снабжения.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Человек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Кадры; Семья; Молодёжь и дети; Продолжительная и активная жизнь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Кадровая программа, здоровье, занятость, вовлечение семей и молодёжи.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Международный контур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Международная кооперация и экспорт; Туризм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Экспорт решений, сотрудничество с БРИКС, экологические и научные кластеры.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Ценности</w:t>
            </w:r>
          </w:p>
        </w:tc>
        <w:tc>
          <w:tcPr>
            <w:tcW w:type="dxa" w:w="3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Культура и традиционные духовно-нравственные ценности; Спорт</w:t>
            </w:r>
          </w:p>
        </w:tc>
        <w:tc>
          <w:tcPr>
            <w:tcW w:type="dxa" w:w="4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Образ будущего, солидарность, ответственное отношение к природе.</w:t>
            </w:r>
          </w:p>
        </w:tc>
      </w:tr>
    </w:tbl>
    <w:p>
      <w:pPr>
        <w:spacing w:after="0"/>
      </w:pPr>
    </w:p>
    <w:p>
      <w:pPr>
        <w:pStyle w:val="Heading1"/>
      </w:pPr>
      <w:r>
        <w:t>4. Предлагаемая межкомиссионная рабочая группа</w:t>
      </w:r>
    </w:p>
    <w:p>
      <w:pPr>
        <w:pStyle w:val="Heading2"/>
      </w:pPr>
      <w:r>
        <w:t>Название</w:t>
      </w:r>
    </w:p>
    <w:p>
      <w:r>
        <w:t>«ECO‑PPA — комплексное устойчивое развитие территорий Российской Федерации».</w:t>
      </w:r>
    </w:p>
    <w:p>
      <w:pPr>
        <w:pStyle w:val="Heading2"/>
      </w:pPr>
      <w:r>
        <w:t>Руководство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Руководитель — председатель профильной комиссии Госсовета.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Заместитель от федерального центра — представитель Правительства Российской Федерации.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Заместитель от регионов — глава пилотного субъекта Российской Федерации.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Ответственный секретарь — представитель аппарата Госсовета или Администрации Президента.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СПЕЦЗАЩИТА — кандидат на функции оператора проектного офиса после правовой, финансовой и технологической проверки.</w:t>
      </w:r>
    </w:p>
    <w:p>
      <w:pPr>
        <w:pStyle w:val="Heading2"/>
      </w:pPr>
      <w:r>
        <w:t>Участники</w:t>
      </w:r>
    </w:p>
    <w:p>
      <w:r>
        <w:t>Минэкономразвития, Минприроды, Минэнерго, Минпромторг, Минстрой, Минфин, Минцифры, Минобрнауки, Минсельхоз, Минтранс, Росприроднадзор, Росстандарт, институты развития, пилотные регионы, муниципалитеты, ТПП РФ, РСПП, АСИ, научные организации и технологические компании.</w:t>
      </w:r>
    </w:p>
    <w:p>
      <w:pPr>
        <w:pStyle w:val="Heading1"/>
      </w:pPr>
      <w:r>
        <w:t>5. Внутренняя структура нашей программы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460"/>
      </w:tblGrid>
      <w:tr>
        <w:tc>
          <w:tcPr>
            <w:tcW w:type="dxa" w:w="29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Рабочий орган</w:t>
            </w:r>
          </w:p>
        </w:tc>
        <w:tc>
          <w:tcPr>
            <w:tcW w:type="dxa" w:w="646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Основная функция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Стратегический совет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Цели, национальные приоритеты, выбор регионов, решения для внесения в Госсовет.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Федеральный программный комитет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Межведомственное согласование, нормативное регулирование и государственные программы.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Научно-технологический совет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Испытания, сертификация, технологическая готовность и доказательность.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Инвестиционно-финансовый комитет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ГЧП, концессии, лизинг, энергосервис, банки и институты развития.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Промышленно-кооперационный комитет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Реестр предприятий, заказы, локализация, качество и серийное производство.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Комитет территориального развития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Отбор территорий, обследование, мастер-планы и региональные паспорта.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Комитет данных и верификации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ЭКВИЛИБРИУМ: показатели, цифровые двойники, мониторинг и отчётность.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Общественно-экспертный совет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СФЕРА: инициативы, обратная связь и общественный контроль.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Региональные штабы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Внедрение под руководством губернаторов.</w:t>
            </w:r>
          </w:p>
        </w:tc>
      </w:tr>
      <w:tr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Муниципальные офисы</w:t>
            </w:r>
          </w:p>
        </w:tc>
        <w:tc>
          <w:tcPr>
            <w:tcW w:type="dxa" w:w="64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Объекты, земля, документация, строительство и эксплуатация.</w:t>
            </w:r>
          </w:p>
        </w:tc>
      </w:tr>
    </w:tbl>
    <w:p>
      <w:pPr>
        <w:spacing w:after="0"/>
      </w:pPr>
    </w:p>
    <w:p>
      <w:pPr>
        <w:pStyle w:val="Heading1"/>
      </w:pPr>
      <w:r>
        <w:t>6. Комитеты Федерального Собрания</w:t>
      </w:r>
    </w:p>
    <w:p>
      <w:r>
        <w:t>В самом Госсовете основными рабочими органами являются комиссии и рабочие группы. Комитеты Государственной Думы и Совета Федерации подключаются к нормативному и бюджетному сопровождению решений.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5560"/>
      </w:tblGrid>
      <w:tr>
        <w:tc>
          <w:tcPr>
            <w:tcW w:type="dxa" w:w="38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Парламентский контур</w:t>
            </w:r>
          </w:p>
        </w:tc>
        <w:tc>
          <w:tcPr>
            <w:tcW w:type="dxa" w:w="556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Предмет сопровождения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Госдума: экология и природные ресурсы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Экологические требования, восстановление территорий, природоохранные нормативы.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Госдума: энергетика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Малая и распределённая генерация, энергосервисные модели.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Госдума: промышленность и торговля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Кооперация, локализация и меры промышленной поддержки.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Госдума: экономическая политика; финансовый рынок; бюджет и налоги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Инвестиционная модель, ЦФА, гарантии, налоговые и бюджетные инструменты.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Госдума: строительство и ЖКХ; региональная политика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Инфраструктурные пилоты, полномочия регионов и муниципалитетов.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Совет Федерации: региональная и экономическая политика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Межрегиональная модель и представительство пилотных субъектов.</w:t>
            </w:r>
          </w:p>
        </w:tc>
      </w:tr>
      <w:tr>
        <w:tc>
          <w:tcPr>
            <w:tcW w:type="dxa" w:w="3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Совет Федерации: бюджет; природопользование; наука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Финансирование, экологическое регулирование и научная экспертиза.</w:t>
            </w:r>
          </w:p>
        </w:tc>
      </w:tr>
    </w:tbl>
    <w:p>
      <w:pPr>
        <w:spacing w:after="0"/>
      </w:pPr>
    </w:p>
    <w:p>
      <w:pPr>
        <w:pStyle w:val="Heading1"/>
      </w:pPr>
      <w:r>
        <w:t>7. Маршрут выхода на Госсовет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Подготовить единый паспорт программы, финансовую модель и перечень технологий.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Получить опору одного ведущего губернатора и сформировать пул из 3–5 пилотных субъектов.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Провести предварительную независимую правовую, финансовую, экологическую и технологическую экспертизу.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Внести материалы в комиссию «Экологическое благополучие» с параллельным направлением в пять профильных комиссий.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Провести межкомиссионную стратегическую сессию с федеральными ведомствами и регионами.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Создать рабочую группу и утвердить паспорта пилотных проектов.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Запустить пилоты с исходными показателями, контрольными точками и независимой верификацией.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Представить результаты Президиуму Госсовета и подготовить перечень поручений Президента.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После подтверждения эффекта перейти к федеральному масштабированию.</w:t>
      </w:r>
    </w:p>
    <w:p>
      <w:pPr>
        <w:pStyle w:val="Heading1"/>
      </w:pPr>
      <w:r>
        <w:t>8. Пакет документов для внесения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Стратегический доклад «ECO‑PPA — комплексное устойчивое развитие территорий России».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Паспорт программы: цели, задачи, показатели, сроки, ответственные.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Организационная схема СПЕЦЗАЩИТЫ и подтверждение компетенций участников.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Архитектура ЭКВИЛИБРИУМ и требования к данным.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Реестр технологий с уровнем готовности, правами, испытаниями и сертификатами.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Паспорта пилотных регионов и муниципалитетов.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Финансовая модель с источниками средств и распределением рисков.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Правовая записка и перечень необходимых нормативных решений.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Методика оценки экологического, социального и экономического эффекта.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Проект положения о межкомиссионной рабочей группе.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Проект перечня поручений Президента Российской Федерации.</w:t>
      </w:r>
    </w:p>
    <w:p>
      <w:pPr>
        <w:pStyle w:val="Heading1"/>
      </w:pPr>
      <w:r>
        <w:t>9. Проект решений и поручений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Правительству Российской Федерации совместно с профильными комиссиями Госсовета рассмотреть концепцию межрегиональной программы ECO‑PPA.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Сформировать межведомственную и межкомиссионную рабочую группу.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Определить федеральный орган-координатор и ответственный проектный офис.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Провести комплексную независимую экспертизу технологий, активов, прав и финансовой модели.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Отобрать 3–5 субъектов Российской Федерации для пилотного внедрения.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Разработать порядок финансирования и распределения рисков пилотных проектов.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Установить единый перечень исходных и целевых показателей.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Обеспечить цифровой мониторинг и независимую верификацию результатов.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Представить промежуточный доклад через шесть месяцев после запуска пилотов.</w:t>
      </w:r>
    </w:p>
    <w:p>
      <w:pPr>
        <w:pStyle w:val="ListNumber"/>
        <w:spacing w:after="100"/>
      </w:pPr>
      <w:r>
        <w:rPr>
          <w:rFonts w:ascii="Calibri" w:hAnsi="Calibri"/>
          <w:b w:val="0"/>
          <w:i w:val="0"/>
          <w:color w:val="000000"/>
          <w:sz w:val="22"/>
        </w:rPr>
        <w:t>По итогам пилотов представить предложения о федеральном масштабировании.</w:t>
      </w:r>
    </w:p>
    <w:p>
      <w:pPr>
        <w:pStyle w:val="Heading1"/>
      </w:pPr>
      <w:r>
        <w:t>10. Ограничения и условия допуска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77A18"/>
                <w:sz w:val="18"/>
              </w:rPr>
              <w:t>ПРИНЦИП ДОВЕРИЯ</w:t>
              <w:br/>
            </w:r>
            <w:r>
              <w:rPr>
                <w:rFonts w:ascii="Calibri" w:hAnsi="Calibri"/>
                <w:b/>
                <w:i w:val="0"/>
                <w:color w:val="18324A"/>
                <w:sz w:val="24"/>
              </w:rPr>
              <w:t>Государственное решение должно опираться на проверенные права, технологии, расчёты и измеримые результаты, а не только на концептуальную убедительность.</w:t>
            </w:r>
          </w:p>
        </w:tc>
      </w:tr>
    </w:tbl>
    <w:p>
      <w:pPr>
        <w:spacing w:after="0"/>
      </w:pP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Не использовать формулировки, создающие впечатление уже полученного государственного статуса или поддержки.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Разделить собственников технологий, оператора, заказчика, инвестора, валидатора и контролёра.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Подтвердить права на интеллектуальную собственность, активы и оборудование.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Проводить закупки и отбор исполнителей в соответствии с применимым законодательством.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Зафиксировать базовые показатели до начала пилота и методику расчёта эффекта.</w:t>
      </w:r>
    </w:p>
    <w:p>
      <w:pPr>
        <w:pStyle w:val="ListBullet"/>
        <w:spacing w:after="80" w:line="269" w:lineRule="auto"/>
      </w:pPr>
      <w:r>
        <w:rPr>
          <w:rFonts w:ascii="Calibri" w:hAnsi="Calibri"/>
          <w:b w:val="0"/>
          <w:i w:val="0"/>
          <w:color w:val="000000"/>
          <w:sz w:val="22"/>
        </w:rPr>
        <w:t>Предусмотреть независимый аудит, управление конфликтами интересов и публичную отчётность.</w:t>
      </w:r>
    </w:p>
    <w:p>
      <w:pPr>
        <w:pStyle w:val="Heading1"/>
      </w:pPr>
      <w:r>
        <w:t>11. Итоговая формула представления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6F9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77A18"/>
                <w:sz w:val="18"/>
              </w:rPr>
              <w:t>ПОЗИЦИОНИРОВАНИЕ</w:t>
              <w:br/>
            </w:r>
            <w:r>
              <w:rPr>
                <w:rFonts w:ascii="Calibri" w:hAnsi="Calibri"/>
                <w:b/>
                <w:i w:val="0"/>
                <w:color w:val="18324A"/>
                <w:sz w:val="24"/>
              </w:rPr>
              <w:t>ECO‑PPA — межрегиональный механизм объединения государственных, частных, научных и общественных ресурсов для предупреждения экологических, энергетических и инфраструктурных угроз. СПЕЦЗАЩИТА обеспечивает кооперацию и исполнение, ЭКВИЛИБРИУМ — наблюдение и доказательность результата, СФЕРА — участие общества и формирование инициатив.</w:t>
            </w:r>
          </w:p>
        </w:tc>
      </w:tr>
    </w:tbl>
    <w:p>
      <w:pPr>
        <w:spacing w:after="0"/>
      </w:pPr>
    </w:p>
    <w:p>
      <w:r>
        <w:t>Предлагаемый институциональный маршрут: межкомиссионная рабочая группа → независимая экспертиза → региональные пилоты → измеримый результат → Президиум Госсовета → поручения Президента → федеральное масштабирование.</w:t>
      </w:r>
    </w:p>
    <w:p>
      <w:pPr>
        <w:pStyle w:val="Heading1"/>
      </w:pPr>
      <w:r>
        <w:t>Приложение. Матрица ответственности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200"/>
        <w:gridCol w:w="3260"/>
      </w:tblGrid>
      <w:tr>
        <w:tc>
          <w:tcPr>
            <w:tcW w:type="dxa" w:w="19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Уровень</w:t>
            </w:r>
          </w:p>
        </w:tc>
        <w:tc>
          <w:tcPr>
            <w:tcW w:type="dxa" w:w="420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Ответственность</w:t>
            </w:r>
          </w:p>
        </w:tc>
        <w:tc>
          <w:tcPr>
            <w:tcW w:type="dxa" w:w="3260"/>
            <w:shd w:fill="18324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Результат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Президент / Госсовет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Стратегическое решение и поручения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Политико-управленческий мандат.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Правительство РФ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Координация и нормативное обеспечение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Межведомственная программа.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Комиссии Госсовета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Экспертиза и согласование направлений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Согласованный пакет решений.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Губернаторы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Региональное руководство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Пилот и достижение показателей.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Муниципалитеты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Подготовка объектов и эксплуатация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Работающие решения на территории.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СПЕЦЗАЩИТА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Кооперация исполнителей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Поставка, строительство и внедрение.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ЭКВИЛИБРИУМ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Данные и верификация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Подтверждённый результат.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СФЕРА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Общественное участие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Обратная связь и легитимность.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Наука и аудит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Независимая проверка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Доказательность и снижение рисков.</w:t>
            </w:r>
          </w:p>
        </w:tc>
      </w:tr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Бизнес и инвесторы</w:t>
            </w:r>
          </w:p>
        </w:tc>
        <w:tc>
          <w:tcPr>
            <w:tcW w:type="dxa" w:w="4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Капитал и компетенции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7F9FB"/>
          </w:tcPr>
          <w:p>
            <w:pPr>
              <w:spacing w:after="0" w:line="252" w:lineRule="auto"/>
            </w:pPr>
            <w:r>
              <w:rPr>
                <w:rFonts w:ascii="Calibri" w:hAnsi="Calibri"/>
                <w:b w:val="0"/>
                <w:i w:val="0"/>
                <w:color w:val="20262D"/>
                <w:sz w:val="19"/>
              </w:rPr>
              <w:t>Финансирование и масштабирование.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224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B6570"/>
        <w:sz w:val="16"/>
      </w:rPr>
      <w:t>Стратегическая записка для государственного рассмотрения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B6570"/>
        <w:sz w:val="18"/>
      </w:rPr>
      <w:t>СПЕЦЗАЩИТА · ECO‑PPA · ЭКВИЛИБРИУМ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8324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/>
      <w:b w:val="0"/>
      <w:i/>
      <w:iCs/>
      <w:color w:val="5B65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