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Eyebrow"/>
        <w:spacing w:after="320"/>
        <w:jc w:val="center"/>
      </w:pPr>
      <w:r>
        <w:t>АДРЕСНЫЙ СТРАТЕГИЧЕСКИЙ ПАКЕТ  /  РЕДАКЦИЯ 1.0</w:t>
      </w:r>
    </w:p>
    <w:p>
      <w:pPr>
        <w:pStyle w:val="Title"/>
        <w:jc w:val="center"/>
      </w:pPr>
      <w:r>
        <w:t>ОТ ПРОЕКТНОЙ ИНИЦИАТИВЫ</w:t>
        <w:br/>
        <w:t>К ДОКАЗУЕМОМУ РЕЗУЛЬТАТУ</w:t>
      </w:r>
    </w:p>
    <w:p>
      <w:pPr>
        <w:pStyle w:val="Subtitle"/>
        <w:spacing w:after="200"/>
        <w:jc w:val="center"/>
      </w:pPr>
      <w:r>
        <w:t>Предложение РСПП о 90-дневной апробации проектно-аналитического контура</w:t>
      </w:r>
    </w:p>
    <w:p>
      <w:pPr>
        <w:pStyle w:val="Eyebrow"/>
        <w:jc w:val="center"/>
      </w:pPr>
      <w:r>
        <w:t>ЭКВИЛИБРИУМ  ·  ECO-PPA  ·  СПЕЦЗАЩИТА  ·  ESG-IR  ·  СФЕРА</w:t>
      </w:r>
    </w:p>
    <w:p>
      <w:pPr>
        <w:spacing w:before="80" w:after="160"/>
        <w:jc w:val="center"/>
      </w:pPr>
      <w:r>
        <w:drawing>
          <wp:inline xmlns:a="http://schemas.openxmlformats.org/drawingml/2006/main" xmlns:pic="http://schemas.openxmlformats.org/drawingml/2006/picture">
            <wp:extent cx="3950208" cy="3950208"/>
            <wp:docPr id="1" name="Picture 1" descr="Связанный промышленный комплекс: производство, энергетика, логистика и зелёная инфраструктура объединены проверяемым проектным контуром." title="Промышленная кооперация и доказуемый результа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ec-6e50a8aa-566a-46be-b81c-9606a0899ded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50208" cy="39502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mall"/>
        <w:jc w:val="center"/>
      </w:pPr>
      <w:r>
        <w:t>Президенту РСПП Александру Николаевичу Шохину</w:t>
        <w:br/>
      </w:r>
      <w:r>
        <w:t>Инициатор: Соколов Сергей Леонидович  ·  29 августа 2026 г.</w:t>
        <w:br/>
      </w:r>
      <w:r>
        <w:t>Статус: предложение для экспертного обсуждения; не является решением или стандартом РСПП</w:t>
      </w:r>
    </w:p>
    <w:p>
      <w:r>
        <w:br w:type="page"/>
      </w:r>
    </w:p>
    <w:p>
      <w:pPr>
        <w:pStyle w:val="Eyebrow"/>
        <w:keepLines/>
        <w:widowControl/>
        <w:keepNext/>
      </w:pPr>
      <w:r>
        <w:t>02  /  ОФИЦИАЛЬНОЕ ОБРАЩЕНИЕ</w:t>
      </w:r>
    </w:p>
    <w:p>
      <w:pPr>
        <w:jc w:val="right"/>
      </w:pPr>
      <w:r>
        <w:rPr>
          <w:rFonts w:ascii="Calibri" w:hAnsi="Calibri" w:eastAsia="Calibri"/>
          <w:b w:val="0"/>
          <w:color w:val="172033"/>
          <w:sz w:val="21"/>
        </w:rPr>
        <w:t>Президенту Российского союза</w:t>
        <w:br/>
      </w:r>
      <w:r>
        <w:rPr>
          <w:rFonts w:ascii="Calibri" w:hAnsi="Calibri" w:eastAsia="Calibri"/>
          <w:b w:val="0"/>
          <w:color w:val="172033"/>
          <w:sz w:val="21"/>
        </w:rPr>
        <w:t>промышленников и предпринимателей</w:t>
        <w:br/>
      </w:r>
      <w:r>
        <w:rPr>
          <w:rFonts w:ascii="Calibri" w:hAnsi="Calibri" w:eastAsia="Calibri"/>
          <w:b/>
          <w:color w:val="172033"/>
          <w:sz w:val="21"/>
        </w:rPr>
        <w:t>Шохину Александру Николаевичу</w:t>
        <w:br/>
      </w:r>
      <w:r>
        <w:rPr>
          <w:rFonts w:ascii="Calibri" w:hAnsi="Calibri" w:eastAsia="Calibri"/>
          <w:b w:val="0"/>
          <w:color w:val="172033"/>
          <w:sz w:val="21"/>
        </w:rPr>
        <w:br/>
      </w:r>
      <w:r>
        <w:rPr>
          <w:rFonts w:ascii="Calibri" w:hAnsi="Calibri" w:eastAsia="Calibri"/>
          <w:b w:val="0"/>
          <w:color w:val="172033"/>
          <w:sz w:val="21"/>
        </w:rPr>
        <w:t>от Соколова Сергея Леонидовича</w:t>
        <w:br/>
      </w:r>
    </w:p>
    <w:p>
      <w:pPr>
        <w:spacing w:before="160" w:after="200"/>
      </w:pPr>
      <w:r>
        <w:rPr>
          <w:rFonts w:ascii="Calibri" w:hAnsi="Calibri" w:eastAsia="Calibri"/>
          <w:b/>
          <w:color w:val="0B2545"/>
          <w:sz w:val="22"/>
        </w:rPr>
        <w:t>О проведении на площадке РСПП 90-дневной апробации контура формирования и верификации промышленных, экологических и социальных проектов</w:t>
      </w:r>
    </w:p>
    <w:p>
      <w:r>
        <w:t>Уважаемый Александр Николаевич!</w:t>
      </w:r>
    </w:p>
    <w:p>
      <w:r>
        <w:t>Российскому бизнесу необходим согласованный механизм, связывающий стратегическую задачу компании или территории с проектным решением, обязательствами сторон, ресурсами, календарём, первичными данными и независимо проверяемым результатом.</w:t>
      </w:r>
    </w:p>
    <w:p>
      <w:r>
        <w:t>Предлагаю провести на площадке РСПП 90-дневную организационно-методическую апробацию авторского проектно-аналитического контура «ЭКВИЛИБРИУМ — ECO-PPA — СПЕЦЗАЩИТА — ESG-IR — СФЕРА» на материалах добровольно участвующих компаний и отраслевых объединений.</w:t>
      </w: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Граница предложения</w:t>
        <w:br/>
      </w:r>
      <w:r>
        <w:rPr>
          <w:rFonts w:ascii="Calibri" w:hAnsi="Calibri" w:eastAsia="Calibri"/>
          <w:color w:val="172033"/>
          <w:sz w:val="21"/>
        </w:rPr>
        <w:t>Апробация не создаёт для РСПП обязательств по финансированию, не означает признания методологии стандартом РСПП и не подменяет аудит, обязательную отчётность, экспертизы или государственное регулирование.</w:t>
      </w:r>
    </w:p>
    <w:p>
      <w:pPr>
        <w:spacing w:after="160" w:line="280" w:lineRule="auto"/>
        <w:jc w:val="left"/>
        <w:numPr>
          <w:ilvl w:val="0"/>
          <w:numId w:val="62"/>
        </w:numPr>
      </w:pPr>
      <w:r>
        <w:t>Поддержать проведение 90-дневной апробации.</w:t>
      </w:r>
    </w:p>
    <w:p>
      <w:pPr>
        <w:spacing w:after="160" w:line="280" w:lineRule="auto"/>
        <w:jc w:val="left"/>
        <w:numPr>
          <w:ilvl w:val="0"/>
          <w:numId w:val="62"/>
        </w:numPr>
      </w:pPr>
      <w:r>
        <w:t>Поручить Аппарату РСПП определить координатора и в течение 15 календарных дней подготовить состав рабочей группы и техническое задание.</w:t>
      </w:r>
    </w:p>
    <w:p>
      <w:pPr>
        <w:spacing w:after="160" w:line="280" w:lineRule="auto"/>
        <w:jc w:val="left"/>
        <w:numPr>
          <w:ilvl w:val="0"/>
          <w:numId w:val="62"/>
        </w:numPr>
      </w:pPr>
      <w:r>
        <w:t>Предложить профильным комитетам и добровольно участвующим компаниям представить до трёх проектных кейсов для проверки методологии.</w:t>
      </w:r>
    </w:p>
    <w:p>
      <w:pPr>
        <w:spacing w:after="160" w:line="280" w:lineRule="auto"/>
        <w:jc w:val="left"/>
        <w:numPr>
          <w:ilvl w:val="0"/>
          <w:numId w:val="62"/>
        </w:numPr>
      </w:pPr>
      <w:r>
        <w:t>По итогам апробации рассмотреть сводный отчёт и принять решение о 12-месячном пилоте, доработке методологии либо завершении эксперимента.</w:t>
      </w:r>
    </w:p>
    <w:p>
      <w:pPr>
        <w:spacing w:before="80"/>
      </w:pPr>
      <w:r>
        <w:t>Готов представить архитектуру системы и проект технического задания на рабочей встрече в удобное для Вас время.</w:t>
        <w:br/>
        <w:br/>
        <w:t>С уважением,</w:t>
        <w:br/>
        <w:t>Соколов Сергей Леонидович</w:t>
        <w:br/>
        <w:t>severa70@mail.ru</w:t>
      </w:r>
    </w:p>
    <w:p>
      <w:r>
        <w:br w:type="page"/>
      </w:r>
    </w:p>
    <w:p>
      <w:pPr>
        <w:pStyle w:val="Eyebrow"/>
        <w:keepLines/>
        <w:widowControl/>
        <w:keepNext/>
      </w:pPr>
      <w:r>
        <w:t>03  /  КАРТОЧКА РЕШЕНИЯ</w:t>
      </w:r>
    </w:p>
    <w:p>
      <w:pPr>
        <w:pStyle w:val="Heading1"/>
        <w:keepLines/>
        <w:widowControl/>
        <w:keepNext/>
      </w:pPr>
      <w:r>
        <w:t>Требуется одно ограниченное решение</w:t>
      </w:r>
    </w:p>
    <w:p>
      <w:pPr>
        <w:pStyle w:val="Lead"/>
        <w:spacing w:after="240"/>
      </w:pPr>
      <w:r>
        <w:t>Разрешить проверку механизма на добровольных кейсах — без финансового и репутационного аванса со стороны РСПП.</w:t>
      </w: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Проект решения</w:t>
        <w:br/>
      </w:r>
      <w:r>
        <w:rPr>
          <w:rFonts w:ascii="Calibri" w:hAnsi="Calibri" w:eastAsia="Calibri"/>
          <w:color w:val="172033"/>
          <w:sz w:val="21"/>
        </w:rPr>
        <w:t>Поддержать 90-дневную организационно-методическую апробацию; определить координатора; сформировать рабочую группу; отобрать до трёх кейсов; на 90-й день принять решение GO / GO WITH CONDITIONS / NO-GO.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Параметр</w:t>
            </w:r>
          </w:p>
        </w:tc>
        <w:tc>
          <w:tcPr>
            <w:tcW w:type="dxa" w:w="74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Предлагаемая конструкция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Площадка</w:t>
            </w:r>
          </w:p>
        </w:tc>
        <w:tc>
          <w:tcPr>
            <w:tcW w:type="dxa" w:w="7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РСПП как институциональный координатор делового контура.</w:t>
            </w:r>
          </w:p>
        </w:tc>
      </w:tr>
      <w:tr>
        <w:tc>
          <w:tcPr>
            <w:tcW w:type="dxa" w:w="19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Предмет</w:t>
            </w:r>
          </w:p>
        </w:tc>
        <w:tc>
          <w:tcPr>
            <w:tcW w:type="dxa" w:w="74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Паспорт проекта, обязательства, ресурсы, данные, риски, доказательства и правила корректировки.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Участники</w:t>
            </w:r>
          </w:p>
        </w:tc>
        <w:tc>
          <w:tcPr>
            <w:tcW w:type="dxa" w:w="7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До трёх добровольных кейсов; предпочтительно не менее двух компаний и двух отраслевых контекстов.</w:t>
            </w:r>
          </w:p>
        </w:tc>
      </w:tr>
      <w:tr>
        <w:tc>
          <w:tcPr>
            <w:tcW w:type="dxa" w:w="19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Срок</w:t>
            </w:r>
          </w:p>
        </w:tc>
        <w:tc>
          <w:tcPr>
            <w:tcW w:type="dxa" w:w="74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90 календарных дней от утверждения технического задания.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Результат</w:t>
            </w:r>
          </w:p>
        </w:tc>
        <w:tc>
          <w:tcPr>
            <w:tcW w:type="dxa" w:w="7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Проверенная методика, демонстрационный реестр, заключения экспертов, перечень разрывов и решение о дальнейшем статусе.</w:t>
            </w:r>
          </w:p>
        </w:tc>
      </w:tr>
      <w:tr>
        <w:tc>
          <w:tcPr>
            <w:tcW w:type="dxa" w:w="19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Что не требуется</w:t>
            </w:r>
          </w:p>
        </w:tc>
        <w:tc>
          <w:tcPr>
            <w:tcW w:type="dxa" w:w="74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Финансирование РСПП, гарантия инвестиций, принятие коммерческого или технологического риска, предварительное признание стандарта.</w:t>
            </w:r>
          </w:p>
        </w:tc>
      </w:tr>
    </w:tbl>
    <w:p>
      <w:pPr>
        <w:spacing w:after="20"/>
      </w:pPr>
    </w:p>
    <w:p>
      <w:pPr>
        <w:pStyle w:val="Source"/>
        <w:spacing w:before="80"/>
      </w:pPr>
      <w:r>
        <w:t>Логика соответствует ранее сформулированному принципу: РСПП предлагается не принять систему, а совместно проверить модель.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04  /  СООТВЕТСТВИЕ ПОВЕСТКЕ РСПП</w:t>
      </w:r>
    </w:p>
    <w:p>
      <w:pPr>
        <w:pStyle w:val="Heading1"/>
        <w:keepLines/>
        <w:widowControl/>
        <w:keepNext/>
      </w:pPr>
      <w:r>
        <w:t>Предложение отвечает текущей деловой повестке РСПП</w:t>
      </w:r>
    </w:p>
    <w:p>
      <w:pPr>
        <w:pStyle w:val="Lead"/>
        <w:spacing w:after="240"/>
      </w:pPr>
      <w:r>
        <w:t>Апробация соединяет задачи инвестиций, технологического суверенитета, кооперации, цифровизации и доказательной устойчивости.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5560"/>
        <w:gridCol w:w="1600"/>
      </w:tblGrid>
      <w:tr>
        <w:trPr>
          <w:tblHeader w:val="true"/>
        </w:trPr>
        <w:tc>
          <w:tcPr>
            <w:tcW w:type="dxa" w:w="22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Приоритет РСПП</w:t>
            </w:r>
          </w:p>
        </w:tc>
        <w:tc>
          <w:tcPr>
            <w:tcW w:type="dxa" w:w="55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Точка сопряжения пакета</w:t>
            </w:r>
          </w:p>
        </w:tc>
        <w:tc>
          <w:tcPr>
            <w:tcW w:type="dxa" w:w="1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Источник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Сбалансированный рост и инвестиции</w:t>
            </w:r>
          </w:p>
        </w:tc>
        <w:tc>
          <w:tcPr>
            <w:tcW w:type="dxa" w:w="5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Отбор проектов по полноте мандата, ресурсов, рисков и измеримого результата.</w:t>
            </w:r>
          </w:p>
        </w:tc>
        <w:tc>
          <w:tcPr>
            <w:tcW w:type="dxa" w:w="1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[1], [2]</w:t>
            </w:r>
          </w:p>
        </w:tc>
      </w:tr>
      <w:tr>
        <w:tc>
          <w:tcPr>
            <w:tcW w:type="dxa" w:w="22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Проектное и инфраструктурное финансирование</w:t>
            </w:r>
          </w:p>
        </w:tc>
        <w:tc>
          <w:tcPr>
            <w:tcW w:type="dxa" w:w="55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Подготовка проверяемого проектного досье до привлечения инструментов ГЧП, кредита или облигаций.</w:t>
            </w:r>
          </w:p>
        </w:tc>
        <w:tc>
          <w:tcPr>
            <w:tcW w:type="dxa" w:w="16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[1], [3]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Технологический суверенитет</w:t>
            </w:r>
          </w:p>
        </w:tc>
        <w:tc>
          <w:tcPr>
            <w:tcW w:type="dxa" w:w="5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Учёт НИОКР, ПО, прав на технологии, инжиниринга, локализации и независимой экспертизы.</w:t>
            </w:r>
          </w:p>
        </w:tc>
        <w:tc>
          <w:tcPr>
            <w:tcW w:type="dxa" w:w="1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[4], [5]</w:t>
            </w:r>
          </w:p>
        </w:tc>
      </w:tr>
      <w:tr>
        <w:tc>
          <w:tcPr>
            <w:tcW w:type="dxa" w:w="22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Промышленная кооперация</w:t>
            </w:r>
          </w:p>
        </w:tc>
        <w:tc>
          <w:tcPr>
            <w:tcW w:type="dxa" w:w="55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Сборка консорциума под конкретный запрос предприятия и тиражирование только проверенного решения.</w:t>
            </w:r>
          </w:p>
        </w:tc>
        <w:tc>
          <w:tcPr>
            <w:tcW w:type="dxa" w:w="16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[5]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Цифровизация и производительность</w:t>
            </w:r>
          </w:p>
        </w:tc>
        <w:tc>
          <w:tcPr>
            <w:tcW w:type="dxa" w:w="5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Единый паспорт данных, воспроизводимый расчёт и защищённый демонстрационный реестр.</w:t>
            </w:r>
          </w:p>
        </w:tc>
        <w:tc>
          <w:tcPr>
            <w:tcW w:type="dxa" w:w="1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[6], [7]</w:t>
            </w:r>
          </w:p>
        </w:tc>
      </w:tr>
      <w:tr>
        <w:tc>
          <w:tcPr>
            <w:tcW w:type="dxa" w:w="22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Ответственная деловая практика</w:t>
            </w:r>
          </w:p>
        </w:tc>
        <w:tc>
          <w:tcPr>
            <w:tcW w:type="dxa" w:w="55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Проектная цепочка доказательности как дополнение к действующим индексам и общественному заверению РСПП.</w:t>
            </w:r>
          </w:p>
        </w:tc>
        <w:tc>
          <w:tcPr>
            <w:tcW w:type="dxa" w:w="16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[8]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Экология и климат</w:t>
            </w:r>
          </w:p>
        </w:tc>
        <w:tc>
          <w:tcPr>
            <w:tcW w:type="dxa" w:w="5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Измеримый эффект, адаптация, природные данные и баланс экологических целей с возможностями компаний.</w:t>
            </w:r>
          </w:p>
        </w:tc>
        <w:tc>
          <w:tcPr>
            <w:tcW w:type="dxa" w:w="1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[9], [10]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EAF4F0"/>
        <w:pBdr>
          <w:left w:val="single" w:sz="18" w:space="10" w:color="2F7D68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Позиционирование</w:t>
        <w:br/>
      </w:r>
      <w:r>
        <w:rPr>
          <w:rFonts w:ascii="Calibri" w:hAnsi="Calibri" w:eastAsia="Calibri"/>
          <w:color w:val="172033"/>
          <w:sz w:val="21"/>
        </w:rPr>
        <w:t>Не новая всеобъемлющая система, а ограниченный протокол подготовки и проверки проектных решений, совместимый с действующими инструментами компаний и РСПП.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05  /  ПРОВЕРЯЕМАЯ ПРОБЛЕМА</w:t>
      </w:r>
    </w:p>
    <w:p>
      <w:pPr>
        <w:pStyle w:val="Heading1"/>
        <w:keepLines/>
        <w:widowControl/>
        <w:keepNext/>
      </w:pPr>
      <w:r>
        <w:t>Инициатива и отчёт часто существуют отдельно от доказуемого результата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rPr>
          <w:rFonts w:ascii="Calibri" w:hAnsi="Calibri" w:eastAsia="Calibri"/>
          <w:b/>
          <w:color w:val="172033"/>
          <w:sz w:val="22"/>
        </w:rPr>
        <w:t>Разрыв 1.</w:t>
      </w:r>
      <w:r>
        <w:t xml:space="preserve"> Стратегическая задача не переводится в единый паспорт с владельцем, границами и исходным состоянием.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rPr>
          <w:rFonts w:ascii="Calibri" w:hAnsi="Calibri" w:eastAsia="Calibri"/>
          <w:b/>
          <w:color w:val="172033"/>
          <w:sz w:val="22"/>
        </w:rPr>
        <w:t>Разрыв 2.</w:t>
      </w:r>
      <w:r>
        <w:t xml:space="preserve"> Ресурсы и обязательства учитываются в разных системах и не образуют общей цепочки ответственности.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rPr>
          <w:rFonts w:ascii="Calibri" w:hAnsi="Calibri" w:eastAsia="Calibri"/>
          <w:b/>
          <w:color w:val="172033"/>
          <w:sz w:val="22"/>
        </w:rPr>
        <w:t>Разрыв 3.</w:t>
      </w:r>
      <w:r>
        <w:t xml:space="preserve"> Показатель результата фиксируется без заранее утверждённой методики, baseline и источника данных.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rPr>
          <w:rFonts w:ascii="Calibri" w:hAnsi="Calibri" w:eastAsia="Calibri"/>
          <w:b/>
          <w:color w:val="172033"/>
          <w:sz w:val="22"/>
        </w:rPr>
        <w:t>Разрыв 4.</w:t>
      </w:r>
      <w:r>
        <w:t xml:space="preserve"> Исполнитель, владелец данных и верификатор могут зависеть друг от друга.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rPr>
          <w:rFonts w:ascii="Calibri" w:hAnsi="Calibri" w:eastAsia="Calibri"/>
          <w:b/>
          <w:color w:val="172033"/>
          <w:sz w:val="22"/>
        </w:rPr>
        <w:t>Разрыв 5.</w:t>
      </w:r>
      <w:r>
        <w:t xml:space="preserve"> Отчётность появляется после исполнения и не управляет корректировками в ходе проекта.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rPr>
          <w:rFonts w:ascii="Calibri" w:hAnsi="Calibri" w:eastAsia="Calibri"/>
          <w:b/>
          <w:color w:val="172033"/>
          <w:sz w:val="22"/>
        </w:rPr>
        <w:t>Разрыв 6.</w:t>
      </w:r>
      <w:r>
        <w:t xml:space="preserve"> Успешный кейс трудно воспроизвести и масштабировать без общего досье решения.</w:t>
      </w: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Гипотеза апробации</w:t>
        <w:br/>
      </w:r>
      <w:r>
        <w:rPr>
          <w:rFonts w:ascii="Calibri" w:hAnsi="Calibri" w:eastAsia="Calibri"/>
          <w:color w:val="172033"/>
          <w:sz w:val="21"/>
        </w:rPr>
        <w:t>Если связать мандат, паспорт, обязательства, ресурсы, первичные данные и независимую проверку в одной версионной цепочке, решение о финансировании и масштабировании станет более объяснимым и проверяемым. Эта гипотеза должна быть подтверждена или опровергнута реальными кейсами.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06  /  СКВОЗНОЙ МАРШРУТ</w:t>
      </w:r>
    </w:p>
    <w:p>
      <w:pPr>
        <w:pStyle w:val="Heading1"/>
        <w:keepLines/>
        <w:widowControl/>
        <w:keepNext/>
      </w:pPr>
      <w:r>
        <w:t>От запроса предприятия до решения о масштабировании</w:t>
      </w: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Краткая формула</w:t>
        <w:br/>
      </w:r>
      <w:r>
        <w:rPr>
          <w:rFonts w:ascii="Calibri" w:hAnsi="Calibri" w:eastAsia="Calibri"/>
          <w:color w:val="172033"/>
          <w:sz w:val="21"/>
        </w:rPr>
        <w:t>РСПП формирует запрос → ЭКВИЛИБРИУМ проектирует варианты → ECO-PPA закрепляет проект и обязательства → СПЕЦЗАЩИТА собирает исполнение → ESG-IR доказывает результат → СФЕРА масштабирует проверенное решение.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1. Запрос. </w:t>
      </w:r>
      <w:r>
        <w:t>Компания или отраслевое объединение формулирует проблему, владельца решения и границы кейса.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2. Диагностика. </w:t>
      </w:r>
      <w:r>
        <w:t>ЭКВИЛИБРИУМ сопоставляет исходное состояние, 19 балансов, риски, сценарии и дефицит данных.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3. Проектирование. </w:t>
      </w:r>
      <w:r>
        <w:t>ECO-PPA превращает выбранный сценарий в паспорт, обязательства, ресурсный план, календарь и условия результата.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4. Кооперация. </w:t>
      </w:r>
      <w:r>
        <w:t>СПЕЦЗАЩИТА формирует исполнителей, рабочие пакеты, цепочку поставок и доказательные материалы.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5. Проверка. </w:t>
      </w:r>
      <w:r>
        <w:t>ESG-IR фиксирует методики, происхождение данных, независимость проверки и статус каждого утверждения.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6. Портфель. </w:t>
      </w:r>
      <w:r>
        <w:t>СФЕРА собирает проверенные решения и партнёров; РСПП принимает решение о дальнейшей апробации или масштабировании.</w:t>
      </w:r>
    </w:p>
    <w:p>
      <w:pPr>
        <w:pStyle w:val="Source"/>
        <w:spacing w:before="80"/>
      </w:pPr>
      <w:r>
        <w:t>Подтверждённые данные возвращаются в ЭКВИЛИБРИУМ для нового цикла анализа и корректировки.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07  /  СЧЁТНАЯ СИСТЕМА ПРОЕКТА</w:t>
      </w:r>
    </w:p>
    <w:p>
      <w:pPr>
        <w:pStyle w:val="Heading1"/>
        <w:keepLines/>
        <w:widowControl/>
        <w:keepNext/>
      </w:pPr>
      <w:r>
        <w:t>Восемь связанных реестров сохраняют целостность проекта</w:t>
      </w:r>
    </w:p>
    <w:p>
      <w:pPr>
        <w:pStyle w:val="Lead"/>
        <w:spacing w:after="240"/>
      </w:pPr>
      <w:r>
        <w:t>Это не замена бухгалтерскому учёту, ERP, СЭД или государственным информационным системам, а связующий слой проектных событий.</w:t>
      </w:r>
    </w:p>
    <w:p>
      <w:pPr>
        <w:pStyle w:val="Definition"/>
        <w:spacing w:after="80"/>
      </w:pPr>
      <w:r>
        <w:rPr>
          <w:rFonts w:ascii="Calibri" w:hAnsi="Calibri" w:eastAsia="Calibri"/>
          <w:b/>
          <w:color w:val="3D8DFF"/>
          <w:sz w:val="22"/>
        </w:rPr>
        <w:t xml:space="preserve">R1  </w:t>
      </w:r>
      <w:r>
        <w:rPr>
          <w:rFonts w:ascii="Calibri" w:hAnsi="Calibri" w:eastAsia="Calibri"/>
          <w:b/>
          <w:color w:val="0B2545"/>
          <w:sz w:val="22"/>
        </w:rPr>
        <w:t xml:space="preserve">Мандат и полномочия — </w:t>
      </w:r>
      <w:r>
        <w:t>кто вправе инициировать, выбирать, исполнять, владеть данными, проверять и оспаривать.</w:t>
      </w:r>
    </w:p>
    <w:p>
      <w:pPr>
        <w:pStyle w:val="Definition"/>
        <w:spacing w:after="80"/>
      </w:pPr>
      <w:r>
        <w:rPr>
          <w:rFonts w:ascii="Calibri" w:hAnsi="Calibri" w:eastAsia="Calibri"/>
          <w:b/>
          <w:color w:val="3D8DFF"/>
          <w:sz w:val="22"/>
        </w:rPr>
        <w:t xml:space="preserve">R2  </w:t>
      </w:r>
      <w:r>
        <w:rPr>
          <w:rFonts w:ascii="Calibri" w:hAnsi="Calibri" w:eastAsia="Calibri"/>
          <w:b/>
          <w:color w:val="0B2545"/>
          <w:sz w:val="22"/>
        </w:rPr>
        <w:t xml:space="preserve">Права и активы — </w:t>
      </w:r>
      <w:r>
        <w:t>что принадлежит, доступно, лицензировано, ограничено или обременено.</w:t>
      </w:r>
    </w:p>
    <w:p>
      <w:pPr>
        <w:pStyle w:val="Definition"/>
        <w:spacing w:after="80"/>
      </w:pPr>
      <w:r>
        <w:rPr>
          <w:rFonts w:ascii="Calibri" w:hAnsi="Calibri" w:eastAsia="Calibri"/>
          <w:b/>
          <w:color w:val="3D8DFF"/>
          <w:sz w:val="22"/>
        </w:rPr>
        <w:t xml:space="preserve">R3  </w:t>
      </w:r>
      <w:r>
        <w:rPr>
          <w:rFonts w:ascii="Calibri" w:hAnsi="Calibri" w:eastAsia="Calibri"/>
          <w:b/>
          <w:color w:val="0B2545"/>
          <w:sz w:val="22"/>
        </w:rPr>
        <w:t xml:space="preserve">Обязательства и риски — </w:t>
      </w:r>
      <w:r>
        <w:t>кто, что, кому и к какому сроку должен; кто несёт риск отклонения.</w:t>
      </w:r>
    </w:p>
    <w:p>
      <w:pPr>
        <w:pStyle w:val="Definition"/>
        <w:spacing w:after="80"/>
      </w:pPr>
      <w:r>
        <w:rPr>
          <w:rFonts w:ascii="Calibri" w:hAnsi="Calibri" w:eastAsia="Calibri"/>
          <w:b/>
          <w:color w:val="3D8DFF"/>
          <w:sz w:val="22"/>
        </w:rPr>
        <w:t xml:space="preserve">R4  </w:t>
      </w:r>
      <w:r>
        <w:rPr>
          <w:rFonts w:ascii="Calibri" w:hAnsi="Calibri" w:eastAsia="Calibri"/>
          <w:b/>
          <w:color w:val="0B2545"/>
          <w:sz w:val="22"/>
        </w:rPr>
        <w:t xml:space="preserve">Ресурсы и финансирование — </w:t>
      </w:r>
      <w:r>
        <w:t>источники, лимиты, резервы, условия использования и фактическое потребление.</w:t>
      </w:r>
    </w:p>
    <w:p>
      <w:pPr>
        <w:pStyle w:val="Definition"/>
        <w:spacing w:after="80"/>
      </w:pPr>
      <w:r>
        <w:rPr>
          <w:rFonts w:ascii="Calibri" w:hAnsi="Calibri" w:eastAsia="Calibri"/>
          <w:b/>
          <w:color w:val="3D8DFF"/>
          <w:sz w:val="22"/>
        </w:rPr>
        <w:t xml:space="preserve">R5  </w:t>
      </w:r>
      <w:r>
        <w:rPr>
          <w:rFonts w:ascii="Calibri" w:hAnsi="Calibri" w:eastAsia="Calibri"/>
          <w:b/>
          <w:color w:val="0B2545"/>
          <w:sz w:val="22"/>
        </w:rPr>
        <w:t xml:space="preserve">Проекты и решения — </w:t>
      </w:r>
      <w:r>
        <w:t>варианты, выбранный сценарий, ТЭО, календарь, допущения и версия решения.</w:t>
      </w:r>
    </w:p>
    <w:p>
      <w:pPr>
        <w:pStyle w:val="Definition"/>
        <w:spacing w:after="80"/>
      </w:pPr>
      <w:r>
        <w:rPr>
          <w:rFonts w:ascii="Calibri" w:hAnsi="Calibri" w:eastAsia="Calibri"/>
          <w:b/>
          <w:color w:val="3D8DFF"/>
          <w:sz w:val="22"/>
        </w:rPr>
        <w:t xml:space="preserve">R6  </w:t>
      </w:r>
      <w:r>
        <w:rPr>
          <w:rFonts w:ascii="Calibri" w:hAnsi="Calibri" w:eastAsia="Calibri"/>
          <w:b/>
          <w:color w:val="0B2545"/>
          <w:sz w:val="22"/>
        </w:rPr>
        <w:t xml:space="preserve">Действия и исполнение — </w:t>
      </w:r>
      <w:r>
        <w:t>рабочие пакеты, поставки, контрольные точки и отклонения.</w:t>
      </w:r>
    </w:p>
    <w:p>
      <w:pPr>
        <w:pStyle w:val="Definition"/>
        <w:spacing w:after="80"/>
      </w:pPr>
      <w:r>
        <w:rPr>
          <w:rFonts w:ascii="Calibri" w:hAnsi="Calibri" w:eastAsia="Calibri"/>
          <w:b/>
          <w:color w:val="3D8DFF"/>
          <w:sz w:val="22"/>
        </w:rPr>
        <w:t xml:space="preserve">R7  </w:t>
      </w:r>
      <w:r>
        <w:rPr>
          <w:rFonts w:ascii="Calibri" w:hAnsi="Calibri" w:eastAsia="Calibri"/>
          <w:b/>
          <w:color w:val="0B2545"/>
          <w:sz w:val="22"/>
        </w:rPr>
        <w:t xml:space="preserve">Данные и доказательства — </w:t>
      </w:r>
      <w:r>
        <w:t>источник, владелец, методика, подпись, измерение, происхождение и статус проверки.</w:t>
      </w:r>
    </w:p>
    <w:p>
      <w:pPr>
        <w:pStyle w:val="Definition"/>
        <w:spacing w:after="80"/>
      </w:pPr>
      <w:r>
        <w:rPr>
          <w:rFonts w:ascii="Calibri" w:hAnsi="Calibri" w:eastAsia="Calibri"/>
          <w:b/>
          <w:color w:val="3D8DFF"/>
          <w:sz w:val="22"/>
        </w:rPr>
        <w:t xml:space="preserve">R8  </w:t>
      </w:r>
      <w:r>
        <w:rPr>
          <w:rFonts w:ascii="Calibri" w:hAnsi="Calibri" w:eastAsia="Calibri"/>
          <w:b/>
          <w:color w:val="0B2545"/>
          <w:sz w:val="22"/>
        </w:rPr>
        <w:t xml:space="preserve">Результаты и корректировки — </w:t>
      </w:r>
      <w:r>
        <w:t>изменение до/после, атрибуция, вывод, новое событие версии и урок проекта.</w:t>
      </w:r>
    </w:p>
    <w:p>
      <w:pPr>
        <w:pStyle w:val="Callout"/>
        <w:spacing w:before="120" w:after="200" w:line="276" w:lineRule="auto"/>
        <w:shd w:fill="EAF4F0"/>
        <w:pBdr>
          <w:left w:val="single" w:sz="18" w:space="10" w:color="2F7D68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Сквозной идентификатор</w:t>
        <w:br/>
      </w:r>
      <w:r>
        <w:rPr>
          <w:rFonts w:ascii="Calibri" w:hAnsi="Calibri" w:eastAsia="Calibri"/>
          <w:color w:val="172033"/>
          <w:sz w:val="21"/>
        </w:rPr>
        <w:t>Один идентификатор события связывает записи во всех затронутых реестрах. Несвязанная запись не может служить основанием окончательного расчёта или заявления эффекта.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08  /  УНИВЕРСАЛЬНЫЙ ПАСПОРТ</w:t>
      </w:r>
    </w:p>
    <w:p>
      <w:pPr>
        <w:pStyle w:val="Heading1"/>
        <w:keepLines/>
        <w:widowControl/>
        <w:keepNext/>
      </w:pPr>
      <w:r>
        <w:t>Паспорт проектного события — атом апробации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50"/>
        <w:gridCol w:w="4880"/>
        <w:gridCol w:w="2930"/>
      </w:tblGrid>
      <w:tr>
        <w:trPr>
          <w:tblHeader w:val="true"/>
        </w:trPr>
        <w:tc>
          <w:tcPr>
            <w:tcW w:type="dxa" w:w="15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Блок</w:t>
            </w:r>
          </w:p>
        </w:tc>
        <w:tc>
          <w:tcPr>
            <w:tcW w:type="dxa" w:w="488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Обязательные поля</w:t>
            </w:r>
          </w:p>
        </w:tc>
        <w:tc>
          <w:tcPr>
            <w:tcW w:type="dxa" w:w="293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Контроль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Идентичность</w:t>
            </w:r>
          </w:p>
        </w:tc>
        <w:tc>
          <w:tcPr>
            <w:tcW w:type="dxa" w:w="48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ID, тип, территория, время, версия.</w:t>
            </w:r>
          </w:p>
        </w:tc>
        <w:tc>
          <w:tcPr>
            <w:tcW w:type="dxa" w:w="29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уникальность, неизменность</w:t>
            </w:r>
          </w:p>
        </w:tc>
      </w:tr>
      <w:tr>
        <w:tc>
          <w:tcPr>
            <w:tcW w:type="dxa" w:w="15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Основание</w:t>
            </w:r>
          </w:p>
        </w:tc>
        <w:tc>
          <w:tcPr>
            <w:tcW w:type="dxa" w:w="48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закон, мандат, договор, согласие, лимит.</w:t>
            </w:r>
          </w:p>
        </w:tc>
        <w:tc>
          <w:tcPr>
            <w:tcW w:type="dxa" w:w="29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полномочие, срок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Проблема и baseline</w:t>
            </w:r>
          </w:p>
        </w:tc>
        <w:tc>
          <w:tcPr>
            <w:tcW w:type="dxa" w:w="48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границы, исходное состояние, дата среза.</w:t>
            </w:r>
          </w:p>
        </w:tc>
        <w:tc>
          <w:tcPr>
            <w:tcW w:type="dxa" w:w="29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существенность, сопоставимость</w:t>
            </w:r>
          </w:p>
        </w:tc>
      </w:tr>
      <w:tr>
        <w:tc>
          <w:tcPr>
            <w:tcW w:type="dxa" w:w="15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Стороны</w:t>
            </w:r>
          </w:p>
        </w:tc>
        <w:tc>
          <w:tcPr>
            <w:tcW w:type="dxa" w:w="48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инициатор, владелец, исполнитель, бенефициар, валидатор.</w:t>
            </w:r>
          </w:p>
        </w:tc>
        <w:tc>
          <w:tcPr>
            <w:tcW w:type="dxa" w:w="29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разделение ролей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Вход</w:t>
            </w:r>
          </w:p>
        </w:tc>
        <w:tc>
          <w:tcPr>
            <w:tcW w:type="dxa" w:w="48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право, ресурс, данные, обязательство, риск.</w:t>
            </w:r>
          </w:p>
        </w:tc>
        <w:tc>
          <w:tcPr>
            <w:tcW w:type="dxa" w:w="29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владение, качество, доступ</w:t>
            </w:r>
          </w:p>
        </w:tc>
      </w:tr>
      <w:tr>
        <w:tc>
          <w:tcPr>
            <w:tcW w:type="dxa" w:w="15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Решение</w:t>
            </w:r>
          </w:p>
        </w:tc>
        <w:tc>
          <w:tcPr>
            <w:tcW w:type="dxa" w:w="48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сценарий, ТЭО, календарь, допущения, стоп-условия.</w:t>
            </w:r>
          </w:p>
        </w:tc>
        <w:tc>
          <w:tcPr>
            <w:tcW w:type="dxa" w:w="29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утверждение, версия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Выход</w:t>
            </w:r>
          </w:p>
        </w:tc>
        <w:tc>
          <w:tcPr>
            <w:tcW w:type="dxa" w:w="48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новое состояние, результат, остаток, побочный эффект.</w:t>
            </w:r>
          </w:p>
        </w:tc>
        <w:tc>
          <w:tcPr>
            <w:tcW w:type="dxa" w:w="29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атрибуция, двойной счёт</w:t>
            </w:r>
          </w:p>
        </w:tc>
      </w:tr>
      <w:tr>
        <w:tc>
          <w:tcPr>
            <w:tcW w:type="dxa" w:w="15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Доказательство</w:t>
            </w:r>
          </w:p>
        </w:tc>
        <w:tc>
          <w:tcPr>
            <w:tcW w:type="dxa" w:w="48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методика, измерение, документ, подпись, экспертная проверка.</w:t>
            </w:r>
          </w:p>
        </w:tc>
        <w:tc>
          <w:tcPr>
            <w:tcW w:type="dxa" w:w="29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происхождение, независимость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Ответственность</w:t>
            </w:r>
          </w:p>
        </w:tc>
        <w:tc>
          <w:tcPr>
            <w:tcW w:type="dxa" w:w="48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владелец риска, SLA, спор, исправление.</w:t>
            </w:r>
          </w:p>
        </w:tc>
        <w:tc>
          <w:tcPr>
            <w:tcW w:type="dxa" w:w="29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эскалация, корректировка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Правило версии</w:t>
        <w:br/>
      </w:r>
      <w:r>
        <w:rPr>
          <w:rFonts w:ascii="Calibri" w:hAnsi="Calibri" w:eastAsia="Calibri"/>
          <w:color w:val="172033"/>
          <w:sz w:val="21"/>
        </w:rPr>
        <w:t>Ошибка не стирается: создаётся компенсирующее событие со ссылкой на исходную запись, причину, автора, время и новую версию методики.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09  /  МАТРИЦА ПОЛНОТЫ</w:t>
      </w:r>
    </w:p>
    <w:p>
      <w:pPr>
        <w:pStyle w:val="Heading1"/>
        <w:keepLines/>
        <w:widowControl/>
        <w:keepNext/>
      </w:pPr>
      <w:r>
        <w:t>3 × 13 × 19 = 741 — авторская инженерная гипотеза полноты</w:t>
      </w: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Формула</w:t>
        <w:br/>
      </w:r>
      <w:r>
        <w:rPr>
          <w:rFonts w:ascii="Calibri" w:hAnsi="Calibri" w:eastAsia="Calibri"/>
          <w:color w:val="172033"/>
          <w:sz w:val="21"/>
        </w:rPr>
        <w:t>Три масштаба — человек, государство, планета — × тринадцать фаз жизненного цикла × девятнадцать балансов = 741 проверочная позиция. Каждая позиция отвечает: что известно, кто отвечает, чем подтверждено и требуется ли корректировка?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4200"/>
        <w:gridCol w:w="3260"/>
      </w:tblGrid>
      <w:tr>
        <w:trPr>
          <w:tblHeader w:val="true"/>
        </w:trPr>
        <w:tc>
          <w:tcPr>
            <w:tcW w:type="dxa" w:w="1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Статус</w:t>
            </w:r>
          </w:p>
        </w:tc>
        <w:tc>
          <w:tcPr>
            <w:tcW w:type="dxa" w:w="42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Смысл</w:t>
            </w:r>
          </w:p>
        </w:tc>
        <w:tc>
          <w:tcPr>
            <w:tcW w:type="dxa" w:w="32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Управленческое действие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0 — нет данных</w:t>
            </w:r>
          </w:p>
        </w:tc>
        <w:tc>
          <w:tcPr>
            <w:tcW w:type="dxa" w:w="4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источник отсутствует или не назначен</w:t>
            </w:r>
          </w:p>
        </w:tc>
        <w:tc>
          <w:tcPr>
            <w:tcW w:type="dxa" w:w="3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назначить владельца и срок</w:t>
            </w:r>
          </w:p>
        </w:tc>
      </w:tr>
      <w:tr>
        <w:tc>
          <w:tcPr>
            <w:tcW w:type="dxa" w:w="19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1 — наблюдение</w:t>
            </w:r>
          </w:p>
        </w:tc>
        <w:tc>
          <w:tcPr>
            <w:tcW w:type="dxa" w:w="42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данные есть, порог не подтверждён</w:t>
            </w:r>
          </w:p>
        </w:tc>
        <w:tc>
          <w:tcPr>
            <w:tcW w:type="dxa" w:w="32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проверить качество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2 — риск</w:t>
            </w:r>
          </w:p>
        </w:tc>
        <w:tc>
          <w:tcPr>
            <w:tcW w:type="dxa" w:w="4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коридор нарушен или доказательность недостаточна</w:t>
            </w:r>
          </w:p>
        </w:tc>
        <w:tc>
          <w:tcPr>
            <w:tcW w:type="dxa" w:w="3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эскалация владельцу риска</w:t>
            </w:r>
          </w:p>
        </w:tc>
      </w:tr>
      <w:tr>
        <w:tc>
          <w:tcPr>
            <w:tcW w:type="dxa" w:w="19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3 — управление</w:t>
            </w:r>
          </w:p>
        </w:tc>
        <w:tc>
          <w:tcPr>
            <w:tcW w:type="dxa" w:w="42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мандат, ресурс и действие зафиксированы</w:t>
            </w:r>
          </w:p>
        </w:tc>
        <w:tc>
          <w:tcPr>
            <w:tcW w:type="dxa" w:w="32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контроль исполнения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4 — доказано</w:t>
            </w:r>
          </w:p>
        </w:tc>
        <w:tc>
          <w:tcPr>
            <w:tcW w:type="dxa" w:w="4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результат независимо проверен</w:t>
            </w:r>
          </w:p>
        </w:tc>
        <w:tc>
          <w:tcPr>
            <w:tcW w:type="dxa" w:w="3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расчёт и возможное тиражирование</w:t>
            </w:r>
          </w:p>
        </w:tc>
      </w:tr>
      <w:tr>
        <w:tc>
          <w:tcPr>
            <w:tcW w:type="dxa" w:w="19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5 — корректировка</w:t>
            </w:r>
          </w:p>
        </w:tc>
        <w:tc>
          <w:tcPr>
            <w:tcW w:type="dxa" w:w="42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изменились условия или обнаружена ошибка</w:t>
            </w:r>
          </w:p>
        </w:tc>
        <w:tc>
          <w:tcPr>
            <w:tcW w:type="dxa" w:w="32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создать событие новой версии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CEEEE"/>
        <w:pBdr>
          <w:left w:val="single" w:sz="18" w:space="10" w:color="A64040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Ограничение</w:t>
        <w:br/>
      </w:r>
      <w:r>
        <w:rPr>
          <w:rFonts w:ascii="Calibri" w:hAnsi="Calibri" w:eastAsia="Calibri"/>
          <w:color w:val="172033"/>
          <w:sz w:val="21"/>
        </w:rPr>
        <w:t>Матрица 741 не заявляется стандартом РСПП, рейтингом компаний или нормативным требованием. В апробации проверяется только её практическая полезность для выявления неизвестных критических зон.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10  /  ECO-PPA</w:t>
      </w:r>
    </w:p>
    <w:p>
      <w:pPr>
        <w:pStyle w:val="Heading1"/>
        <w:keepLines/>
        <w:widowControl/>
        <w:keepNext/>
      </w:pPr>
      <w:r>
        <w:t>ECO-PPA собирает проект, обязательства и ресурсы</w:t>
      </w:r>
    </w:p>
    <w:p>
      <w:pPr>
        <w:pStyle w:val="Lead"/>
        <w:spacing w:after="240"/>
      </w:pPr>
      <w:r>
        <w:t>Рабочий механизм проектной сборки — до определения окончательной правовой конструкции каждого кейса.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Паспорт. </w:t>
      </w:r>
      <w:r>
        <w:t>объект, территория, проблема, baseline, стороны и версия проектного решения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Обязательства. </w:t>
      </w:r>
      <w:r>
        <w:t>кто предоставляет ресурс, кто выполняет действие, кто принимает результат и кто несёт риск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Экономика. </w:t>
      </w:r>
      <w:r>
        <w:t>источники, бюджетные и внебюджетные инструменты, цена результата, резервы и условия расчёта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Календарь. </w:t>
      </w:r>
      <w:r>
        <w:t>контрольные точки, условия начала, остановки, пересмотра и завершения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Доказательства. </w:t>
      </w:r>
      <w:r>
        <w:t>метрики, методики, первичные данные, контроль качества и независимая проверка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Корректировка. </w:t>
      </w:r>
      <w:r>
        <w:t>порядок изменения исходного состояния, цены, объёма, сроков и ответственности</w:t>
      </w: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Правовая оговорка</w:t>
        <w:br/>
      </w:r>
      <w:r>
        <w:rPr>
          <w:rFonts w:ascii="Calibri" w:hAnsi="Calibri" w:eastAsia="Calibri"/>
          <w:color w:val="172033"/>
          <w:sz w:val="21"/>
        </w:rPr>
        <w:t>ECO-PPA не объявляется установленным законом самостоятельным видом договора. В каждом кейсе юристы квалифицируют применимые конструкции: договор поставки, подряд, сервис, офсет, концессия, ГЧП, проектное финансирование или их допустимое сочетание.</w:t>
      </w:r>
    </w:p>
    <w:p>
      <w:pPr>
        <w:pStyle w:val="Source"/>
        <w:spacing w:before="80"/>
      </w:pPr>
      <w:r>
        <w:t>Апробация заканчивается не подписанием сделки, а проверенным проектным досье и перечнем правовых вариантов.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11  /  ДОКАЗАТЕЛЬНОСТЬ ESG-IR</w:t>
      </w:r>
    </w:p>
    <w:p>
      <w:pPr>
        <w:pStyle w:val="Heading1"/>
        <w:keepLines/>
        <w:widowControl/>
        <w:keepNext/>
      </w:pPr>
      <w:r>
        <w:t>Каждое существенное утверждение проходит одну цепочку проверки</w:t>
      </w: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Цепочка</w:t>
        <w:br/>
      </w:r>
      <w:r>
        <w:rPr>
          <w:rFonts w:ascii="Calibri" w:hAnsi="Calibri" w:eastAsia="Calibri"/>
          <w:color w:val="172033"/>
          <w:sz w:val="21"/>
        </w:rPr>
        <w:t>Показатель → методика → baseline → первичные данные → владелец → дата → расчёт → доказательство → независимая проверка → статус.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Методика до результата. </w:t>
      </w:r>
      <w:r>
        <w:t>Единица, границы, формула, допущения, периодичность и критерий существенности фиксируются заранее.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Происхождение данных. </w:t>
      </w:r>
      <w:r>
        <w:t>Сохраняются источник, право доступа, версия, контроль качества и все преобразования.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Статус утверждения. </w:t>
      </w:r>
      <w:r>
        <w:t>«подтверждено», «ожидает проверки», «отклонено» или «неприменимо»; неподписанных существенных выводов нет.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Независимость. </w:t>
      </w:r>
      <w:r>
        <w:t>Исполнитель не подтверждает собственный результат; конфликт интересов раскрывается и управляется.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Воспроизводимость. </w:t>
      </w:r>
      <w:r>
        <w:t>Эксперт может повторить расчёт по той же версии данных и методики.</w:t>
      </w:r>
    </w:p>
    <w:p>
      <w:pPr>
        <w:pStyle w:val="Callout"/>
        <w:spacing w:before="120" w:after="200" w:line="276" w:lineRule="auto"/>
        <w:shd w:fill="EAF4F0"/>
        <w:pBdr>
          <w:left w:val="single" w:sz="18" w:space="10" w:color="2F7D68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Сопряжение с практикой РСПП</w:t>
        <w:br/>
      </w:r>
      <w:r>
        <w:rPr>
          <w:rFonts w:ascii="Calibri" w:hAnsi="Calibri" w:eastAsia="Calibri"/>
          <w:color w:val="172033"/>
          <w:sz w:val="21"/>
        </w:rPr>
        <w:t>ESG-IR предлагается как экспериментальный проектный слой доказательности, дополняющий, а не заменяющий действующие индексы, нефинансовую отчётность и общественное заверение РСПП [8].</w:t>
      </w:r>
    </w:p>
    <w:p>
      <w:pPr>
        <w:pStyle w:val="Source"/>
        <w:spacing w:before="80"/>
      </w:pPr>
      <w:r>
        <w:t>ESG-IR не заменяет аудит, ОВОС, государственную экспертизу, обязательную отчётность или надзорные процедуры.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12  /  РАЗДЕЛЕНИЕ ПОЛНОМОЧИЙ</w:t>
      </w:r>
    </w:p>
    <w:p>
      <w:pPr>
        <w:pStyle w:val="Heading1"/>
        <w:keepLines/>
        <w:widowControl/>
        <w:keepNext/>
      </w:pPr>
      <w:r>
        <w:t>Ни один контур не выбирает, исполняет и подтверждает свой результат одновременно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450"/>
        <w:gridCol w:w="4930"/>
        <w:gridCol w:w="2980"/>
      </w:tblGrid>
      <w:tr>
        <w:trPr>
          <w:tblHeader w:val="true"/>
        </w:trPr>
        <w:tc>
          <w:tcPr>
            <w:tcW w:type="dxa" w:w="14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Контур</w:t>
            </w:r>
          </w:p>
        </w:tc>
        <w:tc>
          <w:tcPr>
            <w:tcW w:type="dxa" w:w="493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Ответственность</w:t>
            </w:r>
          </w:p>
        </w:tc>
        <w:tc>
          <w:tcPr>
            <w:tcW w:type="dxa" w:w="298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Не является</w:t>
            </w:r>
          </w:p>
        </w:tc>
      </w:tr>
      <w:tr>
        <w:tc>
          <w:tcPr>
            <w:tcW w:type="dxa" w:w="14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РСПП</w:t>
            </w:r>
          </w:p>
        </w:tc>
        <w:tc>
          <w:tcPr>
            <w:tcW w:type="dxa" w:w="49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площадка, деловой мандат, компании, правила апробации и итоговое решение</w:t>
            </w:r>
          </w:p>
        </w:tc>
        <w:tc>
          <w:tcPr>
            <w:tcW w:type="dxa" w:w="29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инвестором, оператором или верификатором проектов</w:t>
            </w:r>
          </w:p>
        </w:tc>
      </w:tr>
      <w:tr>
        <w:tc>
          <w:tcPr>
            <w:tcW w:type="dxa" w:w="14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ЭКВИЛИБРИУМ</w:t>
            </w:r>
          </w:p>
        </w:tc>
        <w:tc>
          <w:tcPr>
            <w:tcW w:type="dxa" w:w="49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диагностика, балансы, сценарии, приоритеты и аналитические варианты</w:t>
            </w:r>
          </w:p>
        </w:tc>
        <w:tc>
          <w:tcPr>
            <w:tcW w:type="dxa" w:w="29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органом корпоративного или государственного решения</w:t>
            </w:r>
          </w:p>
        </w:tc>
      </w:tr>
      <w:tr>
        <w:tc>
          <w:tcPr>
            <w:tcW w:type="dxa" w:w="14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ECO-PPA</w:t>
            </w:r>
          </w:p>
        </w:tc>
        <w:tc>
          <w:tcPr>
            <w:tcW w:type="dxa" w:w="49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паспорт, обязательства, ресурсы, календарь, риски и договорная сборка</w:t>
            </w:r>
          </w:p>
        </w:tc>
        <w:tc>
          <w:tcPr>
            <w:tcW w:type="dxa" w:w="29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самостоятельным видом договора без правовой квалификации</w:t>
            </w:r>
          </w:p>
        </w:tc>
      </w:tr>
      <w:tr>
        <w:tc>
          <w:tcPr>
            <w:tcW w:type="dxa" w:w="14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СПЕЦЗАЩИТА</w:t>
            </w:r>
          </w:p>
        </w:tc>
        <w:tc>
          <w:tcPr>
            <w:tcW w:type="dxa" w:w="49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консорциум, организация работ, исполнение и подтверждающие материалы</w:t>
            </w:r>
          </w:p>
        </w:tc>
        <w:tc>
          <w:tcPr>
            <w:tcW w:type="dxa" w:w="29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независимым проверяющим собственных результатов</w:t>
            </w:r>
          </w:p>
        </w:tc>
      </w:tr>
      <w:tr>
        <w:tc>
          <w:tcPr>
            <w:tcW w:type="dxa" w:w="14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ESG-IR</w:t>
            </w:r>
          </w:p>
        </w:tc>
        <w:tc>
          <w:tcPr>
            <w:tcW w:type="dxa" w:w="49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показатели, происхождение данных, правила проверки и независимая рецензия</w:t>
            </w:r>
          </w:p>
        </w:tc>
        <w:tc>
          <w:tcPr>
            <w:tcW w:type="dxa" w:w="29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заменой аудита, отчётности или государственной экспертизы</w:t>
            </w:r>
          </w:p>
        </w:tc>
      </w:tr>
      <w:tr>
        <w:tc>
          <w:tcPr>
            <w:tcW w:type="dxa" w:w="14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СФЕРА</w:t>
            </w:r>
          </w:p>
        </w:tc>
        <w:tc>
          <w:tcPr>
            <w:tcW w:type="dxa" w:w="49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портфель, коммуникация, поиск партнёров и тиражирование проверенного</w:t>
            </w:r>
          </w:p>
        </w:tc>
        <w:tc>
          <w:tcPr>
            <w:tcW w:type="dxa" w:w="29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источником первичных доказательств или органом допуска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EAF4F0"/>
        <w:pBdr>
          <w:left w:val="single" w:sz="18" w:space="10" w:color="2F7D68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Формула ответственности</w:t>
        <w:br/>
      </w:r>
      <w:r>
        <w:rPr>
          <w:rFonts w:ascii="Calibri" w:hAnsi="Calibri" w:eastAsia="Calibri"/>
          <w:color w:val="172033"/>
          <w:sz w:val="21"/>
        </w:rPr>
        <w:t>РСПП задаёт площадку и деловой мандат; ЭКВИЛИБРИУМ видит и готовит варианты; ECO-PPA собирает проект; СПЕЦЗАЩИТА организует исполнение; ESG-IR доказывает; СФЕРА распространяет только проверенное.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13  /  ОРГАНЫ АПРОБАЦИИ</w:t>
      </w:r>
    </w:p>
    <w:p>
      <w:pPr>
        <w:pStyle w:val="Heading1"/>
        <w:keepLines/>
        <w:widowControl/>
        <w:keepNext/>
      </w:pPr>
      <w:r>
        <w:t>Рабочая группа управляет экспериментом, а не проектами компаний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Координатор от РСПП. </w:t>
      </w:r>
      <w:r>
        <w:t>созывает рабочую группу, фиксирует решения, маршрутизирует кейсы и контролирует соблюдение мандата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Компании-участники. </w:t>
      </w:r>
      <w:r>
        <w:t>предоставляют кейс добровольно, назначают владельцев решения и данных, определяют режим конфиденциальности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Отраслевые эксперты. </w:t>
      </w:r>
      <w:r>
        <w:t>проверяют применимость методики, технологические допущения и отраслевые ограничения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Оператор методики. </w:t>
      </w:r>
      <w:r>
        <w:t>готовит паспорта, словари, демонстрационный реестр и методические материалы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Юридический и ИБ-контур. </w:t>
      </w:r>
      <w:r>
        <w:t>проверяет право, данные, коммерческую тайну, ИС, интеллектуальные права и киберриски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Независимые рецензенты. </w:t>
      </w:r>
      <w:r>
        <w:t>оценивают воспроизводимость расчётов, достаточность доказательств и конфликты интересов</w:t>
      </w:r>
    </w:p>
    <w:p>
      <w:pPr>
        <w:pStyle w:val="Heading2"/>
      </w:pPr>
      <w:r>
        <w:t>Рекомендуемые площадки для маршрутизации по решению Аппарата РСПП: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Комитет по экологии и климатической политике;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комитет по устойчивому развитию и демографической политике;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координационный совет по технологическому лидерству и промышленной политике;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профильные финансовый, цифровой и отраслевые контуры РСПП.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14  /  ПЛАН 90 ДНЕЙ</w:t>
      </w:r>
    </w:p>
    <w:p>
      <w:pPr>
        <w:pStyle w:val="Heading1"/>
        <w:keepLines/>
        <w:widowControl/>
        <w:keepNext/>
      </w:pPr>
      <w:r>
        <w:t>Шесть этапов приводят к проверяемому решению на 90-й день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00"/>
        <w:gridCol w:w="2500"/>
        <w:gridCol w:w="5760"/>
      </w:tblGrid>
      <w:tr>
        <w:trPr>
          <w:tblHeader w:val="true"/>
        </w:trPr>
        <w:tc>
          <w:tcPr>
            <w:tcW w:type="dxa" w:w="11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Срок</w:t>
            </w:r>
          </w:p>
        </w:tc>
        <w:tc>
          <w:tcPr>
            <w:tcW w:type="dxa" w:w="2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Этап</w:t>
            </w:r>
          </w:p>
        </w:tc>
        <w:tc>
          <w:tcPr>
            <w:tcW w:type="dxa" w:w="57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Проверяемый результат</w:t>
            </w:r>
          </w:p>
        </w:tc>
      </w:tr>
      <w:tr>
        <w:tc>
          <w:tcPr>
            <w:tcW w:type="dxa" w:w="1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1–10</w:t>
            </w:r>
          </w:p>
        </w:tc>
        <w:tc>
          <w:tcPr>
            <w:tcW w:type="dxa" w:w="2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Мандат и периметр</w:t>
            </w:r>
          </w:p>
        </w:tc>
        <w:tc>
          <w:tcPr>
            <w:tcW w:type="dxa" w:w="57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координатор, рабочая группа, ТЗ, ограничения, конфиденциальность</w:t>
            </w:r>
          </w:p>
        </w:tc>
      </w:tr>
      <w:tr>
        <w:tc>
          <w:tcPr>
            <w:tcW w:type="dxa" w:w="11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11–25</w:t>
            </w:r>
          </w:p>
        </w:tc>
        <w:tc>
          <w:tcPr>
            <w:tcW w:type="dxa" w:w="25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Отбор кейсов</w:t>
            </w:r>
          </w:p>
        </w:tc>
        <w:tc>
          <w:tcPr>
            <w:tcW w:type="dxa" w:w="57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до трёх кейсов, владельцы, исходные материалы, критерии существенности</w:t>
            </w:r>
          </w:p>
        </w:tc>
      </w:tr>
      <w:tr>
        <w:tc>
          <w:tcPr>
            <w:tcW w:type="dxa" w:w="1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26–45</w:t>
            </w:r>
          </w:p>
        </w:tc>
        <w:tc>
          <w:tcPr>
            <w:tcW w:type="dxa" w:w="2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Паспортирование</w:t>
            </w:r>
          </w:p>
        </w:tc>
        <w:tc>
          <w:tcPr>
            <w:tcW w:type="dxa" w:w="57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паспорта ECO-PPA, baseline, роли, риски, показатели, дефицит данных</w:t>
            </w:r>
          </w:p>
        </w:tc>
      </w:tr>
      <w:tr>
        <w:tc>
          <w:tcPr>
            <w:tcW w:type="dxa" w:w="11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46–65</w:t>
            </w:r>
          </w:p>
        </w:tc>
        <w:tc>
          <w:tcPr>
            <w:tcW w:type="dxa" w:w="25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Доказательность</w:t>
            </w:r>
          </w:p>
        </w:tc>
        <w:tc>
          <w:tcPr>
            <w:tcW w:type="dxa" w:w="57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словарь данных, методики, ESG-IR-цепочки, правовая и ИБ-проверка</w:t>
            </w:r>
          </w:p>
        </w:tc>
      </w:tr>
      <w:tr>
        <w:tc>
          <w:tcPr>
            <w:tcW w:type="dxa" w:w="11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66–80</w:t>
            </w:r>
          </w:p>
        </w:tc>
        <w:tc>
          <w:tcPr>
            <w:tcW w:type="dxa" w:w="2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Сквозной тест</w:t>
            </w:r>
          </w:p>
        </w:tc>
        <w:tc>
          <w:tcPr>
            <w:tcW w:type="dxa" w:w="57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демонстрационный реестр, два последовательных среза, тест воспроизводимости</w:t>
            </w:r>
          </w:p>
        </w:tc>
      </w:tr>
      <w:tr>
        <w:tc>
          <w:tcPr>
            <w:tcW w:type="dxa" w:w="11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81–90</w:t>
            </w:r>
          </w:p>
        </w:tc>
        <w:tc>
          <w:tcPr>
            <w:tcW w:type="dxa" w:w="25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Решение</w:t>
            </w:r>
          </w:p>
        </w:tc>
        <w:tc>
          <w:tcPr>
            <w:tcW w:type="dxa" w:w="57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итоговый отчёт, независимая рецензия, план 12 месяцев, GO / условия / NO-GO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Результаты 90 дней</w:t>
        <w:br/>
      </w:r>
      <w:r>
        <w:rPr>
          <w:rFonts w:ascii="Calibri" w:hAnsi="Calibri" w:eastAsia="Calibri"/>
          <w:color w:val="172033"/>
          <w:sz w:val="21"/>
        </w:rPr>
        <w:t>Положение о рабочей группе; единый словарь; паспорта кейсов; реестр рисков и обязательств; протокол ESG-IR; заключения по праву, данным и ИБ; демонстрационный реестр; проект 12-месячного пилота.</w:t>
      </w:r>
    </w:p>
    <w:p>
      <w:pPr>
        <w:pStyle w:val="Source"/>
        <w:spacing w:before="80"/>
      </w:pPr>
      <w:r>
        <w:t>Рекомендуется завершить не менее двух кейсов полным сквозным тестом; незавершённые кейсы документируются как доказанные ограничения методики.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15  /  ПРАВО, ДАННЫЕ И ИНТЕЛЛЕКТУАЛЬНАЯ СОБСТВЕННОСТЬ</w:t>
      </w:r>
    </w:p>
    <w:p>
      <w:pPr>
        <w:pStyle w:val="Heading1"/>
        <w:keepLines/>
        <w:widowControl/>
        <w:keepNext/>
      </w:pPr>
      <w:r>
        <w:t>Доказательность строится без избыточного раскрытия данных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rPr>
          <w:rFonts w:ascii="Calibri" w:hAnsi="Calibri" w:eastAsia="Calibri"/>
          <w:b/>
          <w:color w:val="172033"/>
          <w:sz w:val="22"/>
        </w:rPr>
        <w:t>Минимизация.</w:t>
      </w:r>
      <w:r>
        <w:t xml:space="preserve"> Передаётся только объём данных, необходимый для конкретной проверки.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rPr>
          <w:rFonts w:ascii="Calibri" w:hAnsi="Calibri" w:eastAsia="Calibri"/>
          <w:b/>
          <w:color w:val="172033"/>
          <w:sz w:val="22"/>
        </w:rPr>
        <w:t>Владение.</w:t>
      </w:r>
      <w:r>
        <w:t xml:space="preserve"> Источник и законный владелец данных фиксируются; участие не меняет право собственности автоматически.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rPr>
          <w:rFonts w:ascii="Calibri" w:hAnsi="Calibri" w:eastAsia="Calibri"/>
          <w:b/>
          <w:color w:val="172033"/>
          <w:sz w:val="22"/>
        </w:rPr>
        <w:t>Разграничение доступа.</w:t>
      </w:r>
      <w:r>
        <w:t xml:space="preserve"> Открытый, рабочий, конфиденциальный и защищённый слои имеют разные режимы.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rPr>
          <w:rFonts w:ascii="Calibri" w:hAnsi="Calibri" w:eastAsia="Calibri"/>
          <w:b/>
          <w:color w:val="172033"/>
          <w:sz w:val="22"/>
        </w:rPr>
        <w:t>Версионность.</w:t>
      </w:r>
      <w:r>
        <w:t xml:space="preserve"> Сохраняются исходные записи, преобразования, методики и решения о корректировке.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rPr>
          <w:rFonts w:ascii="Calibri" w:hAnsi="Calibri" w:eastAsia="Calibri"/>
          <w:b/>
          <w:color w:val="172033"/>
          <w:sz w:val="22"/>
        </w:rPr>
        <w:t>Публикация.</w:t>
      </w:r>
      <w:r>
        <w:t xml:space="preserve"> Внешнее раскрытие допускается только с согласия владельца и после проверки коммерческой тайны.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rPr>
          <w:rFonts w:ascii="Calibri" w:hAnsi="Calibri" w:eastAsia="Calibri"/>
          <w:b/>
          <w:color w:val="172033"/>
          <w:sz w:val="22"/>
        </w:rPr>
        <w:t>Интеллектуальные права.</w:t>
      </w:r>
      <w:r>
        <w:t xml:space="preserve"> Методология, исходные решения компаний и совместные результаты разграничиваются соглашением до начала работ.</w:t>
      </w:r>
    </w:p>
    <w:p>
      <w:pPr>
        <w:pStyle w:val="Callout"/>
        <w:spacing w:before="120" w:after="200" w:line="276" w:lineRule="auto"/>
        <w:shd w:fill="FCEEEE"/>
        <w:pBdr>
          <w:left w:val="single" w:sz="18" w:space="10" w:color="A64040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Стоп-условия</w:t>
        <w:br/>
      </w:r>
      <w:r>
        <w:rPr>
          <w:rFonts w:ascii="Calibri" w:hAnsi="Calibri" w:eastAsia="Calibri"/>
          <w:color w:val="172033"/>
          <w:sz w:val="21"/>
        </w:rPr>
        <w:t>Апробация приостанавливается, если нет законного основания обработки данных; невозможно отделить оператора от проверяющего; раскрывается критическая инфраструктура; нарушаются права третьих лиц; отсутствует механизм обжалования.</w:t>
      </w:r>
    </w:p>
    <w:p>
      <w:pPr>
        <w:pStyle w:val="Source"/>
        <w:spacing w:before="80"/>
      </w:pPr>
      <w:r>
        <w:t>Конкретные требования определяются юристами, владельцами данных и специалистами по информационной безопасности применительно к каждому кейсу.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16  /  КРИТЕРИИ ПЕРЕХОДА</w:t>
      </w:r>
    </w:p>
    <w:p>
      <w:pPr>
        <w:pStyle w:val="Heading1"/>
        <w:keepLines/>
        <w:widowControl/>
        <w:keepNext/>
      </w:pPr>
      <w:r>
        <w:t>Переход к 12 месяцам возможен только при выполнении критических условий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Не менее двух компаний письменно подтверждают дальнейшее участие.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У каждого кейса назначены владелец решения и владелец данных.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Обязательные поля паспорта заполнены либо дефицит данных официально принят рабочей группой.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Для ключевых показателей определены единица, baseline, источник, методика, периодичность и способ проверки.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Все существенные утверждения имеют подписанный статус; расчёты воспроизводятся независимым экспертом.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Получены минимум два последовательных среза данных.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Нет неурегулированных критических правовых, информационных или этических рисков.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Исполнитель не подтверждает собственный результат.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Компании утвердили ресурсный и организационный план 12-месячного пилота.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Решение</w:t>
            </w:r>
          </w:p>
        </w:tc>
        <w:tc>
          <w:tcPr>
            <w:tcW w:type="dxa" w:w="67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Условие</w:t>
            </w:r>
          </w:p>
        </w:tc>
      </w:tr>
      <w:tr>
        <w:tc>
          <w:tcPr>
            <w:tcW w:type="dxa" w:w="2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GO</w:t>
            </w:r>
          </w:p>
        </w:tc>
        <w:tc>
          <w:tcPr>
            <w:tcW w:type="dxa" w:w="67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все критические условия выполнены</w:t>
            </w:r>
          </w:p>
        </w:tc>
      </w:tr>
      <w:tr>
        <w:tc>
          <w:tcPr>
            <w:tcW w:type="dxa" w:w="26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GO WITH CONDITIONS</w:t>
            </w:r>
          </w:p>
        </w:tc>
        <w:tc>
          <w:tcPr>
            <w:tcW w:type="dxa" w:w="67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есть только некритические разрывы с владельцем и утверждённым сроком устранения</w:t>
            </w:r>
          </w:p>
        </w:tc>
      </w:tr>
      <w:tr>
        <w:tc>
          <w:tcPr>
            <w:tcW w:type="dxa" w:w="2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NO-GO / REDESIGN</w:t>
            </w:r>
          </w:p>
        </w:tc>
        <w:tc>
          <w:tcPr>
            <w:tcW w:type="dxa" w:w="67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нет владельца, результат неизмерим, расчёт невоспроизводим или сохраняется критический конфликт интересов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Eyebrow"/>
        <w:keepLines/>
        <w:widowControl/>
        <w:keepNext/>
      </w:pPr>
      <w:r>
        <w:t>17  /  КОНТУР 12-МЕСЯЧНОГО ПИЛОТА</w:t>
      </w:r>
    </w:p>
    <w:p>
      <w:pPr>
        <w:pStyle w:val="Heading1"/>
        <w:keepLines/>
        <w:widowControl/>
        <w:keepNext/>
      </w:pPr>
      <w:r>
        <w:t>Пилот масштабирует доказанный процесс, а не обещанный эффект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3600"/>
        <w:gridCol w:w="4060"/>
      </w:tblGrid>
      <w:tr>
        <w:trPr>
          <w:tblHeader w:val="true"/>
        </w:trPr>
        <w:tc>
          <w:tcPr>
            <w:tcW w:type="dxa" w:w="1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Период</w:t>
            </w:r>
          </w:p>
        </w:tc>
        <w:tc>
          <w:tcPr>
            <w:tcW w:type="dxa" w:w="3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Основная задача</w:t>
            </w:r>
          </w:p>
        </w:tc>
        <w:tc>
          <w:tcPr>
            <w:tcW w:type="dxa" w:w="40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Результат периода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Месяцы 1–3</w:t>
            </w:r>
          </w:p>
        </w:tc>
        <w:tc>
          <w:tcPr>
            <w:tcW w:type="dxa" w:w="3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нормативная и техническая архитектура</w:t>
            </w:r>
          </w:p>
        </w:tc>
        <w:tc>
          <w:tcPr>
            <w:tcW w:type="dxa" w:w="4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договоры, модель данных, интеграции, правила независимости</w:t>
            </w:r>
          </w:p>
        </w:tc>
      </w:tr>
      <w:tr>
        <w:tc>
          <w:tcPr>
            <w:tcW w:type="dxa" w:w="17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Месяцы 4–6</w:t>
            </w:r>
          </w:p>
        </w:tc>
        <w:tc>
          <w:tcPr>
            <w:tcW w:type="dxa" w:w="36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производственные циклы кейсов</w:t>
            </w:r>
          </w:p>
        </w:tc>
        <w:tc>
          <w:tcPr>
            <w:tcW w:type="dxa" w:w="40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операционные события, контрольные срезы, управление отклонениями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Месяцы 7–9</w:t>
            </w:r>
          </w:p>
        </w:tc>
        <w:tc>
          <w:tcPr>
            <w:tcW w:type="dxa" w:w="3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проверка эффекта и воспроизводимости</w:t>
            </w:r>
          </w:p>
        </w:tc>
        <w:tc>
          <w:tcPr>
            <w:tcW w:type="dxa" w:w="4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независимые расчёты, корректировки, отраслевое сравнение</w:t>
            </w:r>
          </w:p>
        </w:tc>
      </w:tr>
      <w:tr>
        <w:tc>
          <w:tcPr>
            <w:tcW w:type="dxa" w:w="17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Месяцы 10–12</w:t>
            </w:r>
          </w:p>
        </w:tc>
        <w:tc>
          <w:tcPr>
            <w:tcW w:type="dxa" w:w="36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оценка масштабирования</w:t>
            </w:r>
          </w:p>
        </w:tc>
        <w:tc>
          <w:tcPr>
            <w:tcW w:type="dxa" w:w="40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итоговое досье, экономическая и правовая оценка, решение РСПП и компаний</w:t>
            </w:r>
          </w:p>
        </w:tc>
      </w:tr>
    </w:tbl>
    <w:p>
      <w:pPr>
        <w:spacing w:after="20"/>
      </w:pPr>
    </w:p>
    <w:p>
      <w:pPr>
        <w:pStyle w:val="Heading2"/>
      </w:pPr>
      <w:r>
        <w:t>До старта пилота требуется отдельное утверждение: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периметра компаний, кейсов, данных и интеграций;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бюджета и источников финансирования — без предположения, что РСПП финансирует пилот;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методик показателей, независимого проверяющего и правил конфликта интересов;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порядка публикации, защиты коммерческой тайны и распределения интеллектуальных прав;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стоп-условий, порядка спора, корректировки и завершения.</w:t>
      </w:r>
    </w:p>
    <w:p>
      <w:pPr>
        <w:pStyle w:val="Callout"/>
        <w:spacing w:before="120" w:after="200" w:line="276" w:lineRule="auto"/>
        <w:shd w:fill="EAF4F0"/>
        <w:pBdr>
          <w:left w:val="single" w:sz="18" w:space="10" w:color="2F7D68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Критерий успеха</w:t>
        <w:br/>
      </w:r>
      <w:r>
        <w:rPr>
          <w:rFonts w:ascii="Calibri" w:hAnsi="Calibri" w:eastAsia="Calibri"/>
          <w:color w:val="172033"/>
          <w:sz w:val="21"/>
        </w:rPr>
        <w:t>Хотя бы один воспроизводимый маршрут от сигнала до корректировки, где можно восстановить полномочие, ресурс, действие, данные, доказательство и решение.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18  /  ПРОЕКТ РЕЗОЛЮЦИИ</w:t>
      </w:r>
    </w:p>
    <w:p>
      <w:pPr>
        <w:pStyle w:val="Heading1"/>
        <w:keepLines/>
        <w:widowControl/>
        <w:keepNext/>
      </w:pPr>
      <w:r>
        <w:t>Проект поручения Президента РСПП</w:t>
      </w: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1. Поддержать</w:t>
        <w:br/>
      </w:r>
      <w:r>
        <w:rPr>
          <w:rFonts w:ascii="Calibri" w:hAnsi="Calibri" w:eastAsia="Calibri"/>
          <w:color w:val="172033"/>
          <w:sz w:val="21"/>
        </w:rPr>
        <w:t>Проведение 90-дневной организационно-методической апробации без обязательств РСПП по финансированию проектов и без предварительного признания методологии инструментом или стандартом РСПП.</w:t>
      </w:r>
    </w:p>
    <w:p>
      <w:pPr>
        <w:pStyle w:val="Heading2"/>
      </w:pPr>
      <w:r>
        <w:t>2. Аппарату РСПП совместно с заинтересованными комитетами и подразделениями в течение 15 календарных дней представить: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кандидатуру координатора;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проект положения о рабочей группе;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техническое задание;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перечень добровольно участвующих организаций и кейсов;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правила работы с данными, коммерческой тайной и результатами апробации.</w:t>
      </w:r>
    </w:p>
    <w:p>
      <w:pPr>
        <w:pStyle w:val="Heading2"/>
      </w:pPr>
      <w:r>
        <w:t>3. Рабочей группе обеспечить: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проверку методики на ограниченном наборе добровольных кейсов;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независимую юридическую, техническую и методическую рецензию;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t>сохранение права компаний прекратить участие в порядке, установленном техническим заданием.</w:t>
      </w:r>
    </w:p>
    <w:p>
      <w:pPr>
        <w:pStyle w:val="Callout"/>
        <w:spacing w:before="120" w:after="200" w:line="276" w:lineRule="auto"/>
        <w:shd w:fill="EAF4F0"/>
        <w:pBdr>
          <w:left w:val="single" w:sz="18" w:space="10" w:color="2F7D68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4. По завершении 90 дней</w:t>
        <w:br/>
      </w:r>
      <w:r>
        <w:rPr>
          <w:rFonts w:ascii="Calibri" w:hAnsi="Calibri" w:eastAsia="Calibri"/>
          <w:color w:val="172033"/>
          <w:sz w:val="21"/>
        </w:rPr>
        <w:t>Представить Президенту РСПП итоговый отчёт и проект решения: перейти к 12-месячному пилоту; продолжить доработку с условиями; либо завершить эксперимент.</w:t>
      </w:r>
    </w:p>
    <w:p>
      <w:pPr>
        <w:pStyle w:val="Source"/>
        <w:spacing w:before="80"/>
      </w:pPr>
      <w:r>
        <w:t>Формулировка является проектом для юридической и организационной доработки Аппаратом РСПП.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19  /  КОМПЛЕКТ ПРИЛОЖЕНИЙ</w:t>
      </w:r>
    </w:p>
    <w:p>
      <w:pPr>
        <w:pStyle w:val="Heading1"/>
        <w:keepLines/>
        <w:widowControl/>
        <w:keepNext/>
      </w:pPr>
      <w:r>
        <w:t>Пакет готов к разбору на первой рабочей встрече</w:t>
      </w:r>
    </w:p>
    <w:p>
      <w:pPr>
        <w:spacing w:after="160" w:line="280" w:lineRule="auto"/>
        <w:jc w:val="left"/>
        <w:numPr>
          <w:ilvl w:val="0"/>
          <w:numId w:val="63"/>
        </w:numPr>
      </w:pPr>
      <w:r>
        <w:t>Приложение 1. Одностраничная карточка решения и границы апробации.</w:t>
      </w:r>
    </w:p>
    <w:p>
      <w:pPr>
        <w:spacing w:after="160" w:line="280" w:lineRule="auto"/>
        <w:jc w:val="left"/>
        <w:numPr>
          <w:ilvl w:val="0"/>
          <w:numId w:val="63"/>
        </w:numPr>
      </w:pPr>
      <w:r>
        <w:t>Приложение 2. Проект положения о рабочей группе.</w:t>
      </w:r>
    </w:p>
    <w:p>
      <w:pPr>
        <w:spacing w:after="160" w:line="280" w:lineRule="auto"/>
        <w:jc w:val="left"/>
        <w:numPr>
          <w:ilvl w:val="0"/>
          <w:numId w:val="63"/>
        </w:numPr>
      </w:pPr>
      <w:r>
        <w:t>Приложение 3. Техническое задание на 90 дней.</w:t>
      </w:r>
    </w:p>
    <w:p>
      <w:pPr>
        <w:spacing w:after="160" w:line="280" w:lineRule="auto"/>
        <w:jc w:val="left"/>
        <w:numPr>
          <w:ilvl w:val="0"/>
          <w:numId w:val="63"/>
        </w:numPr>
      </w:pPr>
      <w:r>
        <w:t>Приложение 4. Форма паспорта проектного события / ECO-PPA.</w:t>
      </w:r>
    </w:p>
    <w:p>
      <w:pPr>
        <w:spacing w:after="160" w:line="280" w:lineRule="auto"/>
        <w:jc w:val="left"/>
        <w:numPr>
          <w:ilvl w:val="0"/>
          <w:numId w:val="63"/>
        </w:numPr>
      </w:pPr>
      <w:r>
        <w:t>Приложение 5. Словарь восьми реестров, 19 балансов и 13 фаз.</w:t>
      </w:r>
    </w:p>
    <w:p>
      <w:pPr>
        <w:spacing w:after="160" w:line="280" w:lineRule="auto"/>
        <w:jc w:val="left"/>
        <w:numPr>
          <w:ilvl w:val="0"/>
          <w:numId w:val="63"/>
        </w:numPr>
      </w:pPr>
      <w:r>
        <w:t>Приложение 6. Карта полноты 741 и правила статусов.</w:t>
      </w:r>
    </w:p>
    <w:p>
      <w:pPr>
        <w:spacing w:after="160" w:line="280" w:lineRule="auto"/>
        <w:jc w:val="left"/>
        <w:numPr>
          <w:ilvl w:val="0"/>
          <w:numId w:val="63"/>
        </w:numPr>
      </w:pPr>
      <w:r>
        <w:t>Приложение 7. Протокол ESG-IR и требования к независимости проверки.</w:t>
      </w:r>
    </w:p>
    <w:p>
      <w:pPr>
        <w:spacing w:after="160" w:line="280" w:lineRule="auto"/>
        <w:jc w:val="left"/>
        <w:numPr>
          <w:ilvl w:val="0"/>
          <w:numId w:val="63"/>
        </w:numPr>
      </w:pPr>
      <w:r>
        <w:t>Приложение 8. Форма добровольного согласия компании и режим конфиденциальности.</w:t>
      </w:r>
    </w:p>
    <w:p>
      <w:pPr>
        <w:spacing w:after="160" w:line="280" w:lineRule="auto"/>
        <w:jc w:val="left"/>
        <w:numPr>
          <w:ilvl w:val="0"/>
          <w:numId w:val="63"/>
        </w:numPr>
      </w:pPr>
      <w:r>
        <w:t>Приложение 9. Критерии отбора кейсов и шаблон исходных данных.</w:t>
      </w:r>
    </w:p>
    <w:p>
      <w:pPr>
        <w:spacing w:after="160" w:line="280" w:lineRule="auto"/>
        <w:jc w:val="left"/>
        <w:numPr>
          <w:ilvl w:val="0"/>
          <w:numId w:val="63"/>
        </w:numPr>
      </w:pPr>
      <w:r>
        <w:t>Приложение 10. Реестр рисков, конфликтов интересов и стоп-условий.</w:t>
      </w:r>
    </w:p>
    <w:p>
      <w:pPr>
        <w:spacing w:after="160" w:line="280" w:lineRule="auto"/>
        <w:jc w:val="left"/>
        <w:numPr>
          <w:ilvl w:val="0"/>
          <w:numId w:val="63"/>
        </w:numPr>
      </w:pPr>
      <w:r>
        <w:t>Приложение 11. Критерии GO / GO WITH CONDITIONS / NO-GO.</w:t>
      </w:r>
    </w:p>
    <w:p>
      <w:pPr>
        <w:spacing w:after="160" w:line="280" w:lineRule="auto"/>
        <w:jc w:val="left"/>
        <w:numPr>
          <w:ilvl w:val="0"/>
          <w:numId w:val="63"/>
        </w:numPr>
      </w:pPr>
      <w:r>
        <w:t>Приложение 12. Контур 12-месячного пилота и перечень решений до старта.</w:t>
      </w: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Предлагаемый первый шаг</w:t>
        <w:br/>
      </w:r>
      <w:r>
        <w:rPr>
          <w:rFonts w:ascii="Calibri" w:hAnsi="Calibri" w:eastAsia="Calibri"/>
          <w:color w:val="172033"/>
          <w:sz w:val="21"/>
        </w:rPr>
        <w:t>30-минутное рабочее представление: 10 минут — проблема и контур; 10 минут — паспорт и доказательность; 10 минут — решение по составу рабочей группы и кейсам.</w:t>
      </w:r>
    </w:p>
    <w:p>
      <w:r>
        <w:br w:type="page"/>
      </w:r>
    </w:p>
    <w:p>
      <w:pPr>
        <w:pStyle w:val="Eyebrow"/>
        <w:keepLines/>
        <w:widowControl/>
        <w:keepNext/>
      </w:pPr>
      <w:r>
        <w:t>20  /  ОФИЦИАЛЬНЫЕ ИСТОЧНИКИ</w:t>
      </w:r>
    </w:p>
    <w:p>
      <w:pPr>
        <w:pStyle w:val="Heading1"/>
        <w:keepLines/>
        <w:widowControl/>
        <w:keepNext/>
      </w:pPr>
      <w:r>
        <w:t>Актуальная повестка и статус адресата сверены по материалам РСПП и Кремля</w:t>
      </w:r>
    </w:p>
    <w:p>
      <w:pPr>
        <w:pStyle w:val="Source"/>
        <w:spacing w:after="80"/>
      </w:pPr>
      <w:hyperlink r:id="rId12">
        <w:r>
          <w:rPr>
            <w:color w:val="2E74B5"/>
            <w:u w:val="single"/>
          </w:rPr>
          <w:t>[1] Проект резолюции XXXV Съезда РСПП, 23.03.2026</w:t>
        </w:r>
      </w:hyperlink>
    </w:p>
    <w:p>
      <w:pPr>
        <w:pStyle w:val="Source"/>
        <w:spacing w:after="80"/>
      </w:pPr>
      <w:hyperlink r:id="rId13">
        <w:r>
          <w:rPr>
            <w:color w:val="2E74B5"/>
            <w:u w:val="single"/>
          </w:rPr>
          <w:t>[2] Итоги XXXV Съезда РСПП, 27.03.2026</w:t>
        </w:r>
      </w:hyperlink>
    </w:p>
    <w:p>
      <w:pPr>
        <w:pStyle w:val="Source"/>
        <w:spacing w:after="80"/>
      </w:pPr>
      <w:hyperlink r:id="rId14">
        <w:r>
          <w:rPr>
            <w:color w:val="2E74B5"/>
            <w:u w:val="single"/>
          </w:rPr>
          <w:t>[3] Инвестиции и структурные сдвиги, РСПП, 19.08.2026</w:t>
        </w:r>
      </w:hyperlink>
    </w:p>
    <w:p>
      <w:pPr>
        <w:pStyle w:val="Source"/>
        <w:spacing w:after="80"/>
      </w:pPr>
      <w:hyperlink r:id="rId15">
        <w:r>
          <w:rPr>
            <w:color w:val="2E74B5"/>
            <w:u w:val="single"/>
          </w:rPr>
          <w:t>[4] Инвестиции, кооперация, локализация, РСПП, 24.08.2026</w:t>
        </w:r>
      </w:hyperlink>
    </w:p>
    <w:p>
      <w:pPr>
        <w:pStyle w:val="Source"/>
        <w:spacing w:after="80"/>
      </w:pPr>
      <w:hyperlink r:id="rId16">
        <w:r>
          <w:rPr>
            <w:color w:val="2E74B5"/>
            <w:u w:val="single"/>
          </w:rPr>
          <w:t>[5] Итоги «Иннопрома-2026», РСПП, 09.07.2026</w:t>
        </w:r>
      </w:hyperlink>
    </w:p>
    <w:p>
      <w:pPr>
        <w:pStyle w:val="Source"/>
        <w:spacing w:after="80"/>
      </w:pPr>
      <w:hyperlink r:id="rId17">
        <w:r>
          <w:rPr>
            <w:color w:val="2E74B5"/>
            <w:u w:val="single"/>
          </w:rPr>
          <w:t>[6] Цифровой форум: барьеры развития ИИ, РСПП, 24.02.2026</w:t>
        </w:r>
      </w:hyperlink>
    </w:p>
    <w:p>
      <w:pPr>
        <w:pStyle w:val="Source"/>
        <w:spacing w:after="80"/>
      </w:pPr>
      <w:hyperlink r:id="rId18">
        <w:r>
          <w:rPr>
            <w:color w:val="2E74B5"/>
            <w:u w:val="single"/>
          </w:rPr>
          <w:t>[7] Производительность труда, РСПП, 27.06.2026</w:t>
        </w:r>
      </w:hyperlink>
    </w:p>
    <w:p>
      <w:pPr>
        <w:pStyle w:val="Source"/>
        <w:spacing w:after="80"/>
      </w:pPr>
      <w:hyperlink r:id="rId19">
        <w:r>
          <w:rPr>
            <w:color w:val="2E74B5"/>
            <w:u w:val="single"/>
          </w:rPr>
          <w:t>[8] Доклад РСПП об ответственной деловой практике 2022–2026</w:t>
        </w:r>
      </w:hyperlink>
    </w:p>
    <w:p>
      <w:pPr>
        <w:pStyle w:val="Source"/>
        <w:spacing w:after="80"/>
      </w:pPr>
      <w:hyperlink r:id="rId20">
        <w:r>
          <w:rPr>
            <w:color w:val="2E74B5"/>
            <w:u w:val="single"/>
          </w:rPr>
          <w:t>[9] Комитет РСПП по экологии и климатической политике, 18.04.2026</w:t>
        </w:r>
      </w:hyperlink>
    </w:p>
    <w:p>
      <w:pPr>
        <w:pStyle w:val="Source"/>
        <w:spacing w:after="80"/>
      </w:pPr>
      <w:hyperlink r:id="rId21">
        <w:r>
          <w:rPr>
            <w:color w:val="2E74B5"/>
            <w:u w:val="single"/>
          </w:rPr>
          <w:t>[10] Национальный доклад о климатической повестке, РСПП, 04.06.2026</w:t>
        </w:r>
      </w:hyperlink>
    </w:p>
    <w:p>
      <w:pPr>
        <w:pStyle w:val="Source"/>
        <w:spacing w:after="80"/>
      </w:pPr>
      <w:hyperlink r:id="rId22">
        <w:r>
          <w:rPr>
            <w:color w:val="2E74B5"/>
            <w:u w:val="single"/>
          </w:rPr>
          <w:t>Структура РСПП: Президент РСПП А.Н. Шохин</w:t>
        </w:r>
      </w:hyperlink>
    </w:p>
    <w:p>
      <w:pPr>
        <w:pStyle w:val="Source"/>
        <w:spacing w:after="80"/>
      </w:pPr>
      <w:hyperlink r:id="rId23">
        <w:r>
          <w:rPr>
            <w:color w:val="2E74B5"/>
            <w:u w:val="single"/>
          </w:rPr>
          <w:t>Рабочая встреча Президента РФ с Президентом РСПП А.Н. Шохиным, 26.05.2026</w:t>
        </w:r>
      </w:hyperlink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Статус документа</w:t>
        <w:br/>
      </w:r>
      <w:r>
        <w:rPr>
          <w:rFonts w:ascii="Calibri" w:hAnsi="Calibri" w:eastAsia="Calibri"/>
          <w:color w:val="172033"/>
          <w:sz w:val="21"/>
        </w:rPr>
        <w:t>Авторская концепция. Любые юридические, финансовые, технические, метрологические и отраслевые выводы возникают только после независимой проверки конкретных кейсов. Доступ к источникам проверен 29 августа 2026 г.</w:t>
      </w:r>
    </w:p>
    <w:p>
      <w:pPr>
        <w:pStyle w:val="Small"/>
        <w:jc w:val="center"/>
      </w:pPr>
      <w:r>
        <w:t>Соколов Сергей Леонидович  ·  ЭКВИЛИБРИУМ — ECO-PPA — СПЕЦЗАЩИТА — ESG-IR — СФЕРА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/>
        <w:color w:val="5E6878"/>
        <w:sz w:val="18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  <w:jc w:val="left"/>
    </w:pPr>
    <w:r>
      <w:t>РСПП  /  90-ДНЕВНАЯ АПРОБАЦИЯ  /  ПРОЕКТ ДЛЯ ОБСУЖДЕНИЯ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61">
    <w:multiLevelType w:val="singleLevel"/>
    <w:lvl w:ilvl="0">
      <w:start w:val="1"/>
      <w:numFmt w:val="bullet"/>
      <w:lvlText w:val="•"/>
      <w:suff w:val="tab"/>
      <w:pPr>
        <w:tabs>
          <w:tab w:val="num" w:pos="720"/>
        </w:tabs>
        <w:ind w:left="720" w:hanging="360"/>
        <w:spacing w:after="160" w:line="280" w:lineRule="auto"/>
      </w:pPr>
      <w:rPr>
        <w:color w:val="2E74B5"/>
      </w:rPr>
    </w:lvl>
  </w:abstractNum>
  <w:num w:numId="61">
    <w:abstractNumId w:val="61"/>
  </w:num>
  <w:abstractNum w:abstractNumId="62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160" w:line="280" w:lineRule="auto"/>
      </w:pPr>
      <w:rPr>
        <w:color w:val="2E74B5"/>
      </w:rPr>
    </w:lvl>
  </w:abstractNum>
  <w:num w:numId="62">
    <w:abstractNumId w:val="62"/>
  </w:num>
  <w:abstractNum w:abstractNumId="63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160" w:line="280" w:lineRule="auto"/>
      </w:pPr>
      <w:rPr>
        <w:color w:val="2E74B5"/>
      </w:rPr>
    </w:lvl>
  </w:abstractNum>
  <w:num w:numId="63">
    <w:abstractNumId w:val="6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  <w:jc w:val="left"/>
    </w:pPr>
    <w:rPr>
      <w:rFonts w:ascii="Calibri" w:hAnsi="Calibri"/>
      <w:color w:val="1720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i w:val="0"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i w:val="0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i w:val="0"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76" w:lineRule="auto" w:before="0"/>
      <w:contextualSpacing/>
    </w:pPr>
    <w:rPr>
      <w:rFonts w:asciiTheme="majorHAnsi" w:eastAsiaTheme="majorEastAsia" w:hAnsiTheme="majorHAnsi" w:cstheme="majorBidi" w:ascii="Calibri" w:hAnsi="Calibri"/>
      <w:b/>
      <w:i w:val="0"/>
      <w:color w:val="0B2545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 w:line="276" w:lineRule="auto"/>
    </w:pPr>
    <w:rPr>
      <w:rFonts w:asciiTheme="majorHAnsi" w:eastAsiaTheme="majorEastAsia" w:hAnsiTheme="majorHAnsi" w:cstheme="majorBidi" w:ascii="Calibri" w:hAnsi="Calibri"/>
      <w:b w:val="0"/>
      <w:i w:val="0"/>
      <w:iCs/>
      <w:color w:val="5E6878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yebrow">
    <w:name w:val="Eyebrow"/>
    <w:pPr>
      <w:spacing w:after="120" w:line="276" w:lineRule="auto"/>
      <w:jc w:val="left"/>
    </w:pPr>
    <w:rPr>
      <w:rFonts w:ascii="Calibri" w:hAnsi="Calibri"/>
      <w:b/>
      <w:i w:val="0"/>
      <w:color w:val="2E74B5"/>
      <w:sz w:val="18"/>
    </w:rPr>
  </w:style>
  <w:style w:type="paragraph" w:customStyle="1" w:styleId="Lead">
    <w:name w:val="Lead"/>
    <w:pPr>
      <w:spacing w:after="200" w:line="276" w:lineRule="auto"/>
      <w:jc w:val="left"/>
    </w:pPr>
    <w:rPr>
      <w:rFonts w:ascii="Calibri" w:hAnsi="Calibri"/>
      <w:b w:val="0"/>
      <w:i w:val="0"/>
      <w:color w:val="172033"/>
      <w:sz w:val="25"/>
    </w:rPr>
  </w:style>
  <w:style w:type="paragraph" w:customStyle="1" w:styleId="Callout">
    <w:name w:val="Callout"/>
    <w:pPr>
      <w:spacing w:after="160" w:line="276" w:lineRule="auto"/>
      <w:jc w:val="left"/>
    </w:pPr>
    <w:rPr>
      <w:rFonts w:ascii="Calibri" w:hAnsi="Calibri"/>
      <w:b w:val="0"/>
      <w:i w:val="0"/>
      <w:color w:val="0B2545"/>
      <w:sz w:val="22"/>
    </w:rPr>
  </w:style>
  <w:style w:type="paragraph" w:customStyle="1" w:styleId="Small">
    <w:name w:val="Small"/>
    <w:pPr>
      <w:spacing w:after="80" w:line="276" w:lineRule="auto"/>
      <w:jc w:val="left"/>
    </w:pPr>
    <w:rPr>
      <w:rFonts w:ascii="Calibri" w:hAnsi="Calibri"/>
      <w:b w:val="0"/>
      <w:i w:val="0"/>
      <w:color w:val="5E6878"/>
      <w:sz w:val="17"/>
    </w:rPr>
  </w:style>
  <w:style w:type="paragraph" w:customStyle="1" w:styleId="Source">
    <w:name w:val="Source"/>
    <w:pPr>
      <w:spacing w:after="60" w:line="276" w:lineRule="auto"/>
      <w:jc w:val="left"/>
    </w:pPr>
    <w:rPr>
      <w:rFonts w:ascii="Calibri" w:hAnsi="Calibri"/>
      <w:b w:val="0"/>
      <w:i w:val="0"/>
      <w:color w:val="5E6878"/>
      <w:sz w:val="16"/>
    </w:rPr>
  </w:style>
  <w:style w:type="paragraph" w:customStyle="1" w:styleId="Definition">
    <w:name w:val="Definition"/>
    <w:pPr>
      <w:spacing w:after="80" w:line="276" w:lineRule="auto"/>
      <w:jc w:val="left"/>
    </w:pPr>
    <w:rPr>
      <w:rFonts w:ascii="Calibri" w:hAnsi="Calibri"/>
      <w:b w:val="0"/>
      <w:i w:val="0"/>
      <w:color w:val="172033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rspp.ru/download/98c4373a33c92e57ddbad6e7d9f9703d80ed8b5829221d09/" TargetMode="External"/><Relationship Id="rId13" Type="http://schemas.openxmlformats.org/officeDocument/2006/relationships/hyperlink" Target="https://rspp.ru/events/news/na-sezde-rspp-s-uchastiem-prezidenta-rf-vladimira-putina-obsudili-perspektivy-vozvrashcheniya-ekonomiki-k-ustoychivomu-rostu-69c6a06a2db37/" TargetMode="External"/><Relationship Id="rId14" Type="http://schemas.openxmlformats.org/officeDocument/2006/relationships/hyperlink" Target="https://rspp.ru/events/news/investitsii-i-strukturnye-sdvigi-chto-biznes-zhdet-ot-donastroyki-gospodderzhki-itogi-zasedaniya-soveta-po-strategicheskomu-razvitiyu-6a85c4928270a/" TargetMode="External"/><Relationship Id="rId15" Type="http://schemas.openxmlformats.org/officeDocument/2006/relationships/hyperlink" Target="https://rspp.ru/events/news/investitsii-kooperatsiya-lokalizatsiya-koorsovet-rspp-v-tsfo-oboznachil-prioritety-promyshlennoy-politiki-6a8c04594bc28/" TargetMode="External"/><Relationship Id="rId16" Type="http://schemas.openxmlformats.org/officeDocument/2006/relationships/hyperlink" Target="https://rspp.ru/events/news/rspp-podvodit-itogi-innoproma2026-novye-gorizonty-promyshlennogo-suvereniteta-kooperatsii-i-eksporta-6a4e6b174b6c8/" TargetMode="External"/><Relationship Id="rId17" Type="http://schemas.openxmlformats.org/officeDocument/2006/relationships/hyperlink" Target="https://rspp.ru/events/news/na-tsifrovom-forume-nrb-oboznachili-glavnye-barery-razvitiya-ii-v-rossii-699d7e304510d/" TargetMode="External"/><Relationship Id="rId18" Type="http://schemas.openxmlformats.org/officeDocument/2006/relationships/hyperlink" Target="https://rspp.ru/events/news/proizvoditelnost-truda-kak-osnova-razvitiya-o-chem-govorili-na-federalnom-sovete-rspp-6a3f9781490a4/" TargetMode="External"/><Relationship Id="rId19" Type="http://schemas.openxmlformats.org/officeDocument/2006/relationships/hyperlink" Target="https://rspp.ru/download/65ddb8db6f5289602e8d1aa18c76a1d934d4ce7093107c7f/" TargetMode="External"/><Relationship Id="rId20" Type="http://schemas.openxmlformats.org/officeDocument/2006/relationships/hyperlink" Target="https://rspp.ru/events/news/sostoyalos-pervoe-zasedanie-komiteta-rspp-po-ekologii-i-klimaticheskoy-politike-69e3b83564299/" TargetMode="External"/><Relationship Id="rId21" Type="http://schemas.openxmlformats.org/officeDocument/2006/relationships/hyperlink" Target="https://rspp.ru/events/news/na-polyakh-pmef2026-predstavlen-vtoroy-ezhegodnyy-natsionalnyy-doklad-o-klimaticheskoy-povestke-v-rossii-6a2178f06886f/" TargetMode="External"/><Relationship Id="rId22" Type="http://schemas.openxmlformats.org/officeDocument/2006/relationships/hyperlink" Target="https://rspp.ru/about/structure/" TargetMode="External"/><Relationship Id="rId23" Type="http://schemas.openxmlformats.org/officeDocument/2006/relationships/hyperlink" Target="https://kremlin.ru/events/president/news/798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Пакет Шохину А.Н. — 90-дневная апробация на площадке РСПП</dc:title>
  <dc:subject>Предложение о проверке проектно-аналитического контура ЭКВИЛИБРИУМ — ECO-PPA — СПЕЦЗАЩИТА — ESG-IR — СФЕРА</dc:subject>
  <dc:creator>Соколов Сергей Леонидович</dc:creator>
  <cp:keywords>РСПП, Шохин, ЭКВИЛИБРИУМ, ECO-PPA, СПЕЦЗАЩИТА, ESG-IR, СФЕРА, 90 дней, 741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