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400" w:line="264" w:lineRule="auto"/>
      </w:pPr>
      <w:r>
        <w:rPr>
          <w:rFonts w:ascii="Arial" w:hAnsi="Arial" w:eastAsia="Arial"/>
          <w:b w:val="0"/>
          <w:i w:val="0"/>
          <w:color w:val="1F2933"/>
          <w:sz w:val="22"/>
        </w:rPr>
      </w:r>
    </w:p>
    <w:p>
      <w:pPr>
        <w:keepNext/>
        <w:spacing w:before="0" w:after="400"/>
        <w:jc w:val="center"/>
      </w:pPr>
      <w:r>
        <w:rPr>
          <w:rFonts w:ascii="Arial" w:hAnsi="Arial" w:eastAsia="Arial"/>
          <w:b/>
          <w:i w:val="0"/>
          <w:caps/>
          <w:color w:val="B58A36"/>
          <w:sz w:val="19"/>
        </w:rPr>
        <w:t>ПАКЕТ ПРЕДЛОЖЕНИЙ ДЛЯ ПРЕДВАРИТЕЛЬНОГО РАССМОТРЕНИЯ</w:t>
      </w:r>
    </w:p>
    <w:p>
      <w:pPr>
        <w:spacing w:after="320"/>
        <w:jc w:val="center"/>
      </w:pPr>
      <w:r>
        <w:rPr>
          <w:rFonts w:ascii="Arial" w:hAnsi="Arial" w:eastAsia="Arial"/>
          <w:b/>
          <w:i w:val="0"/>
          <w:color w:val="17365D"/>
          <w:sz w:val="50"/>
        </w:rPr>
        <w:t>СИСТЕМА СТРАТЕГИЧЕСКИХ</w:t>
        <w:br/>
        <w:t>БАЛАНСОВ РОССИЙСКОЙ ФЕДЕРАЦИИ</w:t>
      </w:r>
    </w:p>
    <w:p>
      <w:pPr>
        <w:spacing w:after="440"/>
        <w:jc w:val="center"/>
      </w:pPr>
      <w:r>
        <w:rPr>
          <w:rFonts w:ascii="Arial" w:hAnsi="Arial" w:eastAsia="Arial"/>
          <w:b w:val="0"/>
          <w:i w:val="0"/>
          <w:color w:val="2F5597"/>
          <w:sz w:val="28"/>
        </w:rPr>
        <w:t>Межкомиссионный механизм согласования целей, ресурсов, территорий и результатов</w:t>
      </w:r>
    </w:p>
    <w:p>
      <w:pPr>
        <w:spacing w:before="280" w:after="160"/>
        <w:jc w:val="center"/>
      </w:pPr>
      <w:r>
        <w:rPr>
          <w:rFonts w:ascii="Arial" w:hAnsi="Arial" w:eastAsia="Arial"/>
          <w:b/>
          <w:i w:val="0"/>
          <w:color w:val="1B6B6F"/>
          <w:sz w:val="25"/>
        </w:rPr>
        <w:t>Авторская методология «ЭКВИЛИБРИУМ»</w:t>
        <w:br/>
        <w:t>и проектно-контрактный контур ECO-PPA</w:t>
      </w:r>
    </w:p>
    <w:p>
      <w:pPr>
        <w:spacing w:before="0" w:after="1300" w:line="264" w:lineRule="auto"/>
      </w:pPr>
      <w:r>
        <w:rPr>
          <w:rFonts w:ascii="Arial" w:hAnsi="Arial" w:eastAsia="Arial"/>
          <w:b w:val="0"/>
          <w:i w:val="0"/>
          <w:color w:val="1F2933"/>
          <w:sz w:val="22"/>
        </w:rPr>
      </w:r>
    </w:p>
    <w:tbl>
      <w:tblPr>
        <w:tblStyle w:val="TableGrid"/>
        <w:tblW w:type="dxa" w:w="9750"/>
        <w:jc w:val="left"/>
        <w:tblLayout w:type="fixed"/>
        <w:tblLook w:firstColumn="1" w:firstRow="1" w:lastColumn="0" w:lastRow="0" w:noHBand="0" w:noVBand="1" w:val="04A0"/>
        <w:tblInd w:w="120" w:type="dxa"/>
      </w:tblPr>
      <w:tblGrid>
        <w:gridCol w:w="2100"/>
        <w:gridCol w:w="7650"/>
      </w:tblGrid>
      <w:tr>
        <w:tc>
          <w:tcPr>
            <w:tcW w:type="dxa" w:w="2100"/>
            <w:tcMar>
              <w:top w:w="90" w:type="dxa"/>
              <w:start w:w="120" w:type="dxa"/>
              <w:bottom w:w="90" w:type="dxa"/>
              <w:end w:w="120" w:type="dxa"/>
            </w:tcMar>
            <w:vAlign w:val="center"/>
            <w:shd w:fill="EAF1F8"/>
          </w:tcPr>
          <w:p>
            <w:pPr>
              <w:spacing w:before="0" w:after="0" w:line="252" w:lineRule="auto"/>
              <w:jc w:val="left"/>
            </w:pPr>
            <w:r/>
            <w:r>
              <w:rPr>
                <w:rFonts w:ascii="Arial" w:hAnsi="Arial" w:eastAsia="Arial"/>
                <w:b/>
                <w:i w:val="0"/>
                <w:color w:val="17365D"/>
                <w:sz w:val="18"/>
              </w:rPr>
              <w:t>Адресат</w:t>
            </w:r>
          </w:p>
        </w:tc>
        <w:tc>
          <w:tcPr>
            <w:tcW w:type="dxa" w:w="76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Помощник Президента Российской Федерации, Секретарь Государственного Совета Российской Федерации А. Г. Дюмин</w:t>
            </w:r>
          </w:p>
        </w:tc>
      </w:tr>
      <w:tr>
        <w:tc>
          <w:tcPr>
            <w:tcW w:type="dxa" w:w="2100"/>
            <w:tcMar>
              <w:top w:w="90" w:type="dxa"/>
              <w:start w:w="120" w:type="dxa"/>
              <w:bottom w:w="90" w:type="dxa"/>
              <w:end w:w="120" w:type="dxa"/>
            </w:tcMar>
            <w:vAlign w:val="center"/>
            <w:shd w:fill="EAF1F8"/>
          </w:tcPr>
          <w:p>
            <w:pPr>
              <w:spacing w:before="0" w:after="0" w:line="252" w:lineRule="auto"/>
              <w:jc w:val="left"/>
            </w:pPr>
            <w:r/>
            <w:r>
              <w:rPr>
                <w:rFonts w:ascii="Arial" w:hAnsi="Arial" w:eastAsia="Arial"/>
                <w:b/>
                <w:i w:val="0"/>
                <w:color w:val="17365D"/>
                <w:sz w:val="18"/>
              </w:rPr>
              <w:t>Инициатор</w:t>
            </w:r>
          </w:p>
        </w:tc>
        <w:tc>
          <w:tcPr>
            <w:tcW w:type="dxa" w:w="76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Соколов Сергей Леонидович</w:t>
            </w:r>
          </w:p>
        </w:tc>
      </w:tr>
      <w:tr>
        <w:tc>
          <w:tcPr>
            <w:tcW w:type="dxa" w:w="2100"/>
            <w:tcMar>
              <w:top w:w="90" w:type="dxa"/>
              <w:start w:w="120" w:type="dxa"/>
              <w:bottom w:w="90" w:type="dxa"/>
              <w:end w:w="120" w:type="dxa"/>
            </w:tcMar>
            <w:vAlign w:val="center"/>
            <w:shd w:fill="EAF1F8"/>
          </w:tcPr>
          <w:p>
            <w:pPr>
              <w:spacing w:before="0" w:after="0" w:line="252" w:lineRule="auto"/>
              <w:jc w:val="left"/>
            </w:pPr>
            <w:r/>
            <w:r>
              <w:rPr>
                <w:rFonts w:ascii="Arial" w:hAnsi="Arial" w:eastAsia="Arial"/>
                <w:b/>
                <w:i w:val="0"/>
                <w:color w:val="17365D"/>
                <w:sz w:val="18"/>
              </w:rPr>
              <w:t>Статус</w:t>
            </w:r>
          </w:p>
        </w:tc>
        <w:tc>
          <w:tcPr>
            <w:tcW w:type="dxa" w:w="76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Инициативное предложение; не является позицией органов государственной власти</w:t>
            </w:r>
          </w:p>
        </w:tc>
      </w:tr>
      <w:tr>
        <w:tc>
          <w:tcPr>
            <w:tcW w:type="dxa" w:w="2100"/>
            <w:tcMar>
              <w:top w:w="90" w:type="dxa"/>
              <w:start w:w="120" w:type="dxa"/>
              <w:bottom w:w="90" w:type="dxa"/>
              <w:end w:w="120" w:type="dxa"/>
            </w:tcMar>
            <w:vAlign w:val="center"/>
            <w:shd w:fill="EAF1F8"/>
          </w:tcPr>
          <w:p>
            <w:pPr>
              <w:spacing w:before="0" w:after="0" w:line="252" w:lineRule="auto"/>
              <w:jc w:val="left"/>
            </w:pPr>
            <w:r/>
            <w:r>
              <w:rPr>
                <w:rFonts w:ascii="Arial" w:hAnsi="Arial" w:eastAsia="Arial"/>
                <w:b/>
                <w:i w:val="0"/>
                <w:color w:val="17365D"/>
                <w:sz w:val="18"/>
              </w:rPr>
              <w:t>Первый шаг</w:t>
            </w:r>
          </w:p>
        </w:tc>
        <w:tc>
          <w:tcPr>
            <w:tcW w:type="dxa" w:w="76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90-дневная экспертно-аналитическая апробация без капитальных затрат</w:t>
            </w:r>
          </w:p>
        </w:tc>
      </w:tr>
      <w:tr>
        <w:tc>
          <w:tcPr>
            <w:tcW w:type="dxa" w:w="2100"/>
            <w:tcMar>
              <w:top w:w="90" w:type="dxa"/>
              <w:start w:w="120" w:type="dxa"/>
              <w:bottom w:w="90" w:type="dxa"/>
              <w:end w:w="120" w:type="dxa"/>
            </w:tcMar>
            <w:vAlign w:val="center"/>
            <w:shd w:fill="EAF1F8"/>
          </w:tcPr>
          <w:p>
            <w:pPr>
              <w:spacing w:before="0" w:after="0" w:line="252" w:lineRule="auto"/>
              <w:jc w:val="left"/>
            </w:pPr>
            <w:r/>
            <w:r>
              <w:rPr>
                <w:rFonts w:ascii="Arial" w:hAnsi="Arial" w:eastAsia="Arial"/>
                <w:b/>
                <w:i w:val="0"/>
                <w:color w:val="17365D"/>
                <w:sz w:val="18"/>
              </w:rPr>
              <w:t>Полный пилот</w:t>
            </w:r>
          </w:p>
        </w:tc>
        <w:tc>
          <w:tcPr>
            <w:tcW w:type="dxa" w:w="76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12 месяцев; до 260 млн руб. только после ТЭО и отдельного решения</w:t>
            </w:r>
          </w:p>
        </w:tc>
      </w:tr>
    </w:tbl>
    <w:p>
      <w:pPr>
        <w:spacing w:before="520" w:after="0" w:line="264" w:lineRule="auto"/>
        <w:jc w:val="center"/>
      </w:pPr>
      <w:r>
        <w:rPr>
          <w:rFonts w:ascii="Arial" w:hAnsi="Arial" w:eastAsia="Arial"/>
          <w:b w:val="0"/>
          <w:i w:val="0"/>
          <w:color w:val="5B6573"/>
          <w:sz w:val="20"/>
        </w:rPr>
        <w:t>Москва • 27 августа 2026 года</w:t>
      </w:r>
    </w:p>
    <w:p>
      <w:pPr>
        <w:spacing w:after="0"/>
      </w:pPr>
      <w:r>
        <w:br w:type="page"/>
      </w:r>
    </w:p>
    <w:p>
      <w:pPr>
        <w:keepNext/>
        <w:spacing w:before="0" w:after="120"/>
        <w:jc w:val="left"/>
      </w:pPr>
      <w:r>
        <w:rPr>
          <w:rFonts w:ascii="Arial" w:hAnsi="Arial" w:eastAsia="Arial"/>
          <w:b/>
          <w:i w:val="0"/>
          <w:caps/>
          <w:color w:val="B58A36"/>
          <w:sz w:val="19"/>
        </w:rPr>
        <w:t>НАВИГАЦИЯ</w:t>
      </w:r>
    </w:p>
    <w:p>
      <w:pPr>
        <w:pStyle w:val="Heading1"/>
        <w:keepNext/>
      </w:pPr>
      <w:r>
        <w:t>Состав пакета</w:t>
      </w:r>
    </w:p>
    <w:p>
      <w:pPr>
        <w:spacing w:before="140" w:after="160" w:line="259" w:lineRule="auto"/>
        <w:ind w:left="198" w:right="113"/>
        <w:shd w:fill="EAF1F8"/>
        <w:keepLines/>
        <w:pBdr>
          <w:left w:val="single" w:sz="18" w:space="8" w:color="17365D"/>
        </w:pBdr>
      </w:pPr>
      <w:r>
        <w:rPr>
          <w:rFonts w:ascii="Arial" w:hAnsi="Arial" w:eastAsia="Arial"/>
          <w:b/>
          <w:i w:val="0"/>
          <w:color w:val="17365D"/>
          <w:sz w:val="21"/>
        </w:rPr>
        <w:t xml:space="preserve">Запрашиваемое решение. </w:t>
      </w:r>
      <w:r>
        <w:rPr>
          <w:rFonts w:ascii="Arial" w:hAnsi="Arial" w:eastAsia="Arial"/>
          <w:b w:val="0"/>
          <w:i w:val="0"/>
          <w:color w:val="1F2933"/>
          <w:sz w:val="21"/>
        </w:rPr>
        <w:t>Организовать рабочее представление, определить профильную комиссию и формат межкомиссионной экспертизы, затем рассмотреть 90-дневную апробацию.</w:t>
      </w:r>
    </w:p>
    <w:tbl>
      <w:tblPr>
        <w:tblStyle w:val="TableGrid"/>
        <w:tblW w:type="dxa" w:w="9750"/>
        <w:tblLayout w:type="fixed"/>
        <w:tblLook w:firstColumn="1" w:firstRow="1" w:lastColumn="0" w:lastRow="0" w:noHBand="0" w:noVBand="1" w:val="04A0"/>
        <w:jc w:val="left"/>
        <w:tblInd w:w="120" w:type="dxa"/>
      </w:tblPr>
      <w:tblGrid>
        <w:gridCol w:w="650"/>
        <w:gridCol w:w="3100"/>
        <w:gridCol w:w="6000"/>
      </w:tblGrid>
      <w:tr>
        <w:trPr>
          <w:tblHeader w:val="true"/>
          <w:cantSplit w:val="true"/>
        </w:trPr>
        <w:tc>
          <w:tcPr>
            <w:tcW w:type="dxa" w:w="65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8"/>
              </w:rPr>
              <w:t>№</w:t>
            </w:r>
          </w:p>
        </w:tc>
        <w:tc>
          <w:tcPr>
            <w:tcW w:type="dxa" w:w="310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8"/>
              </w:rPr>
              <w:t>Материал</w:t>
            </w:r>
          </w:p>
        </w:tc>
        <w:tc>
          <w:tcPr>
            <w:tcW w:type="dxa" w:w="600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8"/>
              </w:rPr>
              <w:t>Назначение</w:t>
            </w:r>
          </w:p>
        </w:tc>
      </w:tr>
      <w:tr>
        <w:trPr>
          <w:cantSplit w:val="true"/>
        </w:trPr>
        <w:tc>
          <w:tcPr>
            <w:tcW w:type="dxa" w:w="650"/>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8"/>
              </w:rPr>
              <w:t>1</w:t>
            </w:r>
          </w:p>
        </w:tc>
        <w:tc>
          <w:tcPr>
            <w:tcW w:type="dxa" w:w="31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Сопроводительное письмо</w:t>
            </w:r>
          </w:p>
        </w:tc>
        <w:tc>
          <w:tcPr>
            <w:tcW w:type="dxa" w:w="60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Адресное обращение А. Г. Дюмину</w:t>
            </w:r>
          </w:p>
        </w:tc>
      </w:tr>
      <w:tr>
        <w:trPr>
          <w:cantSplit w:val="true"/>
        </w:trPr>
        <w:tc>
          <w:tcPr>
            <w:tcW w:type="dxa" w:w="650"/>
            <w:shd w:fill="F3F6F8"/>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8"/>
              </w:rPr>
              <w:t>2</w:t>
            </w:r>
          </w:p>
        </w:tc>
        <w:tc>
          <w:tcPr>
            <w:tcW w:type="dxa" w:w="31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Проект резолюции</w:t>
            </w:r>
          </w:p>
        </w:tc>
        <w:tc>
          <w:tcPr>
            <w:tcW w:type="dxa" w:w="60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Безопасная организационная формулировка для направления на комиссию</w:t>
            </w:r>
          </w:p>
        </w:tc>
      </w:tr>
      <w:tr>
        <w:trPr>
          <w:cantSplit w:val="true"/>
        </w:trPr>
        <w:tc>
          <w:tcPr>
            <w:tcW w:type="dxa" w:w="650"/>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8"/>
              </w:rPr>
              <w:t>3</w:t>
            </w:r>
          </w:p>
        </w:tc>
        <w:tc>
          <w:tcPr>
            <w:tcW w:type="dxa" w:w="31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Краткая записка для решения</w:t>
            </w:r>
          </w:p>
        </w:tc>
        <w:tc>
          <w:tcPr>
            <w:tcW w:type="dxa" w:w="60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Проблема, предложение, ограничения, первый шаг</w:t>
            </w:r>
          </w:p>
        </w:tc>
      </w:tr>
      <w:tr>
        <w:trPr>
          <w:cantSplit w:val="true"/>
        </w:trPr>
        <w:tc>
          <w:tcPr>
            <w:tcW w:type="dxa" w:w="650"/>
            <w:shd w:fill="F3F6F8"/>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8"/>
              </w:rPr>
              <w:t>4</w:t>
            </w:r>
          </w:p>
        </w:tc>
        <w:tc>
          <w:tcPr>
            <w:tcW w:type="dxa" w:w="31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Основной доклад</w:t>
            </w:r>
          </w:p>
        </w:tc>
        <w:tc>
          <w:tcPr>
            <w:tcW w:type="dxa" w:w="60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19 балансов, архитектура ЭКВИЛИБРИУМ — ECO-PPA, межотраслевая модель</w:t>
            </w:r>
          </w:p>
        </w:tc>
      </w:tr>
      <w:tr>
        <w:trPr>
          <w:cantSplit w:val="true"/>
        </w:trPr>
        <w:tc>
          <w:tcPr>
            <w:tcW w:type="dxa" w:w="650"/>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8"/>
              </w:rPr>
              <w:t>5</w:t>
            </w:r>
          </w:p>
        </w:tc>
        <w:tc>
          <w:tcPr>
            <w:tcW w:type="dxa" w:w="31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Паспорт двухступенчатого пилота</w:t>
            </w:r>
          </w:p>
        </w:tc>
        <w:tc>
          <w:tcPr>
            <w:tcW w:type="dxa" w:w="60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90 дней аналитики + 12 месяцев полевого цикла</w:t>
            </w:r>
          </w:p>
        </w:tc>
      </w:tr>
      <w:tr>
        <w:trPr>
          <w:cantSplit w:val="true"/>
        </w:trPr>
        <w:tc>
          <w:tcPr>
            <w:tcW w:type="dxa" w:w="650"/>
            <w:shd w:fill="F3F6F8"/>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8"/>
              </w:rPr>
              <w:t>6</w:t>
            </w:r>
          </w:p>
        </w:tc>
        <w:tc>
          <w:tcPr>
            <w:tcW w:type="dxa" w:w="31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Финансовая рамка</w:t>
            </w:r>
          </w:p>
        </w:tc>
        <w:tc>
          <w:tcPr>
            <w:tcW w:type="dxa" w:w="60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Предельный ориентир до 260 млн руб. с обязательным ТЭО</w:t>
            </w:r>
          </w:p>
        </w:tc>
      </w:tr>
      <w:tr>
        <w:trPr>
          <w:cantSplit w:val="true"/>
        </w:trPr>
        <w:tc>
          <w:tcPr>
            <w:tcW w:type="dxa" w:w="650"/>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8"/>
              </w:rPr>
              <w:t>7</w:t>
            </w:r>
          </w:p>
        </w:tc>
        <w:tc>
          <w:tcPr>
            <w:tcW w:type="dxa" w:w="31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Проект решений</w:t>
            </w:r>
          </w:p>
        </w:tc>
        <w:tc>
          <w:tcPr>
            <w:tcW w:type="dxa" w:w="60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Рекомендации комиссии и возможные формулировки дальнейших поручений</w:t>
            </w:r>
          </w:p>
        </w:tc>
      </w:tr>
      <w:tr>
        <w:trPr>
          <w:cantSplit w:val="true"/>
        </w:trPr>
        <w:tc>
          <w:tcPr>
            <w:tcW w:type="dxa" w:w="650"/>
            <w:shd w:fill="F3F6F8"/>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8"/>
              </w:rPr>
              <w:t>8</w:t>
            </w:r>
          </w:p>
        </w:tc>
        <w:tc>
          <w:tcPr>
            <w:tcW w:type="dxa" w:w="31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Приложения</w:t>
            </w:r>
          </w:p>
        </w:tc>
        <w:tc>
          <w:tcPr>
            <w:tcW w:type="dxa" w:w="60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Паспорт ECO-PPA, балансовая записка, методика 19×13×3, нормативная основа</w:t>
            </w:r>
          </w:p>
        </w:tc>
      </w:tr>
    </w:tbl>
    <w:p>
      <w:pPr>
        <w:spacing w:before="0" w:after="60"/>
      </w:pPr>
    </w:p>
    <w:p>
      <w:pPr>
        <w:pStyle w:val="Heading2"/>
        <w:keepNext/>
      </w:pPr>
      <w:r>
        <w:t>Три принципа подачи</w:t>
      </w:r>
    </w:p>
    <w:p>
      <w:pPr>
        <w:numPr>
          <w:ilvl w:val="0"/>
          <w:numId w:val="90"/>
        </w:numPr>
        <w:spacing w:after="80" w:line="264" w:lineRule="auto"/>
      </w:pPr>
      <w:r>
        <w:rPr>
          <w:rFonts w:ascii="Arial" w:hAnsi="Arial" w:eastAsia="Arial"/>
          <w:b w:val="0"/>
          <w:i w:val="0"/>
          <w:color w:val="1F2933"/>
          <w:sz w:val="21"/>
        </w:rPr>
        <w:t>Сначала государственная задача и межведомственный разрыв; затем — авторская методология и инструменты.</w:t>
      </w:r>
    </w:p>
    <w:p>
      <w:pPr>
        <w:numPr>
          <w:ilvl w:val="0"/>
          <w:numId w:val="90"/>
        </w:numPr>
        <w:spacing w:after="80" w:line="264" w:lineRule="auto"/>
      </w:pPr>
      <w:r>
        <w:rPr>
          <w:rFonts w:ascii="Arial" w:hAnsi="Arial" w:eastAsia="Arial"/>
          <w:b w:val="0"/>
          <w:i w:val="0"/>
          <w:color w:val="1F2933"/>
          <w:sz w:val="21"/>
        </w:rPr>
        <w:t>Не новая властная структура и не параллельная ГИС, а проверяемый механизм сопоставления действующих данных и последствий решений.</w:t>
      </w:r>
    </w:p>
    <w:p>
      <w:pPr>
        <w:numPr>
          <w:ilvl w:val="0"/>
          <w:numId w:val="90"/>
        </w:numPr>
        <w:spacing w:after="80" w:line="264" w:lineRule="auto"/>
      </w:pPr>
      <w:r>
        <w:rPr>
          <w:rFonts w:ascii="Arial" w:hAnsi="Arial" w:eastAsia="Arial"/>
          <w:b w:val="0"/>
          <w:i w:val="0"/>
          <w:color w:val="1F2933"/>
          <w:sz w:val="21"/>
        </w:rPr>
        <w:t>Не просьба немедленно выделить финансирование, а предложение провести экспертизу, подготовить ТЭО и применить поэтапные ворота допуска.</w:t>
      </w:r>
    </w:p>
    <w:p>
      <w:pPr>
        <w:pStyle w:val="Heading2"/>
        <w:keepNext/>
      </w:pPr>
      <w:r>
        <w:t>Реквизиты для заполнения перед направлением</w:t>
      </w:r>
    </w:p>
    <w:p>
      <w:pPr>
        <w:spacing w:before="0" w:after="100" w:line="264" w:lineRule="auto"/>
      </w:pPr>
      <w:r>
        <w:rPr>
          <w:rFonts w:ascii="Arial" w:hAnsi="Arial" w:eastAsia="Arial"/>
          <w:b w:val="0"/>
          <w:i w:val="0"/>
          <w:color w:val="5B6573"/>
          <w:sz w:val="20"/>
        </w:rPr>
        <w:t>Исходящий №: __________  •  Дата: __________  •  Контактный телефон: __________  •  Электронная почта: __________</w:t>
      </w:r>
    </w:p>
    <w:p>
      <w:pPr>
        <w:spacing w:before="0" w:after="100" w:line="264" w:lineRule="auto"/>
      </w:pPr>
      <w:r>
        <w:rPr>
          <w:rFonts w:ascii="Arial" w:hAnsi="Arial" w:eastAsia="Arial"/>
          <w:b w:val="0"/>
          <w:i w:val="0"/>
          <w:color w:val="5B6573"/>
          <w:sz w:val="20"/>
        </w:rPr>
        <w:t>Организация/правовой статус инициатора: ________________________________________________</w:t>
      </w:r>
    </w:p>
    <w:p>
      <w:pPr>
        <w:spacing w:after="0"/>
      </w:pPr>
      <w:r>
        <w:br w:type="page"/>
      </w:r>
    </w:p>
    <w:p>
      <w:pPr>
        <w:keepNext/>
        <w:spacing w:before="0" w:after="120"/>
        <w:jc w:val="left"/>
      </w:pPr>
      <w:r>
        <w:rPr>
          <w:rFonts w:ascii="Arial" w:hAnsi="Arial" w:eastAsia="Arial"/>
          <w:b/>
          <w:i w:val="0"/>
          <w:caps/>
          <w:color w:val="B58A36"/>
          <w:sz w:val="19"/>
        </w:rPr>
        <w:t>ДОКУМЕНТ 1</w:t>
      </w:r>
    </w:p>
    <w:p>
      <w:pPr>
        <w:pStyle w:val="Heading1"/>
        <w:keepNext/>
      </w:pPr>
      <w:r>
        <w:t>Сопроводительное письмо</w:t>
      </w:r>
    </w:p>
    <w:p>
      <w:pPr>
        <w:spacing w:before="0" w:after="200" w:line="264" w:lineRule="auto"/>
        <w:jc w:val="right"/>
      </w:pPr>
      <w:r>
        <w:rPr>
          <w:rFonts w:ascii="Arial" w:hAnsi="Arial" w:eastAsia="Arial"/>
          <w:b/>
          <w:i w:val="0"/>
          <w:color w:val="1F2933"/>
          <w:sz w:val="21"/>
        </w:rPr>
        <w:t>Помощнику Президента Российской Федерации,</w:t>
        <w:br/>
        <w:t>Секретарю Государственного Совета Российской Федерации</w:t>
        <w:br/>
        <w:t>А. Г. Дюмину</w:t>
      </w:r>
    </w:p>
    <w:p>
      <w:pPr>
        <w:spacing w:before="0" w:after="200" w:line="264" w:lineRule="auto"/>
      </w:pPr>
      <w:r>
        <w:rPr>
          <w:rFonts w:ascii="Arial" w:hAnsi="Arial" w:eastAsia="Arial"/>
          <w:b/>
          <w:i w:val="0"/>
          <w:color w:val="17365D"/>
          <w:sz w:val="22"/>
        </w:rPr>
        <w:t>О рассмотрении предложения по подготовке и апробации межотраслевой системы территориальных балансов «ЭКВИЛИБРИУМ — ECO-PPA»</w:t>
      </w:r>
    </w:p>
    <w:p>
      <w:pPr>
        <w:spacing w:before="0" w:after="140" w:line="264" w:lineRule="auto"/>
      </w:pPr>
      <w:r>
        <w:rPr>
          <w:rFonts w:ascii="Arial" w:hAnsi="Arial" w:eastAsia="Arial"/>
          <w:b/>
          <w:i w:val="0"/>
          <w:color w:val="1F2933"/>
          <w:sz w:val="22"/>
        </w:rPr>
        <w:t>Уважаемый Алексей Геннадьевич!</w:t>
      </w:r>
    </w:p>
    <w:p>
      <w:pPr>
        <w:spacing w:before="0" w:after="80" w:line="264" w:lineRule="auto"/>
      </w:pPr>
      <w:r>
        <w:rPr>
          <w:rFonts w:ascii="Arial" w:hAnsi="Arial" w:eastAsia="Arial"/>
          <w:b w:val="0"/>
          <w:i w:val="0"/>
          <w:color w:val="1F2933"/>
          <w:sz w:val="21"/>
        </w:rPr>
        <w:t>Направляю на предварительное рассмотрение пакет предложений по созданию межкомиссионного аналитического механизма «Система стратегических балансов Российской Федерации» с применением авторской методологии «ЭКВИЛИБРИУМ» и проектно-контрактного контура ECO-PPA.</w:t>
      </w:r>
    </w:p>
    <w:p>
      <w:pPr>
        <w:spacing w:before="0" w:after="80" w:line="264" w:lineRule="auto"/>
      </w:pPr>
      <w:r>
        <w:rPr>
          <w:rFonts w:ascii="Arial" w:hAnsi="Arial" w:eastAsia="Arial"/>
          <w:b w:val="0"/>
          <w:i w:val="0"/>
          <w:color w:val="1F2933"/>
          <w:sz w:val="21"/>
        </w:rPr>
        <w:t>Методика связывает 19 ресурсных и результативных балансов, чтобы до капиталоёмкого решения выявлять дефициты энергии, воды, кадров, транспорта, материалов и финансов. ECO-PPA переводит выбранный сценарий в паспорт проекта с ресурсами, обязательствами сторон, KPI, доказательствами результата и стоп-критериями. Подход не заменяет полномочия органов власти, государственную статистику и действующие информационные системы.</w:t>
      </w:r>
    </w:p>
    <w:p>
      <w:pPr>
        <w:spacing w:before="0" w:after="80" w:line="264" w:lineRule="auto"/>
      </w:pPr>
      <w:r>
        <w:rPr>
          <w:rFonts w:ascii="Arial" w:hAnsi="Arial" w:eastAsia="Arial"/>
          <w:b w:val="0"/>
          <w:i w:val="0"/>
          <w:color w:val="1F2933"/>
          <w:sz w:val="21"/>
        </w:rPr>
        <w:t>Первым шагом предлагается 90-дневная экспертно-аналитическая апробация на действующих данных, без создания новой федеральной ГИС и без капитальных затрат. Её результат — паспорта приоритетных балансов, карта зависимостей, три сценария, проект паспорта ECO-PPA и заключение о целесообразности 12-месячного территориального пилота.</w:t>
      </w:r>
    </w:p>
    <w:p>
      <w:pPr>
        <w:spacing w:before="0" w:after="100" w:line="264" w:lineRule="auto"/>
      </w:pPr>
      <w:r>
        <w:rPr>
          <w:rFonts w:ascii="Arial" w:hAnsi="Arial" w:eastAsia="Arial"/>
          <w:b/>
          <w:i w:val="0"/>
          <w:color w:val="1F2933"/>
          <w:sz w:val="22"/>
        </w:rPr>
        <w:t>Просим Вас рассмотреть возможность:</w:t>
      </w:r>
    </w:p>
    <w:p>
      <w:pPr>
        <w:numPr>
          <w:ilvl w:val="0"/>
          <w:numId w:val="90"/>
        </w:numPr>
        <w:spacing w:after="80" w:line="264" w:lineRule="auto"/>
      </w:pPr>
      <w:r>
        <w:rPr>
          <w:rFonts w:ascii="Arial" w:hAnsi="Arial" w:eastAsia="Arial"/>
          <w:b w:val="0"/>
          <w:i w:val="0"/>
          <w:color w:val="1F2933"/>
          <w:sz w:val="21"/>
        </w:rPr>
        <w:t>направить материалы на экспертную проработку в комиссию по направлению «Экологическое благополучие» с привлечением, в части компетенции, комиссий по экономике данных, технологическому лидерству, энергетике, экономике и финансам;</w:t>
      </w:r>
    </w:p>
    <w:p>
      <w:pPr>
        <w:numPr>
          <w:ilvl w:val="0"/>
          <w:numId w:val="90"/>
        </w:numPr>
        <w:spacing w:after="80" w:line="264" w:lineRule="auto"/>
      </w:pPr>
      <w:r>
        <w:rPr>
          <w:rFonts w:ascii="Arial" w:hAnsi="Arial" w:eastAsia="Arial"/>
          <w:b w:val="0"/>
          <w:i w:val="0"/>
          <w:color w:val="1F2933"/>
          <w:sz w:val="21"/>
        </w:rPr>
        <w:t>провести рабочее представление с участием Секретариата Государственного Совета, заинтересованных органов власти, Российской академии наук и профильных экспертов;</w:t>
      </w:r>
    </w:p>
    <w:p>
      <w:pPr>
        <w:numPr>
          <w:ilvl w:val="0"/>
          <w:numId w:val="90"/>
        </w:numPr>
        <w:spacing w:after="80" w:line="264" w:lineRule="auto"/>
      </w:pPr>
      <w:r>
        <w:rPr>
          <w:rFonts w:ascii="Arial" w:hAnsi="Arial" w:eastAsia="Arial"/>
          <w:b w:val="0"/>
          <w:i w:val="0"/>
          <w:color w:val="1F2933"/>
          <w:sz w:val="21"/>
        </w:rPr>
        <w:t>подготовить предложения о 90-дневной апробации и, при положительном заключении, о параметрах 12-месячного пилота.</w:t>
      </w:r>
    </w:p>
    <w:p>
      <w:pPr>
        <w:spacing w:before="60" w:after="80" w:line="264" w:lineRule="auto"/>
      </w:pPr>
      <w:r>
        <w:rPr>
          <w:rFonts w:ascii="Arial" w:hAnsi="Arial" w:eastAsia="Arial"/>
          <w:b w:val="0"/>
          <w:i/>
          <w:color w:val="5B6573"/>
          <w:sz w:val="19"/>
        </w:rPr>
        <w:t>Рассмотрение концепции не создаёт бюджетных обязательств и исключительных прав. Заказчик, оператор, поставщики, финансирование и независимый верификатор определяются в установленном порядке.</w:t>
      </w:r>
    </w:p>
    <w:p>
      <w:pPr>
        <w:spacing w:before="80" w:after="60" w:line="264" w:lineRule="auto"/>
      </w:pPr>
      <w:r>
        <w:rPr>
          <w:rFonts w:ascii="Arial" w:hAnsi="Arial" w:eastAsia="Arial"/>
          <w:b w:val="0"/>
          <w:i w:val="0"/>
          <w:color w:val="1F2933"/>
          <w:sz w:val="20"/>
        </w:rPr>
        <w:t>Приложение: пакет предложений на ____ л. в 1 экз.</w:t>
      </w:r>
    </w:p>
    <w:p>
      <w:pPr>
        <w:spacing w:before="140" w:after="40" w:line="264" w:lineRule="auto"/>
      </w:pPr>
      <w:r>
        <w:rPr>
          <w:rFonts w:ascii="Arial" w:hAnsi="Arial" w:eastAsia="Arial"/>
          <w:b w:val="0"/>
          <w:i w:val="0"/>
          <w:color w:val="1F2933"/>
          <w:sz w:val="22"/>
        </w:rPr>
        <w:t>С уважением,</w:t>
      </w:r>
    </w:p>
    <w:p>
      <w:pPr>
        <w:spacing w:before="0" w:after="40" w:line="264" w:lineRule="auto"/>
      </w:pPr>
      <w:r>
        <w:rPr>
          <w:rFonts w:ascii="Arial" w:hAnsi="Arial" w:eastAsia="Arial"/>
          <w:b/>
          <w:i w:val="0"/>
          <w:color w:val="1F2933"/>
          <w:sz w:val="22"/>
        </w:rPr>
        <w:t>С. Л. Соколов</w:t>
      </w:r>
    </w:p>
    <w:p>
      <w:pPr>
        <w:spacing w:before="0" w:after="100" w:line="264" w:lineRule="auto"/>
      </w:pPr>
      <w:r>
        <w:rPr>
          <w:rFonts w:ascii="Arial" w:hAnsi="Arial" w:eastAsia="Arial"/>
          <w:b w:val="0"/>
          <w:i w:val="0"/>
          <w:color w:val="5B6573"/>
          <w:sz w:val="19"/>
        </w:rPr>
        <w:t>Инициатор проекта «ЭКВИЛИБРИУМ — ECO-PPA»</w:t>
        <w:br/>
        <w:t>Контактные данные заполняются перед направлением  •  Подпись: ____________________</w:t>
      </w:r>
    </w:p>
    <w:p>
      <w:pPr>
        <w:spacing w:after="0"/>
      </w:pPr>
      <w:r>
        <w:br w:type="page"/>
      </w:r>
    </w:p>
    <w:p>
      <w:pPr>
        <w:keepNext/>
        <w:spacing w:before="0" w:after="120"/>
        <w:jc w:val="left"/>
      </w:pPr>
      <w:r>
        <w:rPr>
          <w:rFonts w:ascii="Arial" w:hAnsi="Arial" w:eastAsia="Arial"/>
          <w:b/>
          <w:i w:val="0"/>
          <w:caps/>
          <w:color w:val="B58A36"/>
          <w:sz w:val="19"/>
        </w:rPr>
        <w:t>ДОКУМЕНТ 2</w:t>
      </w:r>
    </w:p>
    <w:p>
      <w:pPr>
        <w:pStyle w:val="Heading1"/>
        <w:keepNext/>
      </w:pPr>
      <w:r>
        <w:t>Проект резолюции Секретаря Государственного Совета</w:t>
      </w:r>
    </w:p>
    <w:p>
      <w:pPr>
        <w:spacing w:before="140" w:after="160" w:line="259" w:lineRule="auto"/>
        <w:ind w:left="198" w:right="113"/>
        <w:shd w:fill="F7F1E5"/>
        <w:keepLines/>
        <w:pBdr>
          <w:left w:val="single" w:sz="18" w:space="8" w:color="B58A36"/>
        </w:pBdr>
      </w:pPr>
      <w:r>
        <w:rPr>
          <w:rFonts w:ascii="Arial" w:hAnsi="Arial" w:eastAsia="Arial"/>
          <w:b/>
          <w:i w:val="0"/>
          <w:color w:val="B58A36"/>
          <w:sz w:val="21"/>
        </w:rPr>
        <w:t xml:space="preserve">Рабочая формулировка. </w:t>
      </w:r>
      <w:r>
        <w:rPr>
          <w:rFonts w:ascii="Arial" w:hAnsi="Arial" w:eastAsia="Arial"/>
          <w:b w:val="0"/>
          <w:i w:val="0"/>
          <w:color w:val="1F2933"/>
          <w:sz w:val="21"/>
        </w:rPr>
        <w:t>Подлежит правовой и организационной редактуре Секретариатом Государственного Совета Российской Федерации.</w:t>
      </w:r>
    </w:p>
    <w:p>
      <w:pPr>
        <w:spacing w:before="200" w:after="320" w:line="278" w:lineRule="auto"/>
      </w:pPr>
      <w:r>
        <w:rPr>
          <w:rFonts w:ascii="Arial" w:hAnsi="Arial" w:eastAsia="Arial"/>
          <w:b/>
          <w:i w:val="0"/>
          <w:color w:val="17365D"/>
          <w:sz w:val="24"/>
        </w:rPr>
        <w:t>Комиссии Государственного Совета Российской Федерации по направлению «Экологическое благополучие» рассмотреть представленные материалы с привлечением заинтересованных комиссий, федеральных органов исполнительной власти, субъектов Российской Федерации, научных и экспертных организаций и представить Секретарю Государственного Совета Российской Федерации предложения о целесообразности, параметрах и условиях возможной пилотной апробации.</w:t>
      </w:r>
    </w:p>
    <w:p>
      <w:pPr>
        <w:pStyle w:val="Heading2"/>
        <w:keepNext/>
      </w:pPr>
      <w:r>
        <w:t>Рекомендуемый состав результата проработки</w:t>
      </w:r>
    </w:p>
    <w:p>
      <w:pPr>
        <w:numPr>
          <w:ilvl w:val="0"/>
          <w:numId w:val="90"/>
        </w:numPr>
        <w:spacing w:after="80" w:line="264" w:lineRule="auto"/>
      </w:pPr>
      <w:r>
        <w:rPr>
          <w:rFonts w:ascii="Arial" w:hAnsi="Arial" w:eastAsia="Arial"/>
          <w:b w:val="0"/>
          <w:i w:val="0"/>
          <w:color w:val="1F2933"/>
          <w:sz w:val="21"/>
        </w:rPr>
        <w:t>заключение о соответствии инициативы компетенции и задачам профильных комиссий;</w:t>
      </w:r>
    </w:p>
    <w:p>
      <w:pPr>
        <w:numPr>
          <w:ilvl w:val="0"/>
          <w:numId w:val="90"/>
        </w:numPr>
        <w:spacing w:after="80" w:line="264" w:lineRule="auto"/>
      </w:pPr>
      <w:r>
        <w:rPr>
          <w:rFonts w:ascii="Arial" w:hAnsi="Arial" w:eastAsia="Arial"/>
          <w:b w:val="0"/>
          <w:i w:val="0"/>
          <w:color w:val="1F2933"/>
          <w:sz w:val="21"/>
        </w:rPr>
        <w:t>перечень действующих государственных систем и данных, с которыми требуется совместимость без дублирования функций;</w:t>
      </w:r>
    </w:p>
    <w:p>
      <w:pPr>
        <w:numPr>
          <w:ilvl w:val="0"/>
          <w:numId w:val="90"/>
        </w:numPr>
        <w:spacing w:after="80" w:line="264" w:lineRule="auto"/>
      </w:pPr>
      <w:r>
        <w:rPr>
          <w:rFonts w:ascii="Arial" w:hAnsi="Arial" w:eastAsia="Arial"/>
          <w:b w:val="0"/>
          <w:i w:val="0"/>
          <w:color w:val="1F2933"/>
          <w:sz w:val="21"/>
        </w:rPr>
        <w:t>уточнённый состав балансов, показателей и демонстрационных межотраслевых цепочек;</w:t>
      </w:r>
    </w:p>
    <w:p>
      <w:pPr>
        <w:numPr>
          <w:ilvl w:val="0"/>
          <w:numId w:val="90"/>
        </w:numPr>
        <w:spacing w:after="80" w:line="264" w:lineRule="auto"/>
      </w:pPr>
      <w:r>
        <w:rPr>
          <w:rFonts w:ascii="Arial" w:hAnsi="Arial" w:eastAsia="Arial"/>
          <w:b w:val="0"/>
          <w:i w:val="0"/>
          <w:color w:val="1F2933"/>
          <w:sz w:val="21"/>
        </w:rPr>
        <w:t>правовая модель обработки данных, закупок, финансирования и независимой оценки;</w:t>
      </w:r>
    </w:p>
    <w:p>
      <w:pPr>
        <w:numPr>
          <w:ilvl w:val="0"/>
          <w:numId w:val="90"/>
        </w:numPr>
        <w:spacing w:after="80" w:line="264" w:lineRule="auto"/>
      </w:pPr>
      <w:r>
        <w:rPr>
          <w:rFonts w:ascii="Arial" w:hAnsi="Arial" w:eastAsia="Arial"/>
          <w:b w:val="0"/>
          <w:i w:val="0"/>
          <w:color w:val="1F2933"/>
          <w:sz w:val="21"/>
        </w:rPr>
        <w:t>предложения о территории, составе участников, сроках, стоимости и условиях остановки пилота;</w:t>
      </w:r>
    </w:p>
    <w:p>
      <w:pPr>
        <w:numPr>
          <w:ilvl w:val="0"/>
          <w:numId w:val="90"/>
        </w:numPr>
        <w:spacing w:after="80" w:line="264" w:lineRule="auto"/>
      </w:pPr>
      <w:r>
        <w:rPr>
          <w:rFonts w:ascii="Arial" w:hAnsi="Arial" w:eastAsia="Arial"/>
          <w:b w:val="0"/>
          <w:i w:val="0"/>
          <w:color w:val="1F2933"/>
          <w:sz w:val="21"/>
        </w:rPr>
        <w:t>варианты дальнейшего решения: прекратить, доработать, провести полный пилот или подготовить вопрос к рассмотрению на более высоком уровне.</w:t>
      </w:r>
    </w:p>
    <w:p>
      <w:pPr>
        <w:pStyle w:val="Heading2"/>
        <w:keepNext/>
      </w:pPr>
      <w:r>
        <w:t>Предлагаемый срок первичной проработки</w:t>
      </w:r>
    </w:p>
    <w:p>
      <w:pPr>
        <w:spacing w:before="0" w:after="100" w:line="264" w:lineRule="auto"/>
      </w:pPr>
      <w:r>
        <w:rPr>
          <w:rFonts w:ascii="Arial" w:hAnsi="Arial" w:eastAsia="Arial"/>
          <w:b w:val="0"/>
          <w:i w:val="0"/>
          <w:color w:val="1F2933"/>
          <w:sz w:val="22"/>
        </w:rPr>
        <w:t>До 90 календарных дней с даты организационного решения и предоставления согласованного набора исходных данных.</w:t>
      </w:r>
    </w:p>
    <w:p>
      <w:pPr>
        <w:pStyle w:val="Heading2"/>
        <w:keepNext/>
      </w:pPr>
      <w:r>
        <w:t>Что резолюция не означает</w:t>
      </w:r>
    </w:p>
    <w:tbl>
      <w:tblPr>
        <w:tblStyle w:val="TableGrid"/>
        <w:tblW w:type="dxa" w:w="9750"/>
        <w:tblLayout w:type="fixed"/>
        <w:tblLook w:firstColumn="1" w:firstRow="1" w:lastColumn="0" w:lastRow="0" w:noHBand="0" w:noVBand="1" w:val="04A0"/>
        <w:jc w:val="left"/>
        <w:tblInd w:w="120" w:type="dxa"/>
      </w:tblPr>
      <w:tblGrid>
        <w:gridCol w:w="3000"/>
        <w:gridCol w:w="6750"/>
      </w:tblGrid>
      <w:tr>
        <w:trPr>
          <w:tblHeader w:val="true"/>
          <w:cantSplit w:val="true"/>
        </w:trPr>
        <w:tc>
          <w:tcPr>
            <w:tcW w:type="dxa" w:w="300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8"/>
              </w:rPr>
              <w:t>Не означает</w:t>
            </w:r>
          </w:p>
        </w:tc>
        <w:tc>
          <w:tcPr>
            <w:tcW w:type="dxa" w:w="675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8"/>
              </w:rPr>
              <w:t>Почему</w:t>
            </w:r>
          </w:p>
        </w:tc>
      </w:tr>
      <w:tr>
        <w:trPr>
          <w:cantSplit w:val="true"/>
        </w:trPr>
        <w:tc>
          <w:tcPr>
            <w:tcW w:type="dxa" w:w="30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Утверждение государственной программы</w:t>
            </w:r>
          </w:p>
        </w:tc>
        <w:tc>
          <w:tcPr>
            <w:tcW w:type="dxa" w:w="67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Требует отдельного решения и процедур стратегического и бюджетного планирования</w:t>
            </w:r>
          </w:p>
        </w:tc>
      </w:tr>
      <w:tr>
        <w:trPr>
          <w:cantSplit w:val="true"/>
        </w:trPr>
        <w:tc>
          <w:tcPr>
            <w:tcW w:type="dxa" w:w="30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Выделение 260 млн руб.</w:t>
            </w:r>
          </w:p>
        </w:tc>
        <w:tc>
          <w:tcPr>
            <w:tcW w:type="dxa" w:w="67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Сумма является только предельным ориентиром до ТЭО</w:t>
            </w:r>
          </w:p>
        </w:tc>
      </w:tr>
      <w:tr>
        <w:trPr>
          <w:cantSplit w:val="true"/>
        </w:trPr>
        <w:tc>
          <w:tcPr>
            <w:tcW w:type="dxa" w:w="30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Назначение частного оператора</w:t>
            </w:r>
          </w:p>
        </w:tc>
        <w:tc>
          <w:tcPr>
            <w:tcW w:type="dxa" w:w="67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Оператор и поставщики определяются по законодательству и применимым закупочным процедурам</w:t>
            </w:r>
          </w:p>
        </w:tc>
      </w:tr>
      <w:tr>
        <w:trPr>
          <w:cantSplit w:val="true"/>
        </w:trPr>
        <w:tc>
          <w:tcPr>
            <w:tcW w:type="dxa" w:w="30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Интеграцию со всеми ГИС</w:t>
            </w:r>
          </w:p>
        </w:tc>
        <w:tc>
          <w:tcPr>
            <w:tcW w:type="dxa" w:w="67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Допускается лишь после согласования с их операторами и выполнения требований безопасности</w:t>
            </w:r>
          </w:p>
        </w:tc>
      </w:tr>
      <w:tr>
        <w:trPr>
          <w:cantSplit w:val="true"/>
        </w:trPr>
        <w:tc>
          <w:tcPr>
            <w:tcW w:type="dxa" w:w="30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Обязательное тиражирование</w:t>
            </w:r>
          </w:p>
        </w:tc>
        <w:tc>
          <w:tcPr>
            <w:tcW w:type="dxa" w:w="67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Масштабирование возможно только после независимой оценки результатов</w:t>
            </w:r>
          </w:p>
        </w:tc>
      </w:tr>
    </w:tbl>
    <w:p>
      <w:pPr>
        <w:spacing w:before="0" w:after="60"/>
      </w:pPr>
    </w:p>
    <w:p>
      <w:pPr>
        <w:spacing w:after="0"/>
      </w:pPr>
      <w:r>
        <w:br w:type="page"/>
      </w:r>
    </w:p>
    <w:p>
      <w:pPr>
        <w:keepNext/>
        <w:spacing w:before="0" w:after="120"/>
        <w:jc w:val="left"/>
      </w:pPr>
      <w:r>
        <w:rPr>
          <w:rFonts w:ascii="Arial" w:hAnsi="Arial" w:eastAsia="Arial"/>
          <w:b/>
          <w:i w:val="0"/>
          <w:caps/>
          <w:color w:val="B58A36"/>
          <w:sz w:val="19"/>
        </w:rPr>
        <w:t>ДОКУМЕНТ 3</w:t>
      </w:r>
    </w:p>
    <w:p>
      <w:pPr>
        <w:pStyle w:val="Heading1"/>
        <w:keepNext/>
      </w:pPr>
      <w:r>
        <w:t>Краткая записка для принятия решения</w:t>
      </w:r>
    </w:p>
    <w:p>
      <w:pPr>
        <w:spacing w:before="140" w:after="160" w:line="259" w:lineRule="auto"/>
        <w:ind w:left="198" w:right="113"/>
        <w:shd w:fill="EAF1F8"/>
        <w:keepLines/>
        <w:pBdr>
          <w:left w:val="single" w:sz="18" w:space="8" w:color="17365D"/>
        </w:pBdr>
      </w:pPr>
      <w:r>
        <w:rPr>
          <w:rFonts w:ascii="Arial" w:hAnsi="Arial" w:eastAsia="Arial"/>
          <w:b/>
          <w:i w:val="0"/>
          <w:color w:val="17365D"/>
          <w:sz w:val="21"/>
        </w:rPr>
        <w:t xml:space="preserve">Суть предложения. </w:t>
      </w:r>
      <w:r>
        <w:rPr>
          <w:rFonts w:ascii="Arial" w:hAnsi="Arial" w:eastAsia="Arial"/>
          <w:b w:val="0"/>
          <w:i w:val="0"/>
          <w:color w:val="1F2933"/>
          <w:sz w:val="21"/>
        </w:rPr>
        <w:t>Связать действующие данные в модель ограничений и последствий, а выбранное решение оформить через ECO-PPA как проверяемый проект с ресурсами, KPI, ответственностью и независимой верификацией.</w:t>
      </w:r>
    </w:p>
    <w:p>
      <w:pPr>
        <w:pStyle w:val="Heading2"/>
        <w:keepNext/>
      </w:pPr>
      <w:r>
        <w:t>Решение, которое предлагается сейчас</w:t>
      </w:r>
    </w:p>
    <w:p>
      <w:pPr>
        <w:numPr>
          <w:ilvl w:val="0"/>
          <w:numId w:val="91"/>
        </w:numPr>
        <w:spacing w:after="80" w:line="264" w:lineRule="auto"/>
      </w:pPr>
      <w:r>
        <w:rPr>
          <w:rFonts w:ascii="Arial" w:hAnsi="Arial" w:eastAsia="Arial"/>
          <w:b w:val="0"/>
          <w:i w:val="0"/>
          <w:color w:val="1F2933"/>
          <w:sz w:val="21"/>
        </w:rPr>
        <w:t>Провести рабочее представление проекта.</w:t>
      </w:r>
    </w:p>
    <w:p>
      <w:pPr>
        <w:numPr>
          <w:ilvl w:val="0"/>
          <w:numId w:val="91"/>
        </w:numPr>
        <w:spacing w:after="80" w:line="264" w:lineRule="auto"/>
      </w:pPr>
      <w:r>
        <w:rPr>
          <w:rFonts w:ascii="Arial" w:hAnsi="Arial" w:eastAsia="Arial"/>
          <w:b w:val="0"/>
          <w:i w:val="0"/>
          <w:color w:val="1F2933"/>
          <w:sz w:val="21"/>
        </w:rPr>
        <w:t>Определить профильную комиссию и формат межкомиссионной рабочей группы.</w:t>
      </w:r>
    </w:p>
    <w:p>
      <w:pPr>
        <w:numPr>
          <w:ilvl w:val="0"/>
          <w:numId w:val="91"/>
        </w:numPr>
        <w:spacing w:after="80" w:line="264" w:lineRule="auto"/>
      </w:pPr>
      <w:r>
        <w:rPr>
          <w:rFonts w:ascii="Arial" w:hAnsi="Arial" w:eastAsia="Arial"/>
          <w:b w:val="0"/>
          <w:i w:val="0"/>
          <w:color w:val="1F2933"/>
          <w:sz w:val="21"/>
        </w:rPr>
        <w:t>Рассмотреть 90-дневную экспертно-аналитическую апробацию на действующих данных.</w:t>
      </w:r>
    </w:p>
    <w:p>
      <w:pPr>
        <w:pStyle w:val="Heading2"/>
        <w:keepNext/>
      </w:pPr>
      <w:r>
        <w:t>Почему вопрос межкомиссионный</w:t>
      </w:r>
    </w:p>
    <w:p>
      <w:pPr>
        <w:spacing w:before="0" w:after="100" w:line="264" w:lineRule="auto"/>
      </w:pPr>
      <w:r>
        <w:rPr>
          <w:rFonts w:ascii="Arial" w:hAnsi="Arial" w:eastAsia="Arial"/>
          <w:b w:val="0"/>
          <w:i w:val="0"/>
          <w:color w:val="1F2933"/>
          <w:sz w:val="22"/>
        </w:rPr>
        <w:t>Промышленный проект одновременно зависит от энергии, воды, сырья, транспорта, кадров и инвестиций. Жилищное строительство — от демографии, коммунальных мощностей, социальной инфраструктуры и доходов. Экологическое решение — от технологической оснащённости предприятий, источников финансирования и качества данных. Отраслевой анализ не всегда выявляет полный набор вторичных эффектов.</w:t>
      </w:r>
    </w:p>
    <w:p>
      <w:pPr>
        <w:pStyle w:val="Heading2"/>
        <w:keepNext/>
      </w:pPr>
      <w:r>
        <w:t>Как работает механизм</w:t>
      </w:r>
    </w:p>
    <w:tbl>
      <w:tblPr>
        <w:tblStyle w:val="TableGrid"/>
        <w:tblW w:type="dxa" w:w="9750"/>
        <w:tblLayout w:type="fixed"/>
        <w:tblLook w:firstColumn="1" w:firstRow="1" w:lastColumn="0" w:lastRow="0" w:noHBand="0" w:noVBand="1" w:val="04A0"/>
        <w:jc w:val="left"/>
        <w:tblInd w:w="120" w:type="dxa"/>
      </w:tblPr>
      <w:tblGrid>
        <w:gridCol w:w="2200"/>
        <w:gridCol w:w="7550"/>
      </w:tblGrid>
      <w:tr>
        <w:trPr>
          <w:tblHeader w:val="true"/>
          <w:cantSplit w:val="true"/>
        </w:trPr>
        <w:tc>
          <w:tcPr>
            <w:tcW w:type="dxa" w:w="220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8"/>
              </w:rPr>
              <w:t>Этап</w:t>
            </w:r>
          </w:p>
        </w:tc>
        <w:tc>
          <w:tcPr>
            <w:tcW w:type="dxa" w:w="755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8"/>
              </w:rPr>
              <w:t>Результат</w:t>
            </w:r>
          </w:p>
        </w:tc>
      </w:tr>
      <w:tr>
        <w:trPr>
          <w:cantSplit w:val="true"/>
        </w:trPr>
        <w:tc>
          <w:tcPr>
            <w:tcW w:type="dxa" w:w="2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1. Сигнал</w:t>
            </w:r>
          </w:p>
        </w:tc>
        <w:tc>
          <w:tcPr>
            <w:tcW w:type="dxa" w:w="75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Цель, проблема, риск или проект фиксируется в едином паспорте</w:t>
            </w:r>
          </w:p>
        </w:tc>
      </w:tr>
      <w:tr>
        <w:trPr>
          <w:cantSplit w:val="true"/>
        </w:trPr>
        <w:tc>
          <w:tcPr>
            <w:tcW w:type="dxa" w:w="22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2. Балансы</w:t>
            </w:r>
          </w:p>
        </w:tc>
        <w:tc>
          <w:tcPr>
            <w:tcW w:type="dxa" w:w="75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Определяются затронутые ресурсы, территории и ограничения</w:t>
            </w:r>
          </w:p>
        </w:tc>
      </w:tr>
      <w:tr>
        <w:trPr>
          <w:cantSplit w:val="true"/>
        </w:trPr>
        <w:tc>
          <w:tcPr>
            <w:tcW w:type="dxa" w:w="2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3. Сценарии</w:t>
            </w:r>
          </w:p>
        </w:tc>
        <w:tc>
          <w:tcPr>
            <w:tcW w:type="dxa" w:w="75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Сравниваются базовый, целевой и стрессовый варианты</w:t>
            </w:r>
          </w:p>
        </w:tc>
      </w:tr>
      <w:tr>
        <w:trPr>
          <w:cantSplit w:val="true"/>
        </w:trPr>
        <w:tc>
          <w:tcPr>
            <w:tcW w:type="dxa" w:w="22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4. Решение</w:t>
            </w:r>
          </w:p>
        </w:tc>
        <w:tc>
          <w:tcPr>
            <w:tcW w:type="dxa" w:w="75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Уполномоченный орган выбирает вариант; модель не принимает властных решений</w:t>
            </w:r>
          </w:p>
        </w:tc>
      </w:tr>
      <w:tr>
        <w:trPr>
          <w:cantSplit w:val="true"/>
        </w:trPr>
        <w:tc>
          <w:tcPr>
            <w:tcW w:type="dxa" w:w="2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5. ECO-PPA</w:t>
            </w:r>
          </w:p>
        </w:tc>
        <w:tc>
          <w:tcPr>
            <w:tcW w:type="dxa" w:w="75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Формируется паспорт проекта: стороны, ресурсы, KPI, доказательства, стоп-критерии</w:t>
            </w:r>
          </w:p>
        </w:tc>
      </w:tr>
      <w:tr>
        <w:trPr>
          <w:cantSplit w:val="true"/>
        </w:trPr>
        <w:tc>
          <w:tcPr>
            <w:tcW w:type="dxa" w:w="22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6. Исполнение</w:t>
            </w:r>
          </w:p>
        </w:tc>
        <w:tc>
          <w:tcPr>
            <w:tcW w:type="dxa" w:w="75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Оператор и поставщики реализуют проект после законного отбора</w:t>
            </w:r>
          </w:p>
        </w:tc>
      </w:tr>
      <w:tr>
        <w:trPr>
          <w:cantSplit w:val="true"/>
        </w:trPr>
        <w:tc>
          <w:tcPr>
            <w:tcW w:type="dxa" w:w="2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7. Проверка</w:t>
            </w:r>
          </w:p>
        </w:tc>
        <w:tc>
          <w:tcPr>
            <w:tcW w:type="dxa" w:w="75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Независимый верификатор сопоставляет baseline, затраты и эффект</w:t>
            </w:r>
          </w:p>
        </w:tc>
      </w:tr>
    </w:tbl>
    <w:p>
      <w:pPr>
        <w:spacing w:before="0" w:after="60"/>
      </w:pPr>
    </w:p>
    <w:p>
      <w:pPr>
        <w:pStyle w:val="Heading2"/>
        <w:keepNext/>
      </w:pPr>
      <w:r>
        <w:t>Что предлагается после 90 дней</w:t>
      </w:r>
    </w:p>
    <w:p>
      <w:pPr>
        <w:spacing w:before="0" w:after="100" w:line="264" w:lineRule="auto"/>
      </w:pPr>
      <w:r>
        <w:rPr>
          <w:rFonts w:ascii="Arial" w:hAnsi="Arial" w:eastAsia="Arial"/>
          <w:b w:val="0"/>
          <w:i w:val="0"/>
          <w:color w:val="1F2933"/>
          <w:sz w:val="22"/>
        </w:rPr>
        <w:t>Только при положительном заключении — подготовить 12-месячный территориальный пилот. Предварительный предельный объём затрат может составить до 260 млн руб.: до 130 млн руб. на экологический технологический контур и до 130 млн руб. на контур распределённой мини-генерации. Сумма уточняется ТЭО и не является бюджетным обязательством.</w:t>
      </w:r>
    </w:p>
    <w:p>
      <w:pPr>
        <w:pStyle w:val="Heading2"/>
        <w:keepNext/>
      </w:pPr>
      <w:r>
        <w:t>Ожидаемый управленческий эффект</w:t>
      </w:r>
    </w:p>
    <w:p>
      <w:pPr>
        <w:numPr>
          <w:ilvl w:val="0"/>
          <w:numId w:val="90"/>
        </w:numPr>
        <w:spacing w:after="80" w:line="264" w:lineRule="auto"/>
      </w:pPr>
      <w:r>
        <w:rPr>
          <w:rFonts w:ascii="Arial" w:hAnsi="Arial" w:eastAsia="Arial"/>
          <w:b w:val="0"/>
          <w:i w:val="0"/>
          <w:color w:val="1F2933"/>
          <w:sz w:val="21"/>
        </w:rPr>
        <w:t>раннее выявление дефицита до принятия капиталоёмкого решения;</w:t>
      </w:r>
    </w:p>
    <w:p>
      <w:pPr>
        <w:numPr>
          <w:ilvl w:val="0"/>
          <w:numId w:val="90"/>
        </w:numPr>
        <w:spacing w:after="80" w:line="264" w:lineRule="auto"/>
      </w:pPr>
      <w:r>
        <w:rPr>
          <w:rFonts w:ascii="Arial" w:hAnsi="Arial" w:eastAsia="Arial"/>
          <w:b w:val="0"/>
          <w:i w:val="0"/>
          <w:color w:val="1F2933"/>
          <w:sz w:val="21"/>
        </w:rPr>
        <w:t>видимость межотраслевых и межрегиональных последствий;</w:t>
      </w:r>
    </w:p>
    <w:p>
      <w:pPr>
        <w:numPr>
          <w:ilvl w:val="0"/>
          <w:numId w:val="90"/>
        </w:numPr>
        <w:spacing w:after="80" w:line="264" w:lineRule="auto"/>
      </w:pPr>
      <w:r>
        <w:rPr>
          <w:rFonts w:ascii="Arial" w:hAnsi="Arial" w:eastAsia="Arial"/>
          <w:b w:val="0"/>
          <w:i w:val="0"/>
          <w:color w:val="1F2933"/>
          <w:sz w:val="21"/>
        </w:rPr>
        <w:t>единый паспорт данных, расчётов и доказательств;</w:t>
      </w:r>
    </w:p>
    <w:p>
      <w:pPr>
        <w:numPr>
          <w:ilvl w:val="0"/>
          <w:numId w:val="90"/>
        </w:numPr>
        <w:spacing w:after="80" w:line="264" w:lineRule="auto"/>
      </w:pPr>
      <w:r>
        <w:rPr>
          <w:rFonts w:ascii="Arial" w:hAnsi="Arial" w:eastAsia="Arial"/>
          <w:b w:val="0"/>
          <w:i w:val="0"/>
          <w:color w:val="1F2933"/>
          <w:sz w:val="21"/>
        </w:rPr>
        <w:t>сопоставление результата с затратами и исходным уровнем;</w:t>
      </w:r>
    </w:p>
    <w:p>
      <w:pPr>
        <w:numPr>
          <w:ilvl w:val="0"/>
          <w:numId w:val="90"/>
        </w:numPr>
        <w:spacing w:after="80" w:line="264" w:lineRule="auto"/>
      </w:pPr>
      <w:r>
        <w:rPr>
          <w:rFonts w:ascii="Arial" w:hAnsi="Arial" w:eastAsia="Arial"/>
          <w:b w:val="0"/>
          <w:i w:val="0"/>
          <w:color w:val="1F2933"/>
          <w:sz w:val="21"/>
        </w:rPr>
        <w:t>возможность остановить неэффективный пилот до масштабирования.</w:t>
      </w:r>
    </w:p>
    <w:p>
      <w:pPr>
        <w:spacing w:after="0"/>
      </w:pPr>
      <w:r>
        <w:br w:type="page"/>
      </w:r>
    </w:p>
    <w:p>
      <w:pPr>
        <w:keepNext/>
        <w:spacing w:before="0" w:after="120"/>
        <w:jc w:val="left"/>
      </w:pPr>
      <w:r>
        <w:rPr>
          <w:rFonts w:ascii="Arial" w:hAnsi="Arial" w:eastAsia="Arial"/>
          <w:b/>
          <w:i w:val="0"/>
          <w:caps/>
          <w:color w:val="B58A36"/>
          <w:sz w:val="19"/>
        </w:rPr>
        <w:t>ОСНОВНОЙ ДОКЛАД</w:t>
      </w:r>
    </w:p>
    <w:p>
      <w:pPr>
        <w:pStyle w:val="Heading1"/>
        <w:keepNext/>
      </w:pPr>
      <w:r>
        <w:t>1. Государственная задача и правовая рамка</w:t>
      </w:r>
    </w:p>
    <w:p>
      <w:pPr>
        <w:spacing w:before="0" w:after="100" w:line="264" w:lineRule="auto"/>
      </w:pPr>
      <w:r>
        <w:rPr>
          <w:rFonts w:ascii="Arial" w:hAnsi="Arial" w:eastAsia="Arial"/>
          <w:b w:val="0"/>
          <w:i w:val="0"/>
          <w:color w:val="1F2933"/>
          <w:sz w:val="22"/>
        </w:rPr>
        <w:t>Государственный Совет Российской Федерации является конституционным государственным органом, формируемым Президентом Российской Федерации для обеспечения согласованного функционирования и взаимодействия органов единой системы публичной власти, определения основных направлений политики и приоритетов социально-экономического развития. Предлагаемый механизм соответствует этой логике как инструмент предварительной межотраслевой и межрегиональной проработки; он не создаёт самостоятельных властных полномочий.</w:t>
      </w:r>
    </w:p>
    <w:p>
      <w:pPr>
        <w:pStyle w:val="Heading2"/>
        <w:keepNext/>
      </w:pPr>
      <w:r>
        <w:t>1.1. Нормативные опоры</w:t>
      </w:r>
    </w:p>
    <w:tbl>
      <w:tblPr>
        <w:tblStyle w:val="TableGrid"/>
        <w:tblW w:type="dxa" w:w="9750"/>
        <w:tblLayout w:type="fixed"/>
        <w:tblLook w:firstColumn="1" w:firstRow="1" w:lastColumn="0" w:lastRow="0" w:noHBand="0" w:noVBand="1" w:val="04A0"/>
        <w:jc w:val="left"/>
        <w:tblInd w:w="120" w:type="dxa"/>
      </w:tblPr>
      <w:tblGrid>
        <w:gridCol w:w="3400"/>
        <w:gridCol w:w="6350"/>
      </w:tblGrid>
      <w:tr>
        <w:trPr>
          <w:tblHeader w:val="true"/>
          <w:cantSplit w:val="true"/>
        </w:trPr>
        <w:tc>
          <w:tcPr>
            <w:tcW w:type="dxa" w:w="340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7"/>
              </w:rPr>
              <w:t>Документ</w:t>
            </w:r>
          </w:p>
        </w:tc>
        <w:tc>
          <w:tcPr>
            <w:tcW w:type="dxa" w:w="635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7"/>
              </w:rPr>
              <w:t>Значение для инициативы</w:t>
            </w:r>
          </w:p>
        </w:tc>
      </w:tr>
      <w:tr>
        <w:trPr>
          <w:cantSplit w:val="true"/>
        </w:trPr>
        <w:tc>
          <w:tcPr>
            <w:tcW w:type="dxa" w:w="34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Федеральный закон от 08.12.2020 № 394-ФЗ</w:t>
            </w:r>
          </w:p>
        </w:tc>
        <w:tc>
          <w:tcPr>
            <w:tcW w:type="dxa" w:w="63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Статус, задачи, функции, рабочие органы и решения Государственного Совета</w:t>
            </w:r>
          </w:p>
        </w:tc>
      </w:tr>
      <w:tr>
        <w:trPr>
          <w:cantSplit w:val="true"/>
        </w:trPr>
        <w:tc>
          <w:tcPr>
            <w:tcW w:type="dxa" w:w="34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Указ Президента РФ от 21.12.2020 № 800</w:t>
            </w:r>
          </w:p>
        </w:tc>
        <w:tc>
          <w:tcPr>
            <w:tcW w:type="dxa" w:w="63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Положение о рабочих органах Государственного Совета и Секретаре</w:t>
            </w:r>
          </w:p>
        </w:tc>
      </w:tr>
      <w:tr>
        <w:trPr>
          <w:cantSplit w:val="true"/>
        </w:trPr>
        <w:tc>
          <w:tcPr>
            <w:tcW w:type="dxa" w:w="34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Указ Президента РФ от 22.07.2024 № 613</w:t>
            </w:r>
          </w:p>
        </w:tc>
        <w:tc>
          <w:tcPr>
            <w:tcW w:type="dxa" w:w="63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21 комиссия по направлениям социально-экономического развития</w:t>
            </w:r>
          </w:p>
        </w:tc>
      </w:tr>
      <w:tr>
        <w:trPr>
          <w:cantSplit w:val="true"/>
        </w:trPr>
        <w:tc>
          <w:tcPr>
            <w:tcW w:type="dxa" w:w="34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Указ Президента РФ от 29.12.2025 № 1003</w:t>
            </w:r>
          </w:p>
        </w:tc>
        <w:tc>
          <w:tcPr>
            <w:tcW w:type="dxa" w:w="63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Типовое положение о комиссии Государственного Совета</w:t>
            </w:r>
          </w:p>
        </w:tc>
      </w:tr>
      <w:tr>
        <w:trPr>
          <w:cantSplit w:val="true"/>
        </w:trPr>
        <w:tc>
          <w:tcPr>
            <w:tcW w:type="dxa" w:w="34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Указ Президента РФ от 07.05.2024 № 309</w:t>
            </w:r>
          </w:p>
        </w:tc>
        <w:tc>
          <w:tcPr>
            <w:tcW w:type="dxa" w:w="63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Национальные цели до 2030 года и на перспективу до 2036 года</w:t>
            </w:r>
          </w:p>
        </w:tc>
      </w:tr>
      <w:tr>
        <w:trPr>
          <w:cantSplit w:val="true"/>
        </w:trPr>
        <w:tc>
          <w:tcPr>
            <w:tcW w:type="dxa" w:w="34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Федеральный закон от 28.06.2014 № 172-ФЗ</w:t>
            </w:r>
          </w:p>
        </w:tc>
        <w:tc>
          <w:tcPr>
            <w:tcW w:type="dxa" w:w="63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Система стратегического планирования Российской Федерации</w:t>
            </w:r>
          </w:p>
        </w:tc>
      </w:tr>
    </w:tbl>
    <w:p>
      <w:pPr>
        <w:spacing w:before="0" w:after="60"/>
      </w:pPr>
    </w:p>
    <w:p>
      <w:pPr>
        <w:pStyle w:val="Heading2"/>
        <w:keepNext/>
      </w:pPr>
      <w:r>
        <w:t>1.2. Почему существующих отраслевых контуров недостаточно</w:t>
      </w:r>
    </w:p>
    <w:p>
      <w:pPr>
        <w:numPr>
          <w:ilvl w:val="0"/>
          <w:numId w:val="90"/>
        </w:numPr>
        <w:spacing w:after="80" w:line="264" w:lineRule="auto"/>
      </w:pPr>
      <w:r>
        <w:rPr>
          <w:rFonts w:ascii="Arial" w:hAnsi="Arial" w:eastAsia="Arial"/>
          <w:b w:val="0"/>
          <w:i w:val="0"/>
          <w:color w:val="1F2933"/>
          <w:sz w:val="21"/>
        </w:rPr>
        <w:t>показатели формируются в разных временных, территориальных и методических разрезах;</w:t>
      </w:r>
    </w:p>
    <w:p>
      <w:pPr>
        <w:numPr>
          <w:ilvl w:val="0"/>
          <w:numId w:val="90"/>
        </w:numPr>
        <w:spacing w:after="80" w:line="264" w:lineRule="auto"/>
      </w:pPr>
      <w:r>
        <w:rPr>
          <w:rFonts w:ascii="Arial" w:hAnsi="Arial" w:eastAsia="Arial"/>
          <w:b w:val="0"/>
          <w:i w:val="0"/>
          <w:color w:val="1F2933"/>
          <w:sz w:val="21"/>
        </w:rPr>
        <w:t>цели программ не всегда одновременно проверяются на обеспеченность ресурсами и мощностями;</w:t>
      </w:r>
    </w:p>
    <w:p>
      <w:pPr>
        <w:numPr>
          <w:ilvl w:val="0"/>
          <w:numId w:val="90"/>
        </w:numPr>
        <w:spacing w:after="80" w:line="264" w:lineRule="auto"/>
      </w:pPr>
      <w:r>
        <w:rPr>
          <w:rFonts w:ascii="Arial" w:hAnsi="Arial" w:eastAsia="Arial"/>
          <w:b w:val="0"/>
          <w:i w:val="0"/>
          <w:color w:val="1F2933"/>
          <w:sz w:val="21"/>
        </w:rPr>
        <w:t>межотраслевые эффекты второго порядка выявляются уже в ходе реализации;</w:t>
      </w:r>
    </w:p>
    <w:p>
      <w:pPr>
        <w:numPr>
          <w:ilvl w:val="0"/>
          <w:numId w:val="90"/>
        </w:numPr>
        <w:spacing w:after="80" w:line="264" w:lineRule="auto"/>
      </w:pPr>
      <w:r>
        <w:rPr>
          <w:rFonts w:ascii="Arial" w:hAnsi="Arial" w:eastAsia="Arial"/>
          <w:b w:val="0"/>
          <w:i w:val="0"/>
          <w:color w:val="1F2933"/>
          <w:sz w:val="21"/>
        </w:rPr>
        <w:t>данные о затратах, физическом результате и общественном эффекте часто находятся в разных системах;</w:t>
      </w:r>
    </w:p>
    <w:p>
      <w:pPr>
        <w:numPr>
          <w:ilvl w:val="0"/>
          <w:numId w:val="90"/>
        </w:numPr>
        <w:spacing w:after="80" w:line="264" w:lineRule="auto"/>
      </w:pPr>
      <w:r>
        <w:rPr>
          <w:rFonts w:ascii="Arial" w:hAnsi="Arial" w:eastAsia="Arial"/>
          <w:b w:val="0"/>
          <w:i w:val="0"/>
          <w:color w:val="1F2933"/>
          <w:sz w:val="21"/>
        </w:rPr>
        <w:t>решение о масштабировании может приниматься до появления независимого доказательства эффекта.</w:t>
      </w:r>
    </w:p>
    <w:p>
      <w:pPr>
        <w:spacing w:before="140" w:after="160" w:line="259" w:lineRule="auto"/>
        <w:ind w:left="198" w:right="113"/>
        <w:shd w:fill="EAF1F8"/>
        <w:keepLines/>
        <w:pBdr>
          <w:left w:val="single" w:sz="18" w:space="8" w:color="17365D"/>
        </w:pBdr>
      </w:pPr>
      <w:r>
        <w:rPr>
          <w:rFonts w:ascii="Arial" w:hAnsi="Arial" w:eastAsia="Arial"/>
          <w:b/>
          <w:i w:val="0"/>
          <w:color w:val="17365D"/>
          <w:sz w:val="21"/>
        </w:rPr>
        <w:t xml:space="preserve">Ключевая позиция. </w:t>
      </w:r>
      <w:r>
        <w:rPr>
          <w:rFonts w:ascii="Arial" w:hAnsi="Arial" w:eastAsia="Arial"/>
          <w:b w:val="0"/>
          <w:i w:val="0"/>
          <w:color w:val="1F2933"/>
          <w:sz w:val="21"/>
        </w:rPr>
        <w:t>Не предлагается создавать ещё одну систему отчётности. Предлагается связать действующие государственные данные в модель ограничений и последствий.</w:t>
      </w:r>
    </w:p>
    <w:p>
      <w:pPr>
        <w:pStyle w:val="Heading1"/>
        <w:keepNext/>
      </w:pPr>
      <w:r>
        <w:t>2. Предлагаемая система стратегических балансов</w:t>
      </w:r>
    </w:p>
    <w:p>
      <w:pPr>
        <w:spacing w:before="0" w:after="100" w:line="264" w:lineRule="auto"/>
      </w:pPr>
      <w:r>
        <w:rPr>
          <w:rFonts w:ascii="Arial" w:hAnsi="Arial" w:eastAsia="Arial"/>
          <w:b w:val="0"/>
          <w:i w:val="0"/>
          <w:color w:val="1F2933"/>
          <w:sz w:val="22"/>
        </w:rPr>
        <w:t>Система стратегических балансов — это набор взаимосвязанных паспортов, моделей и правил, позволяющих сопоставлять потребность, доступный ресурс, резерв, территориальную доступность, критические ограничения и подтверждённый результат. Рабочее обозначение авторской методологии — «ЭКВИЛИБРИУМ».</w:t>
      </w:r>
    </w:p>
    <w:p>
      <w:pPr>
        <w:pStyle w:val="Heading2"/>
        <w:keepNext/>
      </w:pPr>
      <w:r>
        <w:t>2.1. Пять слоёв модели</w:t>
      </w:r>
    </w:p>
    <w:tbl>
      <w:tblPr>
        <w:tblStyle w:val="TableGrid"/>
        <w:tblW w:type="dxa" w:w="9750"/>
        <w:tblLayout w:type="fixed"/>
        <w:tblLook w:firstColumn="1" w:firstRow="1" w:lastColumn="0" w:lastRow="0" w:noHBand="0" w:noVBand="1" w:val="04A0"/>
        <w:jc w:val="left"/>
        <w:tblInd w:w="120" w:type="dxa"/>
      </w:tblPr>
      <w:tblGrid>
        <w:gridCol w:w="2200"/>
        <w:gridCol w:w="7550"/>
      </w:tblGrid>
      <w:tr>
        <w:trPr>
          <w:tblHeader w:val="true"/>
          <w:cantSplit w:val="true"/>
        </w:trPr>
        <w:tc>
          <w:tcPr>
            <w:tcW w:type="dxa" w:w="220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8"/>
              </w:rPr>
              <w:t>Слой</w:t>
            </w:r>
          </w:p>
        </w:tc>
        <w:tc>
          <w:tcPr>
            <w:tcW w:type="dxa" w:w="755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8"/>
              </w:rPr>
              <w:t>Что связывается</w:t>
            </w:r>
          </w:p>
        </w:tc>
      </w:tr>
      <w:tr>
        <w:trPr>
          <w:cantSplit w:val="true"/>
        </w:trPr>
        <w:tc>
          <w:tcPr>
            <w:tcW w:type="dxa" w:w="2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Целевой</w:t>
            </w:r>
          </w:p>
        </w:tc>
        <w:tc>
          <w:tcPr>
            <w:tcW w:type="dxa" w:w="75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Национальные цели, государственные программы, региональные стратегии, показатели качества жизни</w:t>
            </w:r>
          </w:p>
        </w:tc>
      </w:tr>
      <w:tr>
        <w:trPr>
          <w:cantSplit w:val="true"/>
        </w:trPr>
        <w:tc>
          <w:tcPr>
            <w:tcW w:type="dxa" w:w="22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Ресурсный</w:t>
            </w:r>
          </w:p>
        </w:tc>
        <w:tc>
          <w:tcPr>
            <w:tcW w:type="dxa" w:w="75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Люди, знания, природные ресурсы, мощности, инфраструктура, капитал и данные</w:t>
            </w:r>
          </w:p>
        </w:tc>
      </w:tr>
      <w:tr>
        <w:trPr>
          <w:cantSplit w:val="true"/>
        </w:trPr>
        <w:tc>
          <w:tcPr>
            <w:tcW w:type="dxa" w:w="2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Межотраслевой</w:t>
            </w:r>
          </w:p>
        </w:tc>
        <w:tc>
          <w:tcPr>
            <w:tcW w:type="dxa" w:w="75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Потоки продукции, услуг, энергии, воды, материалов, труда, транспорта и финансов</w:t>
            </w:r>
          </w:p>
        </w:tc>
      </w:tr>
      <w:tr>
        <w:trPr>
          <w:cantSplit w:val="true"/>
        </w:trPr>
        <w:tc>
          <w:tcPr>
            <w:tcW w:type="dxa" w:w="22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Территориальный</w:t>
            </w:r>
          </w:p>
        </w:tc>
        <w:tc>
          <w:tcPr>
            <w:tcW w:type="dxa" w:w="75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Размещение потребностей, ресурсов, объектов, рисков и резервов</w:t>
            </w:r>
          </w:p>
        </w:tc>
      </w:tr>
      <w:tr>
        <w:trPr>
          <w:cantSplit w:val="true"/>
        </w:trPr>
        <w:tc>
          <w:tcPr>
            <w:tcW w:type="dxa" w:w="2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Результативный</w:t>
            </w:r>
          </w:p>
        </w:tc>
        <w:tc>
          <w:tcPr>
            <w:tcW w:type="dxa" w:w="75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Фактические социальные, экономические, экологические и технологические эффекты</w:t>
            </w:r>
          </w:p>
        </w:tc>
      </w:tr>
    </w:tbl>
    <w:p>
      <w:pPr>
        <w:spacing w:before="0" w:after="60"/>
      </w:pPr>
    </w:p>
    <w:p>
      <w:pPr>
        <w:pStyle w:val="Heading2"/>
        <w:keepNext/>
      </w:pPr>
      <w:r>
        <w:t>2.2. Единица анализа</w:t>
      </w:r>
    </w:p>
    <w:p>
      <w:pPr>
        <w:spacing w:before="0" w:after="100" w:line="264" w:lineRule="auto"/>
      </w:pPr>
      <w:r>
        <w:rPr>
          <w:rFonts w:ascii="Arial" w:hAnsi="Arial" w:eastAsia="Arial"/>
          <w:b w:val="0"/>
          <w:i w:val="0"/>
          <w:color w:val="1F2933"/>
          <w:sz w:val="22"/>
        </w:rPr>
        <w:t>Для каждого баланса учитываются: запас на начало периода; производство или воспроизводство; входящие и исходящие потоки; доступная мощность; использование; потери; мобилизуемый резерв; запас на конец периода; прогнозная потребность; качество и территориальная доступность ресурса.</w:t>
      </w:r>
    </w:p>
    <w:p>
      <w:pPr>
        <w:spacing w:before="140" w:after="160" w:line="259" w:lineRule="auto"/>
        <w:ind w:left="198" w:right="113"/>
        <w:shd w:fill="E7F2F1"/>
        <w:keepLines/>
        <w:pBdr>
          <w:left w:val="single" w:sz="18" w:space="8" w:color="1B6B6F"/>
        </w:pBdr>
      </w:pPr>
      <w:r>
        <w:rPr>
          <w:rFonts w:ascii="Arial" w:hAnsi="Arial" w:eastAsia="Arial"/>
          <w:b/>
          <w:i w:val="0"/>
          <w:color w:val="1B6B6F"/>
          <w:sz w:val="21"/>
        </w:rPr>
        <w:t xml:space="preserve">Балансовая идентичность. </w:t>
      </w:r>
      <w:r>
        <w:rPr>
          <w:rFonts w:ascii="Arial" w:hAnsi="Arial" w:eastAsia="Arial"/>
          <w:b w:val="0"/>
          <w:i w:val="0"/>
          <w:color w:val="1F2933"/>
          <w:sz w:val="21"/>
        </w:rPr>
        <w:t>Zᵢ(t+1) = Zᵢ(t) + Pᵢ(t) + Inᵢ(t) − Uᵢ(t) − Outᵢ(t) − Lᵢ(t) ± εᵢ(t). Формула настраивается для каждого объекта и не подменяет отраслевые методики.</w:t>
      </w:r>
    </w:p>
    <w:p>
      <w:pPr>
        <w:spacing w:before="0" w:after="100" w:line="264" w:lineRule="auto"/>
      </w:pPr>
      <w:r>
        <w:rPr>
          <w:rFonts w:ascii="Arial" w:hAnsi="Arial" w:eastAsia="Arial"/>
          <w:b w:val="0"/>
          <w:i/>
          <w:color w:val="5B6573"/>
          <w:sz w:val="20"/>
        </w:rPr>
        <w:t>Эффективное предложение рассчитывается с учётом качества и доступности: Sэфф = S × q × a. Запас устойчивости: M = (Sэфф + R − D) / D, где R — мобилизуемый резерв, D — прогнозная потребность.</w:t>
      </w:r>
    </w:p>
    <w:p>
      <w:pPr>
        <w:pStyle w:val="Heading1"/>
        <w:keepNext/>
      </w:pPr>
      <w:r>
        <w:t>3. Архитектура «ЭКВИЛИБРИУМ — ECO-PPA»</w:t>
      </w:r>
    </w:p>
    <w:p>
      <w:pPr>
        <w:spacing w:before="0" w:after="100" w:line="264" w:lineRule="auto"/>
      </w:pPr>
      <w:r>
        <w:rPr>
          <w:rFonts w:ascii="Arial" w:hAnsi="Arial" w:eastAsia="Arial"/>
          <w:b w:val="0"/>
          <w:i w:val="0"/>
          <w:color w:val="1F2933"/>
          <w:sz w:val="22"/>
        </w:rPr>
        <w:t>Архитектура разделяет наблюдение, расчёт, принятие решения, исполнение и подтверждение эффекта. Один субъект не должен одновременно владеть критическими данными, определять веса модели, принимать властное решение, исполнять его и подтверждать результат.</w:t>
      </w:r>
    </w:p>
    <w:p>
      <w:pPr>
        <w:keepNext/>
        <w:spacing w:before="160" w:after="80"/>
        <w:jc w:val="center"/>
      </w:pPr>
      <w:r>
        <w:drawing>
          <wp:inline xmlns:a="http://schemas.openxmlformats.org/drawingml/2006/main" xmlns:pic="http://schemas.openxmlformats.org/drawingml/2006/picture">
            <wp:extent cx="5616000" cy="3369600"/>
            <wp:docPr id="1" name="Picture 1" title="Архитектура ЭКВИЛИБРИУМ — ECO-PPA" descr="Схема движения официальных, региональных и мониторинговых данных через ЭКВИЛИБРИУМ и ИАЦ к паспорту ECO-PPA, исполнению и независимой верификации с обратной связью."/>
            <wp:cNvGraphicFramePr>
              <a:graphicFrameLocks noChangeAspect="1"/>
            </wp:cNvGraphicFramePr>
            <a:graphic>
              <a:graphicData uri="http://schemas.openxmlformats.org/drawingml/2006/picture">
                <pic:pic>
                  <pic:nvPicPr>
                    <pic:cNvPr id="0" name="architecture_equilibrium_eco_ppa.png"/>
                    <pic:cNvPicPr/>
                  </pic:nvPicPr>
                  <pic:blipFill>
                    <a:blip r:embed="rId11"/>
                    <a:stretch>
                      <a:fillRect/>
                    </a:stretch>
                  </pic:blipFill>
                  <pic:spPr>
                    <a:xfrm>
                      <a:off x="0" y="0"/>
                      <a:ext cx="5616000" cy="3369600"/>
                    </a:xfrm>
                    <a:prstGeom prst="rect"/>
                  </pic:spPr>
                </pic:pic>
              </a:graphicData>
            </a:graphic>
          </wp:inline>
        </w:drawing>
      </w:r>
    </w:p>
    <w:p>
      <w:pPr>
        <w:spacing w:after="80"/>
        <w:jc w:val="center"/>
      </w:pPr>
      <w:r>
        <w:rPr>
          <w:rFonts w:ascii="Arial" w:hAnsi="Arial" w:eastAsia="Arial"/>
          <w:b w:val="0"/>
          <w:i w:val="0"/>
          <w:color w:val="5B6573"/>
          <w:sz w:val="18"/>
        </w:rPr>
        <w:t>Рисунок 1. Функциональная архитектура пилота</w:t>
      </w:r>
    </w:p>
    <w:p>
      <w:pPr>
        <w:pStyle w:val="Heading2"/>
        <w:keepNext/>
      </w:pPr>
      <w:r>
        <w:t>3.1. Разграничение ролей</w:t>
      </w:r>
    </w:p>
    <w:tbl>
      <w:tblPr>
        <w:tblStyle w:val="TableGrid"/>
        <w:tblW w:type="dxa" w:w="9750"/>
        <w:tblLayout w:type="fixed"/>
        <w:tblLook w:firstColumn="1" w:firstRow="1" w:lastColumn="0" w:lastRow="0" w:noHBand="0" w:noVBand="1" w:val="04A0"/>
        <w:jc w:val="left"/>
        <w:tblInd w:w="120" w:type="dxa"/>
      </w:tblPr>
      <w:tblGrid>
        <w:gridCol w:w="2200"/>
        <w:gridCol w:w="4250"/>
        <w:gridCol w:w="3300"/>
      </w:tblGrid>
      <w:tr>
        <w:trPr>
          <w:tblHeader w:val="true"/>
          <w:cantSplit w:val="true"/>
        </w:trPr>
        <w:tc>
          <w:tcPr>
            <w:tcW w:type="dxa" w:w="220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5"/>
              </w:rPr>
              <w:t>Участник</w:t>
            </w:r>
          </w:p>
        </w:tc>
        <w:tc>
          <w:tcPr>
            <w:tcW w:type="dxa" w:w="425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5"/>
              </w:rPr>
              <w:t>Функция</w:t>
            </w:r>
          </w:p>
        </w:tc>
        <w:tc>
          <w:tcPr>
            <w:tcW w:type="dxa" w:w="330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5"/>
              </w:rPr>
              <w:t>Ограничение</w:t>
            </w:r>
          </w:p>
        </w:tc>
      </w:tr>
      <w:tr>
        <w:trPr>
          <w:cantSplit w:val="true"/>
        </w:trPr>
        <w:tc>
          <w:tcPr>
            <w:tcW w:type="dxa" w:w="2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Государственный Совет / комиссия</w:t>
            </w:r>
          </w:p>
        </w:tc>
        <w:tc>
          <w:tcPr>
            <w:tcW w:type="dxa" w:w="42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Стратегическое рассмотрение, координация, рекомендации, обобщение практики</w:t>
            </w:r>
          </w:p>
        </w:tc>
        <w:tc>
          <w:tcPr>
            <w:tcW w:type="dxa" w:w="33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Не распоряжается средствами пилота</w:t>
            </w:r>
          </w:p>
        </w:tc>
      </w:tr>
      <w:tr>
        <w:trPr>
          <w:cantSplit w:val="true"/>
        </w:trPr>
        <w:tc>
          <w:tcPr>
            <w:tcW w:type="dxa" w:w="22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Секретарь Государственного Совета</w:t>
            </w:r>
          </w:p>
        </w:tc>
        <w:tc>
          <w:tcPr>
            <w:tcW w:type="dxa" w:w="42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Организационная координация рабочих органов, материалов и повестки</w:t>
            </w:r>
          </w:p>
        </w:tc>
        <w:tc>
          <w:tcPr>
            <w:tcW w:type="dxa" w:w="33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Не утверждает госпрограмму единолично</w:t>
            </w:r>
          </w:p>
        </w:tc>
      </w:tr>
      <w:tr>
        <w:trPr>
          <w:cantSplit w:val="true"/>
        </w:trPr>
        <w:tc>
          <w:tcPr>
            <w:tcW w:type="dxa" w:w="2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Правительство и ФОИВ</w:t>
            </w:r>
          </w:p>
        </w:tc>
        <w:tc>
          <w:tcPr>
            <w:tcW w:type="dxa" w:w="42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Регулирование, экспертиза, официальные данные, возможные решения о финансировании</w:t>
            </w:r>
          </w:p>
        </w:tc>
        <w:tc>
          <w:tcPr>
            <w:tcW w:type="dxa" w:w="33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Только в пределах компетенции</w:t>
            </w:r>
          </w:p>
        </w:tc>
      </w:tr>
      <w:tr>
        <w:trPr>
          <w:cantSplit w:val="true"/>
        </w:trPr>
        <w:tc>
          <w:tcPr>
            <w:tcW w:type="dxa" w:w="22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Субъект РФ</w:t>
            </w:r>
          </w:p>
        </w:tc>
        <w:tc>
          <w:tcPr>
            <w:tcW w:type="dxa" w:w="42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Площадка, исходная проблема, региональные данные, разрешения и заказчик при отдельном решении</w:t>
            </w:r>
          </w:p>
        </w:tc>
        <w:tc>
          <w:tcPr>
            <w:tcW w:type="dxa" w:w="33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Письмо интереса не равно обязательству финансировать</w:t>
            </w:r>
          </w:p>
        </w:tc>
      </w:tr>
      <w:tr>
        <w:trPr>
          <w:cantSplit w:val="true"/>
        </w:trPr>
        <w:tc>
          <w:tcPr>
            <w:tcW w:type="dxa" w:w="2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Российская академия наук</w:t>
            </w:r>
          </w:p>
        </w:tc>
        <w:tc>
          <w:tcPr>
            <w:tcW w:type="dxa" w:w="42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Научно-методическая экспертиза моделей, показателей и причинных связей</w:t>
            </w:r>
          </w:p>
        </w:tc>
        <w:tc>
          <w:tcPr>
            <w:tcW w:type="dxa" w:w="33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Не заменяет государственную экспертизу</w:t>
            </w:r>
          </w:p>
        </w:tc>
      </w:tr>
      <w:tr>
        <w:trPr>
          <w:cantSplit w:val="true"/>
        </w:trPr>
        <w:tc>
          <w:tcPr>
            <w:tcW w:type="dxa" w:w="22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ЭКВИЛИБРИУМ / ИАЦ</w:t>
            </w:r>
          </w:p>
        </w:tc>
        <w:tc>
          <w:tcPr>
            <w:tcW w:type="dxa" w:w="42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Методология, паспортизация данных, сценарии, балансовые записки</w:t>
            </w:r>
          </w:p>
        </w:tc>
        <w:tc>
          <w:tcPr>
            <w:tcW w:type="dxa" w:w="33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Не принимает властных решений</w:t>
            </w:r>
          </w:p>
        </w:tc>
      </w:tr>
      <w:tr>
        <w:trPr>
          <w:cantSplit w:val="true"/>
        </w:trPr>
        <w:tc>
          <w:tcPr>
            <w:tcW w:type="dxa" w:w="2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ECO-PPA</w:t>
            </w:r>
          </w:p>
        </w:tc>
        <w:tc>
          <w:tcPr>
            <w:tcW w:type="dxa" w:w="42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Проектно-контрактная рамка: ресурсы, обязательства, KPI, доказательства, стоп-критерии</w:t>
            </w:r>
          </w:p>
        </w:tc>
        <w:tc>
          <w:tcPr>
            <w:tcW w:type="dxa" w:w="33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Конкретная правовая модель определяется для каждого проекта</w:t>
            </w:r>
          </w:p>
        </w:tc>
      </w:tr>
      <w:tr>
        <w:trPr>
          <w:cantSplit w:val="true"/>
        </w:trPr>
        <w:tc>
          <w:tcPr>
            <w:tcW w:type="dxa" w:w="22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СПЕЦЗАЩИТА</w:t>
            </w:r>
          </w:p>
        </w:tc>
        <w:tc>
          <w:tcPr>
            <w:tcW w:type="dxa" w:w="42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Возможный кооперационный контур исполнения и консорциумов</w:t>
            </w:r>
          </w:p>
        </w:tc>
        <w:tc>
          <w:tcPr>
            <w:tcW w:type="dxa" w:w="33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Без исключительного статуса; участие в установленном порядке</w:t>
            </w:r>
          </w:p>
        </w:tc>
      </w:tr>
      <w:tr>
        <w:trPr>
          <w:cantSplit w:val="true"/>
        </w:trPr>
        <w:tc>
          <w:tcPr>
            <w:tcW w:type="dxa" w:w="2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ESG-IR / независимая оценка</w:t>
            </w:r>
          </w:p>
        </w:tc>
        <w:tc>
          <w:tcPr>
            <w:tcW w:type="dxa" w:w="42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Baseline, проверка данных, факта работ и эффекта</w:t>
            </w:r>
          </w:p>
        </w:tc>
        <w:tc>
          <w:tcPr>
            <w:tcW w:type="dxa" w:w="33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Верификатор не аффилирован с исполнителем</w:t>
            </w:r>
          </w:p>
        </w:tc>
      </w:tr>
      <w:tr>
        <w:trPr>
          <w:cantSplit w:val="true"/>
        </w:trPr>
        <w:tc>
          <w:tcPr>
            <w:tcW w:type="dxa" w:w="22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СФЕРА</w:t>
            </w:r>
          </w:p>
        </w:tc>
        <w:tc>
          <w:tcPr>
            <w:tcW w:type="dxa" w:w="42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Коммуникация, сбор инициатив и распространение проверенной практики</w:t>
            </w:r>
          </w:p>
        </w:tc>
        <w:tc>
          <w:tcPr>
            <w:tcW w:type="dxa" w:w="33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Не подменяет официальные каналы власти</w:t>
            </w:r>
          </w:p>
        </w:tc>
      </w:tr>
    </w:tbl>
    <w:p>
      <w:pPr>
        <w:spacing w:before="0" w:after="60"/>
      </w:pPr>
    </w:p>
    <w:p>
      <w:pPr>
        <w:pStyle w:val="Heading2"/>
        <w:keepNext/>
      </w:pPr>
      <w:r>
        <w:t>3.2. Роль ГАСМП и мониторинга</w:t>
      </w:r>
    </w:p>
    <w:p>
      <w:pPr>
        <w:spacing w:before="0" w:after="100" w:line="264" w:lineRule="auto"/>
      </w:pPr>
      <w:r>
        <w:rPr>
          <w:rFonts w:ascii="Arial" w:hAnsi="Arial" w:eastAsia="Arial"/>
          <w:b w:val="0"/>
          <w:i w:val="0"/>
          <w:color w:val="1F2933"/>
          <w:sz w:val="22"/>
        </w:rPr>
        <w:t>ГАСМП «ЭКВИЛИБРИУМ» может рассматриваться как перспективный источник наблюдений и прогнозных сигналов в экологическом, аэрокосмическом и риск-ориентированном контуре. В пилоте используются только разрешённые источники; прямое подключение к государственным системам возможно после согласования с их операторами.</w:t>
      </w:r>
    </w:p>
    <w:p>
      <w:pPr>
        <w:pStyle w:val="Heading1"/>
        <w:keepNext/>
      </w:pPr>
      <w:r>
        <w:t>4. ECO-PPA как контур перевода решения в исполнение</w:t>
      </w:r>
    </w:p>
    <w:p>
      <w:pPr>
        <w:spacing w:before="140" w:after="160" w:line="259" w:lineRule="auto"/>
        <w:ind w:left="198" w:right="113"/>
        <w:shd w:fill="E7F2F1"/>
        <w:keepLines/>
        <w:pBdr>
          <w:left w:val="single" w:sz="18" w:space="8" w:color="1B6B6F"/>
        </w:pBdr>
      </w:pPr>
      <w:r>
        <w:rPr>
          <w:rFonts w:ascii="Arial" w:hAnsi="Arial" w:eastAsia="Arial"/>
          <w:b/>
          <w:i w:val="0"/>
          <w:color w:val="1B6B6F"/>
          <w:sz w:val="21"/>
        </w:rPr>
        <w:t xml:space="preserve">Функция ECO-PPA. </w:t>
      </w:r>
      <w:r>
        <w:rPr>
          <w:rFonts w:ascii="Arial" w:hAnsi="Arial" w:eastAsia="Arial"/>
          <w:b w:val="0"/>
          <w:i w:val="0"/>
          <w:color w:val="1F2933"/>
          <w:sz w:val="21"/>
        </w:rPr>
        <w:t>Превратить выбранный сценарий из аналитической рекомендации в юридически, финансово и технологически проверяемый проект.</w:t>
      </w:r>
    </w:p>
    <w:p>
      <w:pPr>
        <w:spacing w:before="0" w:after="100" w:line="264" w:lineRule="auto"/>
      </w:pPr>
      <w:r>
        <w:rPr>
          <w:rFonts w:ascii="Arial" w:hAnsi="Arial" w:eastAsia="Arial"/>
          <w:b w:val="0"/>
          <w:i w:val="0"/>
          <w:color w:val="1F2933"/>
          <w:sz w:val="22"/>
        </w:rPr>
        <w:t>ECO-PPA не предлагается как самостоятельный вид договора, бюджетный механизм или основание для обхода действующего регулирования. Это рамка подготовки проекта. Для каждого применения отдельно определяются заказчик, правовая конструкция, источники средств, порядок закупки, распределение рисков, права на результаты интеллектуальной деятельности и режим данных.</w:t>
      </w:r>
    </w:p>
    <w:p>
      <w:pPr>
        <w:pStyle w:val="Heading2"/>
        <w:keepNext/>
      </w:pPr>
      <w:r>
        <w:t>4.1. Обязательные элементы паспорта ECO-PPA</w:t>
      </w:r>
    </w:p>
    <w:p>
      <w:pPr>
        <w:numPr>
          <w:ilvl w:val="0"/>
          <w:numId w:val="90"/>
        </w:numPr>
        <w:spacing w:after="80" w:line="264" w:lineRule="auto"/>
      </w:pPr>
      <w:r>
        <w:rPr>
          <w:rFonts w:ascii="Arial" w:hAnsi="Arial" w:eastAsia="Arial"/>
          <w:b w:val="0"/>
          <w:i w:val="0"/>
          <w:color w:val="1F2933"/>
          <w:sz w:val="21"/>
        </w:rPr>
        <w:t>общественная и территориальная проблема; исходный уровень (baseline) и контрольная зона;</w:t>
      </w:r>
    </w:p>
    <w:p>
      <w:pPr>
        <w:numPr>
          <w:ilvl w:val="0"/>
          <w:numId w:val="90"/>
        </w:numPr>
        <w:spacing w:after="80" w:line="264" w:lineRule="auto"/>
      </w:pPr>
      <w:r>
        <w:rPr>
          <w:rFonts w:ascii="Arial" w:hAnsi="Arial" w:eastAsia="Arial"/>
          <w:b w:val="0"/>
          <w:i w:val="0"/>
          <w:color w:val="1F2933"/>
          <w:sz w:val="21"/>
        </w:rPr>
        <w:t>цель, измеримый результат и срок;</w:t>
      </w:r>
    </w:p>
    <w:p>
      <w:pPr>
        <w:numPr>
          <w:ilvl w:val="0"/>
          <w:numId w:val="90"/>
        </w:numPr>
        <w:spacing w:after="80" w:line="264" w:lineRule="auto"/>
      </w:pPr>
      <w:r>
        <w:rPr>
          <w:rFonts w:ascii="Arial" w:hAnsi="Arial" w:eastAsia="Arial"/>
          <w:b w:val="0"/>
          <w:i w:val="0"/>
          <w:color w:val="1F2933"/>
          <w:sz w:val="21"/>
        </w:rPr>
        <w:t>затронутые стратегические балансы и ограничивающий ресурс;</w:t>
      </w:r>
    </w:p>
    <w:p>
      <w:pPr>
        <w:numPr>
          <w:ilvl w:val="0"/>
          <w:numId w:val="90"/>
        </w:numPr>
        <w:spacing w:after="80" w:line="264" w:lineRule="auto"/>
      </w:pPr>
      <w:r>
        <w:rPr>
          <w:rFonts w:ascii="Arial" w:hAnsi="Arial" w:eastAsia="Arial"/>
          <w:b w:val="0"/>
          <w:i w:val="0"/>
          <w:color w:val="1F2933"/>
          <w:sz w:val="21"/>
        </w:rPr>
        <w:t>состав работ, оборудования и данных;</w:t>
      </w:r>
    </w:p>
    <w:p>
      <w:pPr>
        <w:numPr>
          <w:ilvl w:val="0"/>
          <w:numId w:val="90"/>
        </w:numPr>
        <w:spacing w:after="80" w:line="264" w:lineRule="auto"/>
      </w:pPr>
      <w:r>
        <w:rPr>
          <w:rFonts w:ascii="Arial" w:hAnsi="Arial" w:eastAsia="Arial"/>
          <w:b w:val="0"/>
          <w:i w:val="0"/>
          <w:color w:val="1F2933"/>
          <w:sz w:val="21"/>
        </w:rPr>
        <w:t>стороны, роли и подтверждённые полномочия;</w:t>
      </w:r>
    </w:p>
    <w:p>
      <w:pPr>
        <w:numPr>
          <w:ilvl w:val="0"/>
          <w:numId w:val="90"/>
        </w:numPr>
        <w:spacing w:after="80" w:line="264" w:lineRule="auto"/>
      </w:pPr>
      <w:r>
        <w:rPr>
          <w:rFonts w:ascii="Arial" w:hAnsi="Arial" w:eastAsia="Arial"/>
          <w:b w:val="0"/>
          <w:i w:val="0"/>
          <w:color w:val="1F2933"/>
          <w:sz w:val="21"/>
        </w:rPr>
        <w:t>источники финансирования, CAPEX, OPEX и полная стоимость владения;</w:t>
      </w:r>
    </w:p>
    <w:p>
      <w:pPr>
        <w:numPr>
          <w:ilvl w:val="0"/>
          <w:numId w:val="90"/>
        </w:numPr>
        <w:spacing w:after="80" w:line="264" w:lineRule="auto"/>
      </w:pPr>
      <w:r>
        <w:rPr>
          <w:rFonts w:ascii="Arial" w:hAnsi="Arial" w:eastAsia="Arial"/>
          <w:b w:val="0"/>
          <w:i w:val="0"/>
          <w:color w:val="1F2933"/>
          <w:sz w:val="21"/>
        </w:rPr>
        <w:t>KPI с формулами, единицами, владельцами данных и периодичностью;</w:t>
      </w:r>
    </w:p>
    <w:p>
      <w:pPr>
        <w:numPr>
          <w:ilvl w:val="0"/>
          <w:numId w:val="90"/>
        </w:numPr>
        <w:spacing w:after="80" w:line="264" w:lineRule="auto"/>
      </w:pPr>
      <w:r>
        <w:rPr>
          <w:rFonts w:ascii="Arial" w:hAnsi="Arial" w:eastAsia="Arial"/>
          <w:b w:val="0"/>
          <w:i w:val="0"/>
          <w:color w:val="1F2933"/>
          <w:sz w:val="21"/>
        </w:rPr>
        <w:t>этапы допуска, стоп-критерии и процедура изменения проекта;</w:t>
      </w:r>
    </w:p>
    <w:p>
      <w:pPr>
        <w:numPr>
          <w:ilvl w:val="0"/>
          <w:numId w:val="90"/>
        </w:numPr>
        <w:spacing w:after="80" w:line="264" w:lineRule="auto"/>
      </w:pPr>
      <w:r>
        <w:rPr>
          <w:rFonts w:ascii="Arial" w:hAnsi="Arial" w:eastAsia="Arial"/>
          <w:b w:val="0"/>
          <w:i w:val="0"/>
          <w:color w:val="1F2933"/>
          <w:sz w:val="21"/>
        </w:rPr>
        <w:t>условия независимой верификации и публичности результатов;</w:t>
      </w:r>
    </w:p>
    <w:p>
      <w:pPr>
        <w:numPr>
          <w:ilvl w:val="0"/>
          <w:numId w:val="90"/>
        </w:numPr>
        <w:spacing w:after="80" w:line="264" w:lineRule="auto"/>
      </w:pPr>
      <w:r>
        <w:rPr>
          <w:rFonts w:ascii="Arial" w:hAnsi="Arial" w:eastAsia="Arial"/>
          <w:b w:val="0"/>
          <w:i w:val="0"/>
          <w:color w:val="1F2933"/>
          <w:sz w:val="21"/>
        </w:rPr>
        <w:t>права на данные, модели, программный код и переносимость решения;</w:t>
      </w:r>
    </w:p>
    <w:p>
      <w:pPr>
        <w:numPr>
          <w:ilvl w:val="0"/>
          <w:numId w:val="90"/>
        </w:numPr>
        <w:spacing w:after="80" w:line="264" w:lineRule="auto"/>
      </w:pPr>
      <w:r>
        <w:rPr>
          <w:rFonts w:ascii="Arial" w:hAnsi="Arial" w:eastAsia="Arial"/>
          <w:b w:val="0"/>
          <w:i w:val="0"/>
          <w:color w:val="1F2933"/>
          <w:sz w:val="21"/>
        </w:rPr>
        <w:t>порядок завершения, демонтажа, передачи или тиражирования.</w:t>
      </w:r>
    </w:p>
    <w:p>
      <w:pPr>
        <w:pStyle w:val="Heading2"/>
        <w:keepNext/>
      </w:pPr>
      <w:r>
        <w:t>4.2. Ворота допуска</w:t>
      </w:r>
    </w:p>
    <w:tbl>
      <w:tblPr>
        <w:tblStyle w:val="TableGrid"/>
        <w:tblW w:type="dxa" w:w="9750"/>
        <w:tblLayout w:type="fixed"/>
        <w:tblLook w:firstColumn="1" w:firstRow="1" w:lastColumn="0" w:lastRow="0" w:noHBand="0" w:noVBand="1" w:val="04A0"/>
        <w:jc w:val="left"/>
        <w:tblInd w:w="120" w:type="dxa"/>
      </w:tblPr>
      <w:tblGrid>
        <w:gridCol w:w="950"/>
        <w:gridCol w:w="2400"/>
        <w:gridCol w:w="6400"/>
      </w:tblGrid>
      <w:tr>
        <w:trPr>
          <w:tblHeader w:val="true"/>
          <w:cantSplit w:val="true"/>
        </w:trPr>
        <w:tc>
          <w:tcPr>
            <w:tcW w:type="dxa" w:w="95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7"/>
              </w:rPr>
              <w:t>Ворота</w:t>
            </w:r>
          </w:p>
        </w:tc>
        <w:tc>
          <w:tcPr>
            <w:tcW w:type="dxa" w:w="240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7"/>
              </w:rPr>
              <w:t>Стадия</w:t>
            </w:r>
          </w:p>
        </w:tc>
        <w:tc>
          <w:tcPr>
            <w:tcW w:type="dxa" w:w="640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7"/>
              </w:rPr>
              <w:t>Условие перехода</w:t>
            </w:r>
          </w:p>
        </w:tc>
      </w:tr>
      <w:tr>
        <w:trPr>
          <w:cantSplit w:val="true"/>
        </w:trPr>
        <w:tc>
          <w:tcPr>
            <w:tcW w:type="dxa" w:w="950"/>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7"/>
              </w:rPr>
              <w:t>G0</w:t>
            </w:r>
          </w:p>
        </w:tc>
        <w:tc>
          <w:tcPr>
            <w:tcW w:type="dxa" w:w="24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Паспорт проблемы</w:t>
            </w:r>
          </w:p>
        </w:tc>
        <w:tc>
          <w:tcPr>
            <w:tcW w:type="dxa" w:w="64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Подтверждены территория, baseline, участники и критерии успеха</w:t>
            </w:r>
          </w:p>
        </w:tc>
      </w:tr>
      <w:tr>
        <w:trPr>
          <w:cantSplit w:val="true"/>
        </w:trPr>
        <w:tc>
          <w:tcPr>
            <w:tcW w:type="dxa" w:w="950"/>
            <w:shd w:fill="F3F6F8"/>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7"/>
              </w:rPr>
              <w:t>G1</w:t>
            </w:r>
          </w:p>
        </w:tc>
        <w:tc>
          <w:tcPr>
            <w:tcW w:type="dxa" w:w="24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Экспертиза</w:t>
            </w:r>
          </w:p>
        </w:tc>
        <w:tc>
          <w:tcPr>
            <w:tcW w:type="dxa" w:w="64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Получены правовое, техническое, научное и финансово-экономическое заключения</w:t>
            </w:r>
          </w:p>
        </w:tc>
      </w:tr>
      <w:tr>
        <w:trPr>
          <w:cantSplit w:val="true"/>
        </w:trPr>
        <w:tc>
          <w:tcPr>
            <w:tcW w:type="dxa" w:w="950"/>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7"/>
              </w:rPr>
              <w:t>G2</w:t>
            </w:r>
          </w:p>
        </w:tc>
        <w:tc>
          <w:tcPr>
            <w:tcW w:type="dxa" w:w="24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Готовность</w:t>
            </w:r>
          </w:p>
        </w:tc>
        <w:tc>
          <w:tcPr>
            <w:tcW w:type="dxa" w:w="64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Определены площадка, заказчик, источники средств, закупка, разрешения, ИБ и данные</w:t>
            </w:r>
          </w:p>
        </w:tc>
      </w:tr>
      <w:tr>
        <w:trPr>
          <w:cantSplit w:val="true"/>
        </w:trPr>
        <w:tc>
          <w:tcPr>
            <w:tcW w:type="dxa" w:w="950"/>
            <w:shd w:fill="F3F6F8"/>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7"/>
              </w:rPr>
              <w:t>G3</w:t>
            </w:r>
          </w:p>
        </w:tc>
        <w:tc>
          <w:tcPr>
            <w:tcW w:type="dxa" w:w="24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Развёртывание</w:t>
            </w:r>
          </w:p>
        </w:tc>
        <w:tc>
          <w:tcPr>
            <w:tcW w:type="dxa" w:w="64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Работы выполнены, оборудование принято, измерения валидны</w:t>
            </w:r>
          </w:p>
        </w:tc>
      </w:tr>
      <w:tr>
        <w:trPr>
          <w:cantSplit w:val="true"/>
        </w:trPr>
        <w:tc>
          <w:tcPr>
            <w:tcW w:type="dxa" w:w="950"/>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7"/>
              </w:rPr>
              <w:t>G4</w:t>
            </w:r>
          </w:p>
        </w:tc>
        <w:tc>
          <w:tcPr>
            <w:tcW w:type="dxa" w:w="24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Независимая оценка</w:t>
            </w:r>
          </w:p>
        </w:tc>
        <w:tc>
          <w:tcPr>
            <w:tcW w:type="dxa" w:w="64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Эффект подтверждён относительно baseline и контрольных условий</w:t>
            </w:r>
          </w:p>
        </w:tc>
      </w:tr>
      <w:tr>
        <w:trPr>
          <w:cantSplit w:val="true"/>
        </w:trPr>
        <w:tc>
          <w:tcPr>
            <w:tcW w:type="dxa" w:w="950"/>
            <w:shd w:fill="F3F6F8"/>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7"/>
              </w:rPr>
              <w:t>G5</w:t>
            </w:r>
          </w:p>
        </w:tc>
        <w:tc>
          <w:tcPr>
            <w:tcW w:type="dxa" w:w="24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Решение</w:t>
            </w:r>
          </w:p>
        </w:tc>
        <w:tc>
          <w:tcPr>
            <w:tcW w:type="dxa" w:w="64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Масштабировать, доработать, повторить измерения или прекратить</w:t>
            </w:r>
          </w:p>
        </w:tc>
      </w:tr>
    </w:tbl>
    <w:p>
      <w:pPr>
        <w:spacing w:before="0" w:after="60"/>
      </w:pPr>
    </w:p>
    <w:p>
      <w:pPr>
        <w:spacing w:before="0" w:after="100" w:line="264" w:lineRule="auto"/>
      </w:pPr>
      <w:r>
        <w:rPr>
          <w:rFonts w:ascii="Arial" w:hAnsi="Arial" w:eastAsia="Arial"/>
          <w:b/>
          <w:i w:val="0"/>
          <w:color w:val="17365D"/>
          <w:sz w:val="22"/>
        </w:rPr>
        <w:t>Переход на следующий этап допускается только после положительного gate-review. Пилот не создаёт обязательства масштабирования.</w:t>
      </w:r>
    </w:p>
    <w:p>
      <w:pPr>
        <w:pStyle w:val="Heading2"/>
        <w:keepNext/>
      </w:pPr>
      <w:r>
        <w:t>4.3. Формула операционного цикла</w:t>
      </w:r>
    </w:p>
    <w:p>
      <w:pPr>
        <w:spacing w:before="140" w:after="160" w:line="259" w:lineRule="auto"/>
        <w:ind w:left="198" w:right="113"/>
        <w:shd w:fill="F7F1E5"/>
        <w:keepLines/>
        <w:pBdr>
          <w:left w:val="single" w:sz="18" w:space="8" w:color="B58A36"/>
        </w:pBdr>
      </w:pPr>
      <w:r>
        <w:rPr>
          <w:rFonts w:ascii="Arial" w:hAnsi="Arial" w:eastAsia="Arial"/>
          <w:b/>
          <w:i w:val="0"/>
          <w:color w:val="B58A36"/>
          <w:sz w:val="21"/>
        </w:rPr>
        <w:t xml:space="preserve">Цикл. </w:t>
      </w:r>
      <w:r>
        <w:rPr>
          <w:rFonts w:ascii="Arial" w:hAnsi="Arial" w:eastAsia="Arial"/>
          <w:b w:val="0"/>
          <w:i w:val="0"/>
          <w:color w:val="1F2933"/>
          <w:sz w:val="21"/>
        </w:rPr>
        <w:t>Сигнал → балансовая диагностика → сценарий → решение уполномоченного органа → паспорт ECO-PPA → законный отбор исполнителей → реализация → независимая проверка → корректировка или масштабирование.</w:t>
      </w:r>
    </w:p>
    <w:p>
      <w:pPr>
        <w:pStyle w:val="Heading1"/>
        <w:keepNext/>
      </w:pPr>
      <w:r>
        <w:t>5. Система 19 связанных балансов</w:t>
      </w:r>
    </w:p>
    <w:p>
      <w:pPr>
        <w:spacing w:before="0" w:after="100" w:line="264" w:lineRule="auto"/>
      </w:pPr>
      <w:r>
        <w:rPr>
          <w:rFonts w:ascii="Arial" w:hAnsi="Arial" w:eastAsia="Arial"/>
          <w:b w:val="0"/>
          <w:i w:val="0"/>
          <w:color w:val="1F2933"/>
          <w:sz w:val="22"/>
        </w:rPr>
        <w:t>Перечень является проектным классификатором для апробации. Он не вводит новую официальную отчётность и может корректироваться по итогам межведомственной и научной экспертизы. Указанные органы и организации рассматриваются исключительно как потенциальные участники и держатели данных. Распределение ответственности возможно только отдельным решением.</w:t>
      </w:r>
    </w:p>
    <w:tbl>
      <w:tblPr>
        <w:tblStyle w:val="TableGrid"/>
        <w:tblW w:type="dxa" w:w="9750"/>
        <w:tblLayout w:type="fixed"/>
        <w:tblLook w:firstColumn="1" w:firstRow="1" w:lastColumn="0" w:lastRow="0" w:noHBand="0" w:noVBand="1" w:val="04A0"/>
        <w:jc w:val="left"/>
        <w:tblInd w:w="120" w:type="dxa"/>
      </w:tblPr>
      <w:tblGrid>
        <w:gridCol w:w="450"/>
        <w:gridCol w:w="2300"/>
        <w:gridCol w:w="2500"/>
        <w:gridCol w:w="2300"/>
        <w:gridCol w:w="2200"/>
      </w:tblGrid>
      <w:tr>
        <w:trPr>
          <w:tblHeader w:val="true"/>
          <w:cantSplit w:val="true"/>
        </w:trPr>
        <w:tc>
          <w:tcPr>
            <w:tcW w:type="dxa" w:w="45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3"/>
              </w:rPr>
              <w:t>№</w:t>
            </w:r>
          </w:p>
        </w:tc>
        <w:tc>
          <w:tcPr>
            <w:tcW w:type="dxa" w:w="230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3"/>
              </w:rPr>
              <w:t>Баланс</w:t>
            </w:r>
          </w:p>
        </w:tc>
        <w:tc>
          <w:tcPr>
            <w:tcW w:type="dxa" w:w="250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3"/>
              </w:rPr>
              <w:t>Входы → выходы</w:t>
            </w:r>
          </w:p>
        </w:tc>
        <w:tc>
          <w:tcPr>
            <w:tcW w:type="dxa" w:w="230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3"/>
              </w:rPr>
              <w:t>Ключевые KPI</w:t>
            </w:r>
          </w:p>
        </w:tc>
        <w:tc>
          <w:tcPr>
            <w:tcW w:type="dxa" w:w="220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3"/>
              </w:rPr>
              <w:t>Потенциальные участники / данные</w:t>
            </w:r>
          </w:p>
        </w:tc>
      </w:tr>
      <w:tr>
        <w:trPr>
          <w:cantSplit w:val="true"/>
        </w:trPr>
        <w:tc>
          <w:tcPr>
            <w:tcW w:type="dxa" w:w="450"/>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3"/>
              </w:rPr>
              <w:t>1</w:t>
            </w:r>
          </w:p>
        </w:tc>
        <w:tc>
          <w:tcPr>
            <w:tcW w:type="dxa" w:w="23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Демографический баланс</w:t>
            </w:r>
          </w:p>
        </w:tc>
        <w:tc>
          <w:tcPr>
            <w:tcW w:type="dxa" w:w="25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Население по когортам, рождения, въезд → смерти, выбытие, миграционное сальдо</w:t>
            </w:r>
          </w:p>
        </w:tc>
        <w:tc>
          <w:tcPr>
            <w:tcW w:type="dxa" w:w="23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Естественное движение; ОПЖ; СКР; миграция; демографическая нагрузка</w:t>
            </w:r>
          </w:p>
        </w:tc>
        <w:tc>
          <w:tcPr>
            <w:tcW w:type="dxa" w:w="2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Минтруд, Минздрав, МВД, Росстат, субъекты РФ</w:t>
            </w:r>
          </w:p>
        </w:tc>
      </w:tr>
      <w:tr>
        <w:trPr>
          <w:cantSplit w:val="true"/>
        </w:trPr>
        <w:tc>
          <w:tcPr>
            <w:tcW w:type="dxa" w:w="450"/>
            <w:shd w:fill="F3F6F8"/>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3"/>
              </w:rPr>
              <w:t>2</w:t>
            </w:r>
          </w:p>
        </w:tc>
        <w:tc>
          <w:tcPr>
            <w:tcW w:type="dxa" w:w="23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Баланс общественного здоровья и мощности здравоохранения</w:t>
            </w:r>
          </w:p>
        </w:tc>
        <w:tc>
          <w:tcPr>
            <w:tcW w:type="dxa" w:w="25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Потребность; кадры, мощности, лекарства, финансы → помощь и годы здоровой жизни</w:t>
            </w:r>
          </w:p>
        </w:tc>
        <w:tc>
          <w:tcPr>
            <w:tcW w:type="dxa" w:w="23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Здоровая ОПЖ; предотвратимая смертность; кадры; ожидание; доступность</w:t>
            </w:r>
          </w:p>
        </w:tc>
        <w:tc>
          <w:tcPr>
            <w:tcW w:type="dxa" w:w="22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Минздрав, Роспотребнадзор, ФФОМС, Росздравнадзор, Росстат</w:t>
            </w:r>
          </w:p>
        </w:tc>
      </w:tr>
      <w:tr>
        <w:trPr>
          <w:cantSplit w:val="true"/>
        </w:trPr>
        <w:tc>
          <w:tcPr>
            <w:tcW w:type="dxa" w:w="450"/>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3"/>
              </w:rPr>
              <w:t>3</w:t>
            </w:r>
          </w:p>
        </w:tc>
        <w:tc>
          <w:tcPr>
            <w:tcW w:type="dxa" w:w="23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Баланс трудовых ресурсов и компетенций</w:t>
            </w:r>
          </w:p>
        </w:tc>
        <w:tc>
          <w:tcPr>
            <w:tcW w:type="dxa" w:w="25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Трудоспособное население, выпускники, миграция, переобучение → занятость, вакансии, безработица</w:t>
            </w:r>
          </w:p>
        </w:tc>
        <w:tc>
          <w:tcPr>
            <w:tcW w:type="dxa" w:w="23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Дефицит по профессиям; занятость; структурная безработица; производительность</w:t>
            </w:r>
          </w:p>
        </w:tc>
        <w:tc>
          <w:tcPr>
            <w:tcW w:type="dxa" w:w="2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Минтруд, Роструд, Минпросвещения, Минобрнауки, Минэкономразвития, Росстат</w:t>
            </w:r>
          </w:p>
        </w:tc>
      </w:tr>
      <w:tr>
        <w:trPr>
          <w:cantSplit w:val="true"/>
        </w:trPr>
        <w:tc>
          <w:tcPr>
            <w:tcW w:type="dxa" w:w="450"/>
            <w:shd w:fill="F3F6F8"/>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3"/>
              </w:rPr>
              <w:t>4</w:t>
            </w:r>
          </w:p>
        </w:tc>
        <w:tc>
          <w:tcPr>
            <w:tcW w:type="dxa" w:w="23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Баланс образования, науки, технологий и инноваций</w:t>
            </w:r>
          </w:p>
        </w:tc>
        <w:tc>
          <w:tcPr>
            <w:tcW w:type="dxa" w:w="25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Контингенты, кадры, финансирование, лаборатории → выпускники, исследования, патенты, внедрения</w:t>
            </w:r>
          </w:p>
        </w:tc>
        <w:tc>
          <w:tcPr>
            <w:tcW w:type="dxa" w:w="23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Места и кадры; трудоустройство; затраты на ИР; внедрения; критические технологии</w:t>
            </w:r>
          </w:p>
        </w:tc>
        <w:tc>
          <w:tcPr>
            <w:tcW w:type="dxa" w:w="22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Минпросвещения, Минобрнауки, Минэкономразвития, Минпромторг, Роспатент, Росстат</w:t>
            </w:r>
          </w:p>
        </w:tc>
      </w:tr>
      <w:tr>
        <w:trPr>
          <w:cantSplit w:val="true"/>
        </w:trPr>
        <w:tc>
          <w:tcPr>
            <w:tcW w:type="dxa" w:w="450"/>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3"/>
              </w:rPr>
              <w:t>5</w:t>
            </w:r>
          </w:p>
        </w:tc>
        <w:tc>
          <w:tcPr>
            <w:tcW w:type="dxa" w:w="23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Баланс доходов, потребления, сбережений и социальной поддержки</w:t>
            </w:r>
          </w:p>
        </w:tc>
        <w:tc>
          <w:tcPr>
            <w:tcW w:type="dxa" w:w="25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Зарплата, доходы, трансферты → налоги, потребление, сбережения, долг</w:t>
            </w:r>
          </w:p>
        </w:tc>
        <w:tc>
          <w:tcPr>
            <w:tcW w:type="dxa" w:w="23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Реальные доходы; бедность; дифференциация; долговая нагрузка; адресность</w:t>
            </w:r>
          </w:p>
        </w:tc>
        <w:tc>
          <w:tcPr>
            <w:tcW w:type="dxa" w:w="2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Минтруд, Минфин, ФНС, СФР, Росстат, Банк России — в пределах компетенции</w:t>
            </w:r>
          </w:p>
        </w:tc>
      </w:tr>
      <w:tr>
        <w:trPr>
          <w:cantSplit w:val="true"/>
        </w:trPr>
        <w:tc>
          <w:tcPr>
            <w:tcW w:type="dxa" w:w="450"/>
            <w:shd w:fill="F3F6F8"/>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3"/>
              </w:rPr>
              <w:t>6</w:t>
            </w:r>
          </w:p>
        </w:tc>
        <w:tc>
          <w:tcPr>
            <w:tcW w:type="dxa" w:w="23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Баланс культурной инфраструктуры и общественного спроса</w:t>
            </w:r>
          </w:p>
        </w:tc>
        <w:tc>
          <w:tcPr>
            <w:tcW w:type="dxa" w:w="25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Учреждения, фонды, наследие, кадры, финансирование → участие, посещение, реставрация, цифровой доступ</w:t>
            </w:r>
          </w:p>
        </w:tc>
        <w:tc>
          <w:tcPr>
            <w:tcW w:type="dxa" w:w="23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Доступность; участие; состояние наследия; кадры; цифровая доступность</w:t>
            </w:r>
          </w:p>
        </w:tc>
        <w:tc>
          <w:tcPr>
            <w:tcW w:type="dxa" w:w="22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Минкультуры, Минцифры, Росстат, субъекты РФ</w:t>
            </w:r>
          </w:p>
        </w:tc>
      </w:tr>
      <w:tr>
        <w:trPr>
          <w:cantSplit w:val="true"/>
        </w:trPr>
        <w:tc>
          <w:tcPr>
            <w:tcW w:type="dxa" w:w="450"/>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3"/>
              </w:rPr>
              <w:t>7</w:t>
            </w:r>
          </w:p>
        </w:tc>
        <w:tc>
          <w:tcPr>
            <w:tcW w:type="dxa" w:w="23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Продовольственный баланс</w:t>
            </w:r>
          </w:p>
        </w:tc>
        <w:tc>
          <w:tcPr>
            <w:tcW w:type="dxa" w:w="25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Производство, импорт/ввоз, запасы → переработка, потребление, экспорт/вывоз, потери</w:t>
            </w:r>
          </w:p>
        </w:tc>
        <w:tc>
          <w:tcPr>
            <w:tcW w:type="dxa" w:w="23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Самообеспеченность; доступность; потребление; резервы; потери</w:t>
            </w:r>
          </w:p>
        </w:tc>
        <w:tc>
          <w:tcPr>
            <w:tcW w:type="dxa" w:w="2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Минсельхоз, Россельхознадзор, Росрыболовство, Минпромторг, Росстат</w:t>
            </w:r>
          </w:p>
        </w:tc>
      </w:tr>
      <w:tr>
        <w:trPr>
          <w:cantSplit w:val="true"/>
        </w:trPr>
        <w:tc>
          <w:tcPr>
            <w:tcW w:type="dxa" w:w="450"/>
            <w:shd w:fill="F3F6F8"/>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3"/>
              </w:rPr>
              <w:t>8</w:t>
            </w:r>
          </w:p>
        </w:tc>
        <w:tc>
          <w:tcPr>
            <w:tcW w:type="dxa" w:w="23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Жилищно-поселенческий и инфраструктурный баланс</w:t>
            </w:r>
          </w:p>
        </w:tc>
        <w:tc>
          <w:tcPr>
            <w:tcW w:type="dxa" w:w="25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Жилфонд, ввод, ремонт; спрос; мощности ЖКХ → жильё и услуги</w:t>
            </w:r>
          </w:p>
        </w:tc>
        <w:tc>
          <w:tcPr>
            <w:tcW w:type="dxa" w:w="23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м²/чел.; доступность; аварийный фонд; коммунальные мощности; цикл строительства</w:t>
            </w:r>
          </w:p>
        </w:tc>
        <w:tc>
          <w:tcPr>
            <w:tcW w:type="dxa" w:w="22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Минстрой, Минэкономразвития, Росреестр, Росстат, субъекты РФ</w:t>
            </w:r>
          </w:p>
        </w:tc>
      </w:tr>
      <w:tr>
        <w:trPr>
          <w:cantSplit w:val="true"/>
        </w:trPr>
        <w:tc>
          <w:tcPr>
            <w:tcW w:type="dxa" w:w="450"/>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3"/>
              </w:rPr>
              <w:t>9</w:t>
            </w:r>
          </w:p>
        </w:tc>
        <w:tc>
          <w:tcPr>
            <w:tcW w:type="dxa" w:w="23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Земельно-почвенный баланс</w:t>
            </w:r>
          </w:p>
        </w:tc>
        <w:tc>
          <w:tcPr>
            <w:tcW w:type="dxa" w:w="25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Земельный фонд, вовлечение, восстановление → изъятие, деградация, загрязнение, рекультивация</w:t>
            </w:r>
          </w:p>
        </w:tc>
        <w:tc>
          <w:tcPr>
            <w:tcW w:type="dxa" w:w="23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Использование земель; плодородие; деградация; рекультивация; кадастр</w:t>
            </w:r>
          </w:p>
        </w:tc>
        <w:tc>
          <w:tcPr>
            <w:tcW w:type="dxa" w:w="2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Минсельхоз, Минприроды, Росреестр, Россельхознадзор, Рослесхоз</w:t>
            </w:r>
          </w:p>
        </w:tc>
      </w:tr>
      <w:tr>
        <w:trPr>
          <w:cantSplit w:val="true"/>
        </w:trPr>
        <w:tc>
          <w:tcPr>
            <w:tcW w:type="dxa" w:w="450"/>
            <w:shd w:fill="F3F6F8"/>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3"/>
              </w:rPr>
              <w:t>10</w:t>
            </w:r>
          </w:p>
        </w:tc>
        <w:tc>
          <w:tcPr>
            <w:tcW w:type="dxa" w:w="23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Водный баланс</w:t>
            </w:r>
          </w:p>
        </w:tc>
        <w:tc>
          <w:tcPr>
            <w:tcW w:type="dxa" w:w="25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Сток, запасы, забор, оборотное использование → потребление, сброс, потери</w:t>
            </w:r>
          </w:p>
        </w:tc>
        <w:tc>
          <w:tcPr>
            <w:tcW w:type="dxa" w:w="23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Дефицит; качество; потери; очистка стоков; водоёмкость</w:t>
            </w:r>
          </w:p>
        </w:tc>
        <w:tc>
          <w:tcPr>
            <w:tcW w:type="dxa" w:w="22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Минприроды, Росводресурсы, Росгидромет, Роспотребнадзор, Росприроднадзор, Минстрой</w:t>
            </w:r>
          </w:p>
        </w:tc>
      </w:tr>
      <w:tr>
        <w:trPr>
          <w:cantSplit w:val="true"/>
        </w:trPr>
        <w:tc>
          <w:tcPr>
            <w:tcW w:type="dxa" w:w="450"/>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3"/>
              </w:rPr>
              <w:t>11</w:t>
            </w:r>
          </w:p>
        </w:tc>
        <w:tc>
          <w:tcPr>
            <w:tcW w:type="dxa" w:w="23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Топливно-энергетический баланс</w:t>
            </w:r>
          </w:p>
        </w:tc>
        <w:tc>
          <w:tcPr>
            <w:tcW w:type="dxa" w:w="25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Добыча/генерация, импорт, запасы → преобразование, потребление, экспорт, потери</w:t>
            </w:r>
          </w:p>
        </w:tc>
        <w:tc>
          <w:tcPr>
            <w:tcW w:type="dxa" w:w="23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Резерв мощности; надёжность; сетевые потери; энергоёмкость; зависимость от оборудования</w:t>
            </w:r>
          </w:p>
        </w:tc>
        <w:tc>
          <w:tcPr>
            <w:tcW w:type="dxa" w:w="2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Минэнерго, Ростехнадзор, ФАС, Росстат, субъекты и инфраструктурные организации</w:t>
            </w:r>
          </w:p>
        </w:tc>
      </w:tr>
      <w:tr>
        <w:trPr>
          <w:cantSplit w:val="true"/>
        </w:trPr>
        <w:tc>
          <w:tcPr>
            <w:tcW w:type="dxa" w:w="450"/>
            <w:shd w:fill="F3F6F8"/>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3"/>
              </w:rPr>
              <w:t>12</w:t>
            </w:r>
          </w:p>
        </w:tc>
        <w:tc>
          <w:tcPr>
            <w:tcW w:type="dxa" w:w="23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Минерально-сырьевой и материальный баланс</w:t>
            </w:r>
          </w:p>
        </w:tc>
        <w:tc>
          <w:tcPr>
            <w:tcW w:type="dxa" w:w="25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Запасы, добыча, импорт, вторсырьё → переработка, использование, экспорт, отходы</w:t>
            </w:r>
          </w:p>
        </w:tc>
        <w:tc>
          <w:tcPr>
            <w:tcW w:type="dxa" w:w="23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Критическое сырьё; глубина переработки; импортозависимость; материалоёмкость; вторсырьё</w:t>
            </w:r>
          </w:p>
        </w:tc>
        <w:tc>
          <w:tcPr>
            <w:tcW w:type="dxa" w:w="22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Минприроды, Роснедра, Минпромторг, Росстандарт, Росстат</w:t>
            </w:r>
          </w:p>
        </w:tc>
      </w:tr>
      <w:tr>
        <w:trPr>
          <w:cantSplit w:val="true"/>
        </w:trPr>
        <w:tc>
          <w:tcPr>
            <w:tcW w:type="dxa" w:w="450"/>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3"/>
              </w:rPr>
              <w:t>13</w:t>
            </w:r>
          </w:p>
        </w:tc>
        <w:tc>
          <w:tcPr>
            <w:tcW w:type="dxa" w:w="23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Межотраслевой производственный баланс</w:t>
            </w:r>
          </w:p>
        </w:tc>
        <w:tc>
          <w:tcPr>
            <w:tcW w:type="dxa" w:w="25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Выпуск и импорт → промежуточное потребление, конечный спрос, накопление, запасы, экспорт</w:t>
            </w:r>
          </w:p>
        </w:tc>
        <w:tc>
          <w:tcPr>
            <w:tcW w:type="dxa" w:w="23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ВДС; загрузка мощностей; разрывы цепочек; производительность; отечественная добавленная стоимость</w:t>
            </w:r>
          </w:p>
        </w:tc>
        <w:tc>
          <w:tcPr>
            <w:tcW w:type="dxa" w:w="2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Минэкономразвития, Минпромторг, Минсельхоз, Росстат, ФАС, отраслевые ФОИВ</w:t>
            </w:r>
          </w:p>
        </w:tc>
      </w:tr>
      <w:tr>
        <w:trPr>
          <w:cantSplit w:val="true"/>
        </w:trPr>
        <w:tc>
          <w:tcPr>
            <w:tcW w:type="dxa" w:w="450"/>
            <w:shd w:fill="F3F6F8"/>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3"/>
              </w:rPr>
              <w:t>14</w:t>
            </w:r>
          </w:p>
        </w:tc>
        <w:tc>
          <w:tcPr>
            <w:tcW w:type="dxa" w:w="23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Транспортно-логистический баланс</w:t>
            </w:r>
          </w:p>
        </w:tc>
        <w:tc>
          <w:tcPr>
            <w:tcW w:type="dxa" w:w="25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Сеть, парк, терминалы, пропускная способность → потоки, транзит, простои</w:t>
            </w:r>
          </w:p>
        </w:tc>
        <w:tc>
          <w:tcPr>
            <w:tcW w:type="dxa" w:w="23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Резерв пропускной способности; срок и надёжность доставки; затраты; узкие места</w:t>
            </w:r>
          </w:p>
        </w:tc>
        <w:tc>
          <w:tcPr>
            <w:tcW w:type="dxa" w:w="22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Минтранс, Росавтодор, Росжелдор, Росавиация, Росморречфлот, Росстат</w:t>
            </w:r>
          </w:p>
        </w:tc>
      </w:tr>
      <w:tr>
        <w:trPr>
          <w:cantSplit w:val="true"/>
        </w:trPr>
        <w:tc>
          <w:tcPr>
            <w:tcW w:type="dxa" w:w="450"/>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3"/>
              </w:rPr>
              <w:t>15</w:t>
            </w:r>
          </w:p>
        </w:tc>
        <w:tc>
          <w:tcPr>
            <w:tcW w:type="dxa" w:w="23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Экологический баланс и баланс обращения с отходами</w:t>
            </w:r>
          </w:p>
        </w:tc>
        <w:tc>
          <w:tcPr>
            <w:tcW w:type="dxa" w:w="25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Выбросы, сбросы, отходы, нарушенные земли → очистка, утилизация, восстановление, остаточная нагрузка</w:t>
            </w:r>
          </w:p>
        </w:tc>
        <w:tc>
          <w:tcPr>
            <w:tcW w:type="dxa" w:w="23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Воздействие; очистка; утилизация; ликвидация вреда; восстановление экосистем</w:t>
            </w:r>
          </w:p>
        </w:tc>
        <w:tc>
          <w:tcPr>
            <w:tcW w:type="dxa" w:w="2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Минприроды, Росприроднадзор, Росгидромет, Рослесхоз, Роспотребнадзор, Росстат</w:t>
            </w:r>
          </w:p>
        </w:tc>
      </w:tr>
      <w:tr>
        <w:trPr>
          <w:cantSplit w:val="true"/>
        </w:trPr>
        <w:tc>
          <w:tcPr>
            <w:tcW w:type="dxa" w:w="450"/>
            <w:shd w:fill="F3F6F8"/>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3"/>
              </w:rPr>
              <w:t>16</w:t>
            </w:r>
          </w:p>
        </w:tc>
        <w:tc>
          <w:tcPr>
            <w:tcW w:type="dxa" w:w="23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Бюджетно-налоговый баланс</w:t>
            </w:r>
          </w:p>
        </w:tc>
        <w:tc>
          <w:tcPr>
            <w:tcW w:type="dxa" w:w="25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Доходы, трансферты, заимствования → расходы, трансферты, обслуживание долга</w:t>
            </w:r>
          </w:p>
        </w:tc>
        <w:tc>
          <w:tcPr>
            <w:tcW w:type="dxa" w:w="23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Устойчивость бюджета; долг; исполнение; обязательства; налоговая база; незавершёнка</w:t>
            </w:r>
          </w:p>
        </w:tc>
        <w:tc>
          <w:tcPr>
            <w:tcW w:type="dxa" w:w="22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Минфин, Федеральное казначейство, ФНС, Росстат; Счётная палата — внешний участник</w:t>
            </w:r>
          </w:p>
        </w:tc>
      </w:tr>
      <w:tr>
        <w:trPr>
          <w:cantSplit w:val="true"/>
        </w:trPr>
        <w:tc>
          <w:tcPr>
            <w:tcW w:type="dxa" w:w="450"/>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3"/>
              </w:rPr>
              <w:t>17</w:t>
            </w:r>
          </w:p>
        </w:tc>
        <w:tc>
          <w:tcPr>
            <w:tcW w:type="dxa" w:w="23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Инвестиционно-финансовый баланс</w:t>
            </w:r>
          </w:p>
        </w:tc>
        <w:tc>
          <w:tcPr>
            <w:tcW w:type="dxa" w:w="25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Сбережения, прибыль, бюджет, кредит, облигации, капитал → основной/оборотный капитал, погашение, отток</w:t>
            </w:r>
          </w:p>
        </w:tc>
        <w:tc>
          <w:tcPr>
            <w:tcW w:type="dxa" w:w="23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Инвестиции/ВВП(ВРП); разрыв финансирования; стоимость капитала; просрочка; готовность проектов</w:t>
            </w:r>
          </w:p>
        </w:tc>
        <w:tc>
          <w:tcPr>
            <w:tcW w:type="dxa" w:w="2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Минэкономразвития, Минфин, Банк России, ВЭБ.РФ, Росстат, институты развития</w:t>
            </w:r>
          </w:p>
        </w:tc>
      </w:tr>
      <w:tr>
        <w:trPr>
          <w:cantSplit w:val="true"/>
        </w:trPr>
        <w:tc>
          <w:tcPr>
            <w:tcW w:type="dxa" w:w="450"/>
            <w:shd w:fill="F3F6F8"/>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3"/>
              </w:rPr>
              <w:t>18</w:t>
            </w:r>
          </w:p>
        </w:tc>
        <w:tc>
          <w:tcPr>
            <w:tcW w:type="dxa" w:w="23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Внешнеэкономический баланс и баланс критических зависимостей</w:t>
            </w:r>
          </w:p>
        </w:tc>
        <w:tc>
          <w:tcPr>
            <w:tcW w:type="dxa" w:w="25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Экспорт/импорт, доходы, капитал → расчёты, обязательства, внешняя позиция</w:t>
            </w:r>
          </w:p>
        </w:tc>
        <w:tc>
          <w:tcPr>
            <w:tcW w:type="dxa" w:w="23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Торговое сальдо; текущий счёт; ННЭ; критический импорт; концентрация рынков</w:t>
            </w:r>
          </w:p>
        </w:tc>
        <w:tc>
          <w:tcPr>
            <w:tcW w:type="dxa" w:w="22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Минэкономразвития, Минпромторг, Минфин, ФТС, Банк России, Росстат</w:t>
            </w:r>
          </w:p>
        </w:tc>
      </w:tr>
      <w:tr>
        <w:trPr>
          <w:cantSplit w:val="true"/>
        </w:trPr>
        <w:tc>
          <w:tcPr>
            <w:tcW w:type="dxa" w:w="450"/>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3"/>
              </w:rPr>
              <w:t>19</w:t>
            </w:r>
          </w:p>
        </w:tc>
        <w:tc>
          <w:tcPr>
            <w:tcW w:type="dxa" w:w="23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Баланс стратегической устойчивости и непрерывности жизненно важных систем</w:t>
            </w:r>
          </w:p>
        </w:tc>
        <w:tc>
          <w:tcPr>
            <w:tcW w:type="dxa" w:w="25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Риски, критические объекты, резервы, защитные и дублирующие мощности → инциденты, ущерб, восстановление</w:t>
            </w:r>
          </w:p>
        </w:tc>
        <w:tc>
          <w:tcPr>
            <w:tcW w:type="dxa" w:w="23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Доступность услуг; время восстановления; резервы; планы непрерывности; резервирование ГИС</w:t>
            </w:r>
          </w:p>
        </w:tc>
        <w:tc>
          <w:tcPr>
            <w:tcW w:type="dxa" w:w="2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3"/>
              </w:rPr>
              <w:t>МЧС, Минцифры, ФСТЭК, Роскомнадзор, профильные ФОИВ и субъекты</w:t>
            </w:r>
          </w:p>
        </w:tc>
      </w:tr>
    </w:tbl>
    <w:p>
      <w:pPr>
        <w:spacing w:before="0" w:after="60"/>
      </w:pPr>
    </w:p>
    <w:p>
      <w:pPr>
        <w:spacing w:before="0" w:after="100" w:line="264" w:lineRule="auto"/>
      </w:pPr>
      <w:r>
        <w:rPr>
          <w:rFonts w:ascii="Arial" w:hAnsi="Arial" w:eastAsia="Arial"/>
          <w:b w:val="0"/>
          <w:i/>
          <w:color w:val="5B6573"/>
          <w:sz w:val="19"/>
        </w:rPr>
        <w:t>Росстат целесообразно привлекать как сквозного методологического участника по официальной статистике; ведомственные системы — как источники оперативных данных. Банк России, Счётная палата Российской Федерации, Аппарат Совета Безопасности Российской Федерации и иные органы участвуют только при соответствующем решении и в пределах компетенции.</w:t>
      </w:r>
    </w:p>
    <w:p>
      <w:pPr>
        <w:pStyle w:val="Heading2"/>
        <w:keepNext/>
      </w:pPr>
      <w:r>
        <w:t>5.1. Сквозные цепочки для демонстрации</w:t>
      </w:r>
    </w:p>
    <w:tbl>
      <w:tblPr>
        <w:tblStyle w:val="TableGrid"/>
        <w:tblW w:type="dxa" w:w="9750"/>
        <w:tblLayout w:type="fixed"/>
        <w:tblLook w:firstColumn="1" w:firstRow="1" w:lastColumn="0" w:lastRow="0" w:noHBand="0" w:noVBand="1" w:val="04A0"/>
        <w:jc w:val="left"/>
        <w:tblInd w:w="120" w:type="dxa"/>
      </w:tblPr>
      <w:tblGrid>
        <w:gridCol w:w="2300"/>
        <w:gridCol w:w="7450"/>
      </w:tblGrid>
      <w:tr>
        <w:trPr>
          <w:tblHeader w:val="true"/>
          <w:cantSplit w:val="true"/>
        </w:trPr>
        <w:tc>
          <w:tcPr>
            <w:tcW w:type="dxa" w:w="230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8"/>
              </w:rPr>
              <w:t>Цепочка</w:t>
            </w:r>
          </w:p>
        </w:tc>
        <w:tc>
          <w:tcPr>
            <w:tcW w:type="dxa" w:w="745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8"/>
              </w:rPr>
              <w:t>Проверяемая связанность</w:t>
            </w:r>
          </w:p>
        </w:tc>
      </w:tr>
      <w:tr>
        <w:trPr>
          <w:cantSplit w:val="true"/>
        </w:trPr>
        <w:tc>
          <w:tcPr>
            <w:tcW w:type="dxa" w:w="23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Жильё</w:t>
            </w:r>
          </w:p>
        </w:tc>
        <w:tc>
          <w:tcPr>
            <w:tcW w:type="dxa" w:w="74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Жильё → материалы → кадры → энергетика → ЖКХ → транспорт → проектное финансирование</w:t>
            </w:r>
          </w:p>
        </w:tc>
      </w:tr>
      <w:tr>
        <w:trPr>
          <w:cantSplit w:val="true"/>
        </w:trPr>
        <w:tc>
          <w:tcPr>
            <w:tcW w:type="dxa" w:w="23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Продовольствие</w:t>
            </w:r>
          </w:p>
        </w:tc>
        <w:tc>
          <w:tcPr>
            <w:tcW w:type="dxa" w:w="74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Продовольствие → земля → вода → энергия → хранение → логистика → розничные цены</w:t>
            </w:r>
          </w:p>
        </w:tc>
      </w:tr>
      <w:tr>
        <w:trPr>
          <w:cantSplit w:val="true"/>
        </w:trPr>
        <w:tc>
          <w:tcPr>
            <w:tcW w:type="dxa" w:w="23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Критическая продукция</w:t>
            </w:r>
          </w:p>
        </w:tc>
        <w:tc>
          <w:tcPr>
            <w:tcW w:type="dxa" w:w="74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Сырьё → технология → кадры → инвестиции → выпуск → импортозависимость → экспорт</w:t>
            </w:r>
          </w:p>
        </w:tc>
      </w:tr>
      <w:tr>
        <w:trPr>
          <w:cantSplit w:val="true"/>
        </w:trPr>
        <w:tc>
          <w:tcPr>
            <w:tcW w:type="dxa" w:w="23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Биоценоз: Воздух</w:t>
            </w:r>
          </w:p>
        </w:tc>
        <w:tc>
          <w:tcPr>
            <w:tcW w:type="dxa" w:w="74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Источники → перенос → рецепторы → здоровье → меры → подтверждённое изменение нагрузки</w:t>
            </w:r>
          </w:p>
        </w:tc>
      </w:tr>
    </w:tbl>
    <w:p>
      <w:pPr>
        <w:spacing w:before="0" w:after="60"/>
      </w:pPr>
    </w:p>
    <w:p>
      <w:pPr>
        <w:pStyle w:val="Heading1"/>
        <w:keepNext/>
      </w:pPr>
      <w:r>
        <w:t>6. Связь 19 балансов с 21 комиссией Государственного Совета</w:t>
      </w:r>
    </w:p>
    <w:p>
      <w:pPr>
        <w:spacing w:before="0" w:after="100" w:line="264" w:lineRule="auto"/>
      </w:pPr>
      <w:r>
        <w:rPr>
          <w:rFonts w:ascii="Arial" w:hAnsi="Arial" w:eastAsia="Arial"/>
          <w:b w:val="0"/>
          <w:i w:val="0"/>
          <w:color w:val="1F2933"/>
          <w:sz w:val="22"/>
        </w:rPr>
        <w:t>Комиссии являются организационными направлениями, а балансы — аналитическими объектами. Один баланс используется несколькими комиссиями; одна комиссия рассматривает несколько балансов. Поэтому система может служить межкомиссионным языком, не изменяя действующую структуру Государственного Совета.</w:t>
      </w:r>
    </w:p>
    <w:tbl>
      <w:tblPr>
        <w:tblStyle w:val="TableGrid"/>
        <w:tblW w:type="dxa" w:w="9750"/>
        <w:tblLayout w:type="fixed"/>
        <w:tblLook w:firstColumn="1" w:firstRow="1" w:lastColumn="0" w:lastRow="0" w:noHBand="0" w:noVBand="1" w:val="04A0"/>
        <w:jc w:val="left"/>
        <w:tblInd w:w="120" w:type="dxa"/>
      </w:tblPr>
      <w:tblGrid>
        <w:gridCol w:w="3500"/>
        <w:gridCol w:w="1700"/>
        <w:gridCol w:w="4550"/>
      </w:tblGrid>
      <w:tr>
        <w:trPr>
          <w:tblHeader w:val="true"/>
          <w:cantSplit w:val="true"/>
        </w:trPr>
        <w:tc>
          <w:tcPr>
            <w:tcW w:type="dxa" w:w="350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5"/>
              </w:rPr>
              <w:t>Комиссия</w:t>
            </w:r>
          </w:p>
        </w:tc>
        <w:tc>
          <w:tcPr>
            <w:tcW w:type="dxa" w:w="170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5"/>
              </w:rPr>
              <w:t>Балансы</w:t>
            </w:r>
          </w:p>
        </w:tc>
        <w:tc>
          <w:tcPr>
            <w:tcW w:type="dxa" w:w="455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5"/>
              </w:rPr>
              <w:t>Практическое применение</w:t>
            </w:r>
          </w:p>
        </w:tc>
      </w:tr>
      <w:tr>
        <w:trPr>
          <w:cantSplit w:val="true"/>
        </w:trPr>
        <w:tc>
          <w:tcPr>
            <w:tcW w:type="dxa" w:w="35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Государственное и муниципальное управление</w:t>
            </w:r>
          </w:p>
        </w:tc>
        <w:tc>
          <w:tcPr>
            <w:tcW w:type="dxa" w:w="17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1, 3, 5, 8, 16, 19</w:t>
            </w:r>
          </w:p>
        </w:tc>
        <w:tc>
          <w:tcPr>
            <w:tcW w:type="dxa" w:w="45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Межуровневая координация, качество решений и непрерывность</w:t>
            </w:r>
          </w:p>
        </w:tc>
      </w:tr>
      <w:tr>
        <w:trPr>
          <w:cantSplit w:val="true"/>
        </w:trPr>
        <w:tc>
          <w:tcPr>
            <w:tcW w:type="dxa" w:w="35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Инвестиции</w:t>
            </w:r>
          </w:p>
        </w:tc>
        <w:tc>
          <w:tcPr>
            <w:tcW w:type="dxa" w:w="17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8, 11–14, 16, 17</w:t>
            </w:r>
          </w:p>
        </w:tc>
        <w:tc>
          <w:tcPr>
            <w:tcW w:type="dxa" w:w="45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Инвестиционная обеспеченность и инфраструктурные ограничения</w:t>
            </w:r>
          </w:p>
        </w:tc>
      </w:tr>
      <w:tr>
        <w:trPr>
          <w:cantSplit w:val="true"/>
        </w:trPr>
        <w:tc>
          <w:tcPr>
            <w:tcW w:type="dxa" w:w="35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Инфраструктура для жизни</w:t>
            </w:r>
          </w:p>
        </w:tc>
        <w:tc>
          <w:tcPr>
            <w:tcW w:type="dxa" w:w="17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1–3, 8, 10, 11, 14–17</w:t>
            </w:r>
          </w:p>
        </w:tc>
        <w:tc>
          <w:tcPr>
            <w:tcW w:type="dxa" w:w="45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Согласование жилья, коммунальной, социальной и транспортной инфраструктуры</w:t>
            </w:r>
          </w:p>
        </w:tc>
      </w:tr>
      <w:tr>
        <w:trPr>
          <w:cantSplit w:val="true"/>
        </w:trPr>
        <w:tc>
          <w:tcPr>
            <w:tcW w:type="dxa" w:w="35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Кадры</w:t>
            </w:r>
          </w:p>
        </w:tc>
        <w:tc>
          <w:tcPr>
            <w:tcW w:type="dxa" w:w="17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1–4, 13, 17</w:t>
            </w:r>
          </w:p>
        </w:tc>
        <w:tc>
          <w:tcPr>
            <w:tcW w:type="dxa" w:w="45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Прогноз потребности, подготовка и территориальное распределение кадров</w:t>
            </w:r>
          </w:p>
        </w:tc>
      </w:tr>
      <w:tr>
        <w:trPr>
          <w:cantSplit w:val="true"/>
        </w:trPr>
        <w:tc>
          <w:tcPr>
            <w:tcW w:type="dxa" w:w="35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Культура и традиционные духовно-нравственные ценности</w:t>
            </w:r>
          </w:p>
        </w:tc>
        <w:tc>
          <w:tcPr>
            <w:tcW w:type="dxa" w:w="17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1, 4–6, 8</w:t>
            </w:r>
          </w:p>
        </w:tc>
        <w:tc>
          <w:tcPr>
            <w:tcW w:type="dxa" w:w="45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Культурная инфраструктура, участие и связанность общества</w:t>
            </w:r>
          </w:p>
        </w:tc>
      </w:tr>
      <w:tr>
        <w:trPr>
          <w:cantSplit w:val="true"/>
        </w:trPr>
        <w:tc>
          <w:tcPr>
            <w:tcW w:type="dxa" w:w="35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Международная кооперация и экспорт</w:t>
            </w:r>
          </w:p>
        </w:tc>
        <w:tc>
          <w:tcPr>
            <w:tcW w:type="dxa" w:w="17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4, 7, 11–14, 17, 18</w:t>
            </w:r>
          </w:p>
        </w:tc>
        <w:tc>
          <w:tcPr>
            <w:tcW w:type="dxa" w:w="45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Экспортный потенциал и критические внешние зависимости</w:t>
            </w:r>
          </w:p>
        </w:tc>
      </w:tr>
      <w:tr>
        <w:trPr>
          <w:cantSplit w:val="true"/>
        </w:trPr>
        <w:tc>
          <w:tcPr>
            <w:tcW w:type="dxa" w:w="35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Молодёжь и дети</w:t>
            </w:r>
          </w:p>
        </w:tc>
        <w:tc>
          <w:tcPr>
            <w:tcW w:type="dxa" w:w="17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1–6, 8</w:t>
            </w:r>
          </w:p>
        </w:tc>
        <w:tc>
          <w:tcPr>
            <w:tcW w:type="dxa" w:w="45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Демография, образование, здоровье, доходы и инфраструктура</w:t>
            </w:r>
          </w:p>
        </w:tc>
      </w:tr>
      <w:tr>
        <w:trPr>
          <w:cantSplit w:val="true"/>
        </w:trPr>
        <w:tc>
          <w:tcPr>
            <w:tcW w:type="dxa" w:w="35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Продолжительная и активная жизнь</w:t>
            </w:r>
          </w:p>
        </w:tc>
        <w:tc>
          <w:tcPr>
            <w:tcW w:type="dxa" w:w="17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1–5, 8, 10, 15</w:t>
            </w:r>
          </w:p>
        </w:tc>
        <w:tc>
          <w:tcPr>
            <w:tcW w:type="dxa" w:w="45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Здоровье, среда, кадры и доступность услуг</w:t>
            </w:r>
          </w:p>
        </w:tc>
      </w:tr>
      <w:tr>
        <w:trPr>
          <w:cantSplit w:val="true"/>
        </w:trPr>
        <w:tc>
          <w:tcPr>
            <w:tcW w:type="dxa" w:w="35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Промышленность</w:t>
            </w:r>
          </w:p>
        </w:tc>
        <w:tc>
          <w:tcPr>
            <w:tcW w:type="dxa" w:w="17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3, 4, 10–18</w:t>
            </w:r>
          </w:p>
        </w:tc>
        <w:tc>
          <w:tcPr>
            <w:tcW w:type="dxa" w:w="45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Мощности, сырьё, энергия, логистика, технологии и капитал</w:t>
            </w:r>
          </w:p>
        </w:tc>
      </w:tr>
      <w:tr>
        <w:trPr>
          <w:cantSplit w:val="true"/>
        </w:trPr>
        <w:tc>
          <w:tcPr>
            <w:tcW w:type="dxa" w:w="35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Северный морской путь и Арктика</w:t>
            </w:r>
          </w:p>
        </w:tc>
        <w:tc>
          <w:tcPr>
            <w:tcW w:type="dxa" w:w="17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1, 3, 8, 10–15, 17–19</w:t>
            </w:r>
          </w:p>
        </w:tc>
        <w:tc>
          <w:tcPr>
            <w:tcW w:type="dxa" w:w="45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Пространственные ограничения, логистика, ресурсы и устойчивость</w:t>
            </w:r>
          </w:p>
        </w:tc>
      </w:tr>
      <w:tr>
        <w:trPr>
          <w:cantSplit w:val="true"/>
        </w:trPr>
        <w:tc>
          <w:tcPr>
            <w:tcW w:type="dxa" w:w="35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Сельское хозяйство</w:t>
            </w:r>
          </w:p>
        </w:tc>
        <w:tc>
          <w:tcPr>
            <w:tcW w:type="dxa" w:w="17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1, 3, 7, 9–12, 14–18</w:t>
            </w:r>
          </w:p>
        </w:tc>
        <w:tc>
          <w:tcPr>
            <w:tcW w:type="dxa" w:w="45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Продовольствие, земля, вода, энергия, логистика и экспорт</w:t>
            </w:r>
          </w:p>
        </w:tc>
      </w:tr>
      <w:tr>
        <w:trPr>
          <w:cantSplit w:val="true"/>
        </w:trPr>
        <w:tc>
          <w:tcPr>
            <w:tcW w:type="dxa" w:w="35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Семья</w:t>
            </w:r>
          </w:p>
        </w:tc>
        <w:tc>
          <w:tcPr>
            <w:tcW w:type="dxa" w:w="17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1–5, 8, 16</w:t>
            </w:r>
          </w:p>
        </w:tc>
        <w:tc>
          <w:tcPr>
            <w:tcW w:type="dxa" w:w="45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Доходы, жильё, услуги и демографическая устойчивость</w:t>
            </w:r>
          </w:p>
        </w:tc>
      </w:tr>
      <w:tr>
        <w:trPr>
          <w:cantSplit w:val="true"/>
        </w:trPr>
        <w:tc>
          <w:tcPr>
            <w:tcW w:type="dxa" w:w="35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Технологическое лидерство</w:t>
            </w:r>
          </w:p>
        </w:tc>
        <w:tc>
          <w:tcPr>
            <w:tcW w:type="dxa" w:w="17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3, 4, 11–13, 17–19</w:t>
            </w:r>
          </w:p>
        </w:tc>
        <w:tc>
          <w:tcPr>
            <w:tcW w:type="dxa" w:w="45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Критические технологии, внедрение и независимость</w:t>
            </w:r>
          </w:p>
        </w:tc>
      </w:tr>
      <w:tr>
        <w:trPr>
          <w:cantSplit w:val="true"/>
        </w:trPr>
        <w:tc>
          <w:tcPr>
            <w:tcW w:type="dxa" w:w="35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Туризм</w:t>
            </w:r>
          </w:p>
        </w:tc>
        <w:tc>
          <w:tcPr>
            <w:tcW w:type="dxa" w:w="17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1, 3, 5, 6, 8, 10, 14, 15, 17</w:t>
            </w:r>
          </w:p>
        </w:tc>
        <w:tc>
          <w:tcPr>
            <w:tcW w:type="dxa" w:w="45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Инфраструктура, кадры, экология и транспортная доступность</w:t>
            </w:r>
          </w:p>
        </w:tc>
      </w:tr>
      <w:tr>
        <w:trPr>
          <w:cantSplit w:val="true"/>
        </w:trPr>
        <w:tc>
          <w:tcPr>
            <w:tcW w:type="dxa" w:w="35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Физическая культура и спорт</w:t>
            </w:r>
          </w:p>
        </w:tc>
        <w:tc>
          <w:tcPr>
            <w:tcW w:type="dxa" w:w="17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1–6, 8, 17</w:t>
            </w:r>
          </w:p>
        </w:tc>
        <w:tc>
          <w:tcPr>
            <w:tcW w:type="dxa" w:w="45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Доступность объектов, здоровье, кадры и финансирование</w:t>
            </w:r>
          </w:p>
        </w:tc>
      </w:tr>
      <w:tr>
        <w:trPr>
          <w:cantSplit w:val="true"/>
        </w:trPr>
        <w:tc>
          <w:tcPr>
            <w:tcW w:type="dxa" w:w="35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Экологическое благополучие</w:t>
            </w:r>
          </w:p>
        </w:tc>
        <w:tc>
          <w:tcPr>
            <w:tcW w:type="dxa" w:w="17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2, 7, 9–15, 17, 19</w:t>
            </w:r>
          </w:p>
        </w:tc>
        <w:tc>
          <w:tcPr>
            <w:tcW w:type="dxa" w:w="45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Природные ограничения, воздействие, восстановление и верификация</w:t>
            </w:r>
          </w:p>
        </w:tc>
      </w:tr>
      <w:tr>
        <w:trPr>
          <w:cantSplit w:val="true"/>
        </w:trPr>
        <w:tc>
          <w:tcPr>
            <w:tcW w:type="dxa" w:w="35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Экономика данных</w:t>
            </w:r>
          </w:p>
        </w:tc>
        <w:tc>
          <w:tcPr>
            <w:tcW w:type="dxa" w:w="17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1–19</w:t>
            </w:r>
          </w:p>
        </w:tc>
        <w:tc>
          <w:tcPr>
            <w:tcW w:type="dxa" w:w="45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Паспортизация, совместимость, качество, версионирование и безопасность данных</w:t>
            </w:r>
          </w:p>
        </w:tc>
      </w:tr>
      <w:tr>
        <w:trPr>
          <w:cantSplit w:val="true"/>
        </w:trPr>
        <w:tc>
          <w:tcPr>
            <w:tcW w:type="dxa" w:w="35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Экономика и финансы</w:t>
            </w:r>
          </w:p>
        </w:tc>
        <w:tc>
          <w:tcPr>
            <w:tcW w:type="dxa" w:w="17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5, 13, 16–18; свод 1–19</w:t>
            </w:r>
          </w:p>
        </w:tc>
        <w:tc>
          <w:tcPr>
            <w:tcW w:type="dxa" w:w="45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Сводные макроэкономические, бюджетные и финансовые ограничения</w:t>
            </w:r>
          </w:p>
        </w:tc>
      </w:tr>
      <w:tr>
        <w:trPr>
          <w:cantSplit w:val="true"/>
        </w:trPr>
        <w:tc>
          <w:tcPr>
            <w:tcW w:type="dxa" w:w="35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Энергетика</w:t>
            </w:r>
          </w:p>
        </w:tc>
        <w:tc>
          <w:tcPr>
            <w:tcW w:type="dxa" w:w="17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8, 10–15, 17–19</w:t>
            </w:r>
          </w:p>
        </w:tc>
        <w:tc>
          <w:tcPr>
            <w:tcW w:type="dxa" w:w="45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Надёжность, мощности, оборудование, инвестиции и экологический эффект</w:t>
            </w:r>
          </w:p>
        </w:tc>
      </w:tr>
      <w:tr>
        <w:trPr>
          <w:cantSplit w:val="true"/>
        </w:trPr>
        <w:tc>
          <w:tcPr>
            <w:tcW w:type="dxa" w:w="35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Эффективная и конкурентная экономика</w:t>
            </w:r>
          </w:p>
        </w:tc>
        <w:tc>
          <w:tcPr>
            <w:tcW w:type="dxa" w:w="17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3–5, 7, 11–18</w:t>
            </w:r>
          </w:p>
        </w:tc>
        <w:tc>
          <w:tcPr>
            <w:tcW w:type="dxa" w:w="45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Производительность, конкуренция, спрос, инвестиции и экспорт</w:t>
            </w:r>
          </w:p>
        </w:tc>
      </w:tr>
      <w:tr>
        <w:trPr>
          <w:cantSplit w:val="true"/>
        </w:trPr>
        <w:tc>
          <w:tcPr>
            <w:tcW w:type="dxa" w:w="35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Эффективная транспортная система</w:t>
            </w:r>
          </w:p>
        </w:tc>
        <w:tc>
          <w:tcPr>
            <w:tcW w:type="dxa" w:w="17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1, 3, 7, 8, 11–15, 17–19</w:t>
            </w:r>
          </w:p>
        </w:tc>
        <w:tc>
          <w:tcPr>
            <w:tcW w:type="dxa" w:w="45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5"/>
              </w:rPr>
              <w:t>Пропускная способность, доступность, логистика и устойчивость</w:t>
            </w:r>
          </w:p>
        </w:tc>
      </w:tr>
    </w:tbl>
    <w:p>
      <w:pPr>
        <w:spacing w:before="0" w:after="60"/>
      </w:pPr>
    </w:p>
    <w:p>
      <w:pPr>
        <w:spacing w:before="140" w:after="160" w:line="259" w:lineRule="auto"/>
        <w:ind w:left="198" w:right="113"/>
        <w:shd w:fill="EAF1F8"/>
        <w:keepLines/>
        <w:pBdr>
          <w:left w:val="single" w:sz="18" w:space="8" w:color="17365D"/>
        </w:pBdr>
      </w:pPr>
      <w:r>
        <w:rPr>
          <w:rFonts w:ascii="Arial" w:hAnsi="Arial" w:eastAsia="Arial"/>
          <w:b/>
          <w:i w:val="0"/>
          <w:color w:val="17365D"/>
          <w:sz w:val="21"/>
        </w:rPr>
        <w:t xml:space="preserve">Предлагаемый маршрут. </w:t>
      </w:r>
      <w:r>
        <w:rPr>
          <w:rFonts w:ascii="Arial" w:hAnsi="Arial" w:eastAsia="Arial"/>
          <w:b w:val="0"/>
          <w:i w:val="0"/>
          <w:color w:val="1F2933"/>
          <w:sz w:val="21"/>
        </w:rPr>
        <w:t>Первичная проработка — комиссия по направлению «Экологическое благополучие»; межкомиссионное участие — «Экономика данных», «Технологическое лидерство», «Энергетика» и «Экономика и финансы». Расширение состава — по итогам первичной экспертизы.</w:t>
      </w:r>
    </w:p>
    <w:p>
      <w:pPr>
        <w:pStyle w:val="Heading1"/>
        <w:keepNext/>
      </w:pPr>
      <w:r>
        <w:t>7. Межотраслевая модель и индекс равновесия</w:t>
      </w:r>
    </w:p>
    <w:p>
      <w:pPr>
        <w:pStyle w:val="Heading2"/>
        <w:keepNext/>
      </w:pPr>
      <w:r>
        <w:t>7.1. Экономическое ядро</w:t>
      </w:r>
    </w:p>
    <w:p>
      <w:pPr>
        <w:spacing w:before="0" w:after="100" w:line="264" w:lineRule="auto"/>
      </w:pPr>
      <w:r>
        <w:rPr>
          <w:rFonts w:ascii="Arial" w:hAnsi="Arial" w:eastAsia="Arial"/>
          <w:b w:val="0"/>
          <w:i w:val="0"/>
          <w:color w:val="1F2933"/>
          <w:sz w:val="22"/>
        </w:rPr>
        <w:t>Экономический контур использует официальные таблицы ресурсов и использования и таблицы «затраты–выпуск» Росстата. Для сценарного анализа они дополняются сателлитными матрицами труда, сырья, энергии, воды, транспорта, выбросов и финансирования.</w:t>
      </w:r>
    </w:p>
    <w:p>
      <w:pPr>
        <w:spacing w:before="140" w:after="160" w:line="259" w:lineRule="auto"/>
        <w:ind w:left="198" w:right="113"/>
        <w:shd w:fill="EAF1F8"/>
        <w:keepLines/>
        <w:pBdr>
          <w:left w:val="single" w:sz="18" w:space="8" w:color="2F5597"/>
        </w:pBdr>
      </w:pPr>
      <w:r>
        <w:rPr>
          <w:rFonts w:ascii="Arial" w:hAnsi="Arial" w:eastAsia="Arial"/>
          <w:b/>
          <w:i w:val="0"/>
          <w:color w:val="2F5597"/>
          <w:sz w:val="21"/>
        </w:rPr>
        <w:t xml:space="preserve">Базовая модель. </w:t>
      </w:r>
      <w:r>
        <w:rPr>
          <w:rFonts w:ascii="Arial" w:hAnsi="Arial" w:eastAsia="Arial"/>
          <w:b w:val="0"/>
          <w:i w:val="0"/>
          <w:color w:val="1F2933"/>
          <w:sz w:val="21"/>
        </w:rPr>
        <w:t>x = Ax + y;  Hx ≤ L;  Rx ≤ R̄;  Ex ≤ Ē;  Wx ≤ W̄;  Tx ≤ T̄;  Fx ≤ F̄.</w:t>
      </w:r>
    </w:p>
    <w:p>
      <w:pPr>
        <w:spacing w:before="0" w:after="100" w:line="264" w:lineRule="auto"/>
      </w:pPr>
      <w:r>
        <w:rPr>
          <w:rFonts w:ascii="Arial" w:hAnsi="Arial" w:eastAsia="Arial"/>
          <w:b w:val="0"/>
          <w:i w:val="0"/>
          <w:color w:val="1F2933"/>
          <w:sz w:val="22"/>
        </w:rPr>
        <w:t>Здесь x — вектор отраслевого выпуска; A — матрица прямых затрат; y — конечный спрос; H, R, E, W, T и F — коэффициенты потребности в труде, сырье, энергии, воде, транспорте и финансировании; величины с чертой сверху — доступный объём или допустимый предел.</w:t>
      </w:r>
    </w:p>
    <w:p>
      <w:pPr>
        <w:spacing w:before="0" w:after="100" w:line="264" w:lineRule="auto"/>
      </w:pPr>
      <w:r>
        <w:rPr>
          <w:rFonts w:ascii="Arial" w:hAnsi="Arial" w:eastAsia="Arial"/>
          <w:b w:val="0"/>
          <w:i w:val="0"/>
          <w:color w:val="1F2933"/>
          <w:sz w:val="22"/>
        </w:rPr>
        <w:t>Практический смысл: изменение одной государственной программы пересчитывается не только по объёму финансирования, но и по потребности в кадрах, стройматериалах, энергии, воде, логистике, импорте и последующей бюджетной нагрузке. Модель не заменяет официальный прогноз, а проверяет взаимную согласованность его предпосылок.</w:t>
      </w:r>
    </w:p>
    <w:p>
      <w:pPr>
        <w:pStyle w:val="Heading2"/>
        <w:keepNext/>
      </w:pPr>
      <w:r>
        <w:t>7.2. Интегральный навигационный индекс</w:t>
      </w:r>
    </w:p>
    <w:p>
      <w:pPr>
        <w:spacing w:before="0" w:after="100" w:line="264" w:lineRule="auto"/>
      </w:pPr>
      <w:r>
        <w:rPr>
          <w:rFonts w:ascii="Arial" w:hAnsi="Arial" w:eastAsia="Arial"/>
          <w:b w:val="0"/>
          <w:i w:val="0"/>
          <w:color w:val="1F2933"/>
          <w:sz w:val="22"/>
        </w:rPr>
        <w:t>Для каждого показателя задаётся целевой коридор и критические границы. Нормированное отклонение dᵢⱼ принимает значение от 0 до 1. Оценка баланса: Bᵢ = 100 × (1 − Σ αᵢⱼdᵢⱼ), где сумма весов αᵢⱼ равна 1.</w:t>
      </w:r>
    </w:p>
    <w:p>
      <w:pPr>
        <w:spacing w:before="140" w:after="160" w:line="259" w:lineRule="auto"/>
        <w:ind w:left="198" w:right="113"/>
        <w:shd w:fill="E7F2F1"/>
        <w:keepLines/>
        <w:pBdr>
          <w:left w:val="single" w:sz="18" w:space="8" w:color="1B6B6F"/>
        </w:pBdr>
      </w:pPr>
      <w:r>
        <w:rPr>
          <w:rFonts w:ascii="Arial" w:hAnsi="Arial" w:eastAsia="Arial"/>
          <w:b/>
          <w:i w:val="0"/>
          <w:color w:val="1B6B6F"/>
          <w:sz w:val="21"/>
        </w:rPr>
        <w:t xml:space="preserve">Индекс. </w:t>
      </w:r>
      <w:r>
        <w:rPr>
          <w:rFonts w:ascii="Arial" w:hAnsi="Arial" w:eastAsia="Arial"/>
          <w:b w:val="0"/>
          <w:i w:val="0"/>
          <w:color w:val="1F2933"/>
          <w:sz w:val="21"/>
        </w:rPr>
        <w:t>IRE = 100 × [∏(Bᵢ/100)ʷⁱ]^(1−λ) × [min(Bᵢ/100)]^λ. Коэффициент λ учитывает «узкое место»; для пилота может быть принят 0,25 с последующей калибровкой.</w:t>
      </w:r>
    </w:p>
    <w:p>
      <w:pPr>
        <w:spacing w:before="0" w:after="100" w:line="264" w:lineRule="auto"/>
      </w:pPr>
      <w:r>
        <w:rPr>
          <w:rFonts w:ascii="Arial" w:hAnsi="Arial" w:eastAsia="Arial"/>
          <w:b w:val="0"/>
          <w:i w:val="0"/>
          <w:color w:val="1F2933"/>
          <w:sz w:val="22"/>
        </w:rPr>
        <w:t>IRE не является рейтингом органов власти и не заменяет первичные показатели. Нарушение нормативного или критического порога выносится отдельным сигналом и не может быть компенсировано хорошими значениями других балансов.</w:t>
      </w:r>
    </w:p>
    <w:p>
      <w:pPr>
        <w:pStyle w:val="Heading2"/>
        <w:keepNext/>
      </w:pPr>
      <w:r>
        <w:t>7.3. Качество данных</w:t>
      </w:r>
    </w:p>
    <w:p>
      <w:pPr>
        <w:spacing w:before="0" w:after="100" w:line="264" w:lineRule="auto"/>
      </w:pPr>
      <w:r>
        <w:rPr>
          <w:rFonts w:ascii="Arial" w:hAnsi="Arial" w:eastAsia="Arial"/>
          <w:b w:val="0"/>
          <w:i w:val="0"/>
          <w:color w:val="1F2933"/>
          <w:sz w:val="22"/>
        </w:rPr>
        <w:t>Индекс качества данных Cdata рассчитывается отдельно по полноте, своевременности, сопоставимости, подтверждённости источника и воспроизводимости. Публикация сводного индекса без Cdata не допускается. Все веса, исключения и ручные корректировки версионируются и имеют автора и основание.</w:t>
      </w:r>
    </w:p>
    <w:p>
      <w:pPr>
        <w:pStyle w:val="Heading2"/>
        <w:keepNext/>
      </w:pPr>
      <w:r>
        <w:t>7.4. Балансовая записка к решению</w:t>
      </w:r>
    </w:p>
    <w:p>
      <w:pPr>
        <w:numPr>
          <w:ilvl w:val="0"/>
          <w:numId w:val="90"/>
        </w:numPr>
        <w:spacing w:after="80" w:line="264" w:lineRule="auto"/>
      </w:pPr>
      <w:r>
        <w:rPr>
          <w:rFonts w:ascii="Arial" w:hAnsi="Arial" w:eastAsia="Arial"/>
          <w:b w:val="0"/>
          <w:i w:val="0"/>
          <w:color w:val="1F2933"/>
          <w:sz w:val="21"/>
        </w:rPr>
        <w:t>цель, территория и затронутые балансы;</w:t>
      </w:r>
    </w:p>
    <w:p>
      <w:pPr>
        <w:numPr>
          <w:ilvl w:val="0"/>
          <w:numId w:val="90"/>
        </w:numPr>
        <w:spacing w:after="80" w:line="264" w:lineRule="auto"/>
      </w:pPr>
      <w:r>
        <w:rPr>
          <w:rFonts w:ascii="Arial" w:hAnsi="Arial" w:eastAsia="Arial"/>
          <w:b w:val="0"/>
          <w:i w:val="0"/>
          <w:color w:val="1F2933"/>
          <w:sz w:val="21"/>
        </w:rPr>
        <w:t>ресурсная потребность, источник покрытия и ограничивающий баланс;</w:t>
      </w:r>
    </w:p>
    <w:p>
      <w:pPr>
        <w:numPr>
          <w:ilvl w:val="0"/>
          <w:numId w:val="90"/>
        </w:numPr>
        <w:spacing w:after="80" w:line="264" w:lineRule="auto"/>
      </w:pPr>
      <w:r>
        <w:rPr>
          <w:rFonts w:ascii="Arial" w:hAnsi="Arial" w:eastAsia="Arial"/>
          <w:b w:val="0"/>
          <w:i w:val="0"/>
          <w:color w:val="1F2933"/>
          <w:sz w:val="21"/>
        </w:rPr>
        <w:t>межотраслевые эффекты первого и второго порядка;</w:t>
      </w:r>
    </w:p>
    <w:p>
      <w:pPr>
        <w:numPr>
          <w:ilvl w:val="0"/>
          <w:numId w:val="90"/>
        </w:numPr>
        <w:spacing w:after="80" w:line="264" w:lineRule="auto"/>
      </w:pPr>
      <w:r>
        <w:rPr>
          <w:rFonts w:ascii="Arial" w:hAnsi="Arial" w:eastAsia="Arial"/>
          <w:b w:val="0"/>
          <w:i w:val="0"/>
          <w:color w:val="1F2933"/>
          <w:sz w:val="21"/>
        </w:rPr>
        <w:t>бюджетный, инвестиционный и внешнеэкономический контур;</w:t>
      </w:r>
    </w:p>
    <w:p>
      <w:pPr>
        <w:numPr>
          <w:ilvl w:val="0"/>
          <w:numId w:val="90"/>
        </w:numPr>
        <w:spacing w:after="80" w:line="264" w:lineRule="auto"/>
      </w:pPr>
      <w:r>
        <w:rPr>
          <w:rFonts w:ascii="Arial" w:hAnsi="Arial" w:eastAsia="Arial"/>
          <w:b w:val="0"/>
          <w:i w:val="0"/>
          <w:color w:val="1F2933"/>
          <w:sz w:val="21"/>
        </w:rPr>
        <w:t>воздействие на население и окружающую среду;</w:t>
      </w:r>
    </w:p>
    <w:p>
      <w:pPr>
        <w:numPr>
          <w:ilvl w:val="0"/>
          <w:numId w:val="90"/>
        </w:numPr>
        <w:spacing w:after="80" w:line="264" w:lineRule="auto"/>
      </w:pPr>
      <w:r>
        <w:rPr>
          <w:rFonts w:ascii="Arial" w:hAnsi="Arial" w:eastAsia="Arial"/>
          <w:b w:val="0"/>
          <w:i w:val="0"/>
          <w:color w:val="1F2933"/>
          <w:sz w:val="21"/>
        </w:rPr>
        <w:t>стресс-сценарий, резервный вариант и изменение Bᵢ/IRE;</w:t>
      </w:r>
    </w:p>
    <w:p>
      <w:pPr>
        <w:numPr>
          <w:ilvl w:val="0"/>
          <w:numId w:val="90"/>
        </w:numPr>
        <w:spacing w:after="80" w:line="264" w:lineRule="auto"/>
      </w:pPr>
      <w:r>
        <w:rPr>
          <w:rFonts w:ascii="Arial" w:hAnsi="Arial" w:eastAsia="Arial"/>
          <w:b w:val="0"/>
          <w:i w:val="0"/>
          <w:color w:val="1F2933"/>
          <w:sz w:val="21"/>
        </w:rPr>
        <w:t>качество данных, решение, срок и контрольные показатели.</w:t>
      </w:r>
    </w:p>
    <w:p>
      <w:pPr>
        <w:pStyle w:val="Heading1"/>
        <w:keepNext/>
      </w:pPr>
      <w:r>
        <w:t>8. Двухступенчатый пилот</w:t>
      </w:r>
    </w:p>
    <w:p>
      <w:pPr>
        <w:pStyle w:val="Heading2"/>
        <w:keepNext/>
      </w:pPr>
      <w:r>
        <w:t>8.1. Ступень А — 90-дневная экспертно-аналитическая апробация</w:t>
      </w:r>
    </w:p>
    <w:p>
      <w:pPr>
        <w:spacing w:before="0" w:after="100" w:line="264" w:lineRule="auto"/>
      </w:pPr>
      <w:r>
        <w:rPr>
          <w:rFonts w:ascii="Arial" w:hAnsi="Arial" w:eastAsia="Arial"/>
          <w:b w:val="0"/>
          <w:i w:val="0"/>
          <w:color w:val="1F2933"/>
          <w:sz w:val="22"/>
        </w:rPr>
        <w:t>Цель — доказать методическую применимость без капитальных затрат и без создания новой масштабной информационной системы. Используются открытые и предоставленные в установленном порядке данные, 3–5 приоритетных балансов и один территориальный кейс.</w:t>
      </w:r>
    </w:p>
    <w:tbl>
      <w:tblPr>
        <w:tblStyle w:val="TableGrid"/>
        <w:tblW w:type="dxa" w:w="9750"/>
        <w:tblLayout w:type="fixed"/>
        <w:tblLook w:firstColumn="1" w:firstRow="1" w:lastColumn="0" w:lastRow="0" w:noHBand="0" w:noVBand="1" w:val="04A0"/>
        <w:jc w:val="left"/>
        <w:tblInd w:w="120" w:type="dxa"/>
      </w:tblPr>
      <w:tblGrid>
        <w:gridCol w:w="1500"/>
        <w:gridCol w:w="2100"/>
        <w:gridCol w:w="6150"/>
      </w:tblGrid>
      <w:tr>
        <w:trPr>
          <w:tblHeader w:val="true"/>
          <w:cantSplit w:val="true"/>
        </w:trPr>
        <w:tc>
          <w:tcPr>
            <w:tcW w:type="dxa" w:w="150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7"/>
              </w:rPr>
              <w:t>Срок</w:t>
            </w:r>
          </w:p>
        </w:tc>
        <w:tc>
          <w:tcPr>
            <w:tcW w:type="dxa" w:w="210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7"/>
              </w:rPr>
              <w:t>Этап</w:t>
            </w:r>
          </w:p>
        </w:tc>
        <w:tc>
          <w:tcPr>
            <w:tcW w:type="dxa" w:w="615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7"/>
              </w:rPr>
              <w:t>Результат</w:t>
            </w:r>
          </w:p>
        </w:tc>
      </w:tr>
      <w:tr>
        <w:trPr>
          <w:cantSplit w:val="true"/>
        </w:trPr>
        <w:tc>
          <w:tcPr>
            <w:tcW w:type="dxa" w:w="15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1–15 день</w:t>
            </w:r>
          </w:p>
        </w:tc>
        <w:tc>
          <w:tcPr>
            <w:tcW w:type="dxa" w:w="21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Подготовка</w:t>
            </w:r>
          </w:p>
        </w:tc>
        <w:tc>
          <w:tcPr>
            <w:tcW w:type="dxa" w:w="61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Территория, проблема, данные, владельцы показателей, baseline, режим доступа</w:t>
            </w:r>
          </w:p>
        </w:tc>
      </w:tr>
      <w:tr>
        <w:trPr>
          <w:cantSplit w:val="true"/>
        </w:trPr>
        <w:tc>
          <w:tcPr>
            <w:tcW w:type="dxa" w:w="15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16–45 день</w:t>
            </w:r>
          </w:p>
        </w:tc>
        <w:tc>
          <w:tcPr>
            <w:tcW w:type="dxa" w:w="21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Сборка модели</w:t>
            </w:r>
          </w:p>
        </w:tc>
        <w:tc>
          <w:tcPr>
            <w:tcW w:type="dxa" w:w="61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Паспорта данных, межотраслевой граф, дефициты, резервы, цифровой прототип</w:t>
            </w:r>
          </w:p>
        </w:tc>
      </w:tr>
      <w:tr>
        <w:trPr>
          <w:cantSplit w:val="true"/>
        </w:trPr>
        <w:tc>
          <w:tcPr>
            <w:tcW w:type="dxa" w:w="15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46–75 день</w:t>
            </w:r>
          </w:p>
        </w:tc>
        <w:tc>
          <w:tcPr>
            <w:tcW w:type="dxa" w:w="21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Сценарии</w:t>
            </w:r>
          </w:p>
        </w:tc>
        <w:tc>
          <w:tcPr>
            <w:tcW w:type="dxa" w:w="61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Базовый, целевой и стрессовый сценарии; научная и ведомственная проверка</w:t>
            </w:r>
          </w:p>
        </w:tc>
      </w:tr>
      <w:tr>
        <w:trPr>
          <w:cantSplit w:val="true"/>
        </w:trPr>
        <w:tc>
          <w:tcPr>
            <w:tcW w:type="dxa" w:w="15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76–90 день</w:t>
            </w:r>
          </w:p>
        </w:tc>
        <w:tc>
          <w:tcPr>
            <w:tcW w:type="dxa" w:w="21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Решение</w:t>
            </w:r>
          </w:p>
        </w:tc>
        <w:tc>
          <w:tcPr>
            <w:tcW w:type="dxa" w:w="61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Итоговый доклад, балансовая записка, паспорт ECO-PPA, решение о следующем шаге</w:t>
            </w:r>
          </w:p>
        </w:tc>
      </w:tr>
    </w:tbl>
    <w:p>
      <w:pPr>
        <w:spacing w:before="0" w:after="60"/>
      </w:pPr>
    </w:p>
    <w:p>
      <w:pPr>
        <w:pStyle w:val="Heading3"/>
        <w:keepNext/>
      </w:pPr>
      <w:r>
        <w:t>Результаты ступени А</w:t>
      </w:r>
    </w:p>
    <w:p>
      <w:pPr>
        <w:numPr>
          <w:ilvl w:val="0"/>
          <w:numId w:val="90"/>
        </w:numPr>
        <w:spacing w:after="80" w:line="264" w:lineRule="auto"/>
      </w:pPr>
      <w:r>
        <w:rPr>
          <w:rFonts w:ascii="Arial" w:hAnsi="Arial" w:eastAsia="Arial"/>
          <w:b w:val="0"/>
          <w:i w:val="0"/>
          <w:color w:val="1F2933"/>
          <w:sz w:val="21"/>
        </w:rPr>
        <w:t>паспорта выбранных балансов и каталог источников данных;</w:t>
      </w:r>
    </w:p>
    <w:p>
      <w:pPr>
        <w:numPr>
          <w:ilvl w:val="0"/>
          <w:numId w:val="90"/>
        </w:numPr>
        <w:spacing w:after="80" w:line="264" w:lineRule="auto"/>
      </w:pPr>
      <w:r>
        <w:rPr>
          <w:rFonts w:ascii="Arial" w:hAnsi="Arial" w:eastAsia="Arial"/>
          <w:b w:val="0"/>
          <w:i w:val="0"/>
          <w:color w:val="1F2933"/>
          <w:sz w:val="21"/>
        </w:rPr>
        <w:t>межотраслевая карта зависимостей и не менее трёх сценариев;</w:t>
      </w:r>
    </w:p>
    <w:p>
      <w:pPr>
        <w:numPr>
          <w:ilvl w:val="0"/>
          <w:numId w:val="90"/>
        </w:numPr>
        <w:spacing w:after="80" w:line="264" w:lineRule="auto"/>
      </w:pPr>
      <w:r>
        <w:rPr>
          <w:rFonts w:ascii="Arial" w:hAnsi="Arial" w:eastAsia="Arial"/>
          <w:b w:val="0"/>
          <w:i w:val="0"/>
          <w:color w:val="1F2933"/>
          <w:sz w:val="21"/>
        </w:rPr>
        <w:t>5–10 измеримых диспропорций с причинами и вариантами реагирования;</w:t>
      </w:r>
    </w:p>
    <w:p>
      <w:pPr>
        <w:numPr>
          <w:ilvl w:val="0"/>
          <w:numId w:val="90"/>
        </w:numPr>
        <w:spacing w:after="80" w:line="264" w:lineRule="auto"/>
      </w:pPr>
      <w:r>
        <w:rPr>
          <w:rFonts w:ascii="Arial" w:hAnsi="Arial" w:eastAsia="Arial"/>
          <w:b w:val="0"/>
          <w:i w:val="0"/>
          <w:color w:val="1F2933"/>
          <w:sz w:val="21"/>
        </w:rPr>
        <w:t>проект паспорта ECO-PPA и предварительное техническое задание;</w:t>
      </w:r>
    </w:p>
    <w:p>
      <w:pPr>
        <w:numPr>
          <w:ilvl w:val="0"/>
          <w:numId w:val="90"/>
        </w:numPr>
        <w:spacing w:after="80" w:line="264" w:lineRule="auto"/>
      </w:pPr>
      <w:r>
        <w:rPr>
          <w:rFonts w:ascii="Arial" w:hAnsi="Arial" w:eastAsia="Arial"/>
          <w:b w:val="0"/>
          <w:i w:val="0"/>
          <w:color w:val="1F2933"/>
          <w:sz w:val="21"/>
        </w:rPr>
        <w:t>заключение: прекратить, доработать или готовить 12-месячный пилот.</w:t>
      </w:r>
    </w:p>
    <w:p>
      <w:pPr>
        <w:pStyle w:val="Heading2"/>
        <w:keepNext/>
      </w:pPr>
      <w:r>
        <w:t>8.2. Ступень Б — 12-месячный территориальный ECO-PPA-пилот</w:t>
      </w:r>
    </w:p>
    <w:p>
      <w:pPr>
        <w:spacing w:before="0" w:after="100" w:line="264" w:lineRule="auto"/>
      </w:pPr>
      <w:r>
        <w:rPr>
          <w:rFonts w:ascii="Arial" w:hAnsi="Arial" w:eastAsia="Arial"/>
          <w:b w:val="0"/>
          <w:i w:val="0"/>
          <w:color w:val="1F2933"/>
          <w:sz w:val="22"/>
        </w:rPr>
        <w:t>Ступень Б начинается только после G1–G2: ТЭО, правовой и технической экспертизы, выбора площадки, определения заказчика и источников финансирования, требований информационной безопасности и проведения предусмотренных процедур закупки.</w:t>
      </w:r>
    </w:p>
    <w:tbl>
      <w:tblPr>
        <w:tblStyle w:val="TableGrid"/>
        <w:tblW w:type="dxa" w:w="9750"/>
        <w:tblLayout w:type="fixed"/>
        <w:tblLook w:firstColumn="1" w:firstRow="1" w:lastColumn="0" w:lastRow="0" w:noHBand="0" w:noVBand="1" w:val="04A0"/>
        <w:jc w:val="left"/>
        <w:tblInd w:w="120" w:type="dxa"/>
      </w:tblPr>
      <w:tblGrid>
        <w:gridCol w:w="1500"/>
        <w:gridCol w:w="2400"/>
        <w:gridCol w:w="5850"/>
      </w:tblGrid>
      <w:tr>
        <w:trPr>
          <w:tblHeader w:val="true"/>
          <w:cantSplit w:val="true"/>
        </w:trPr>
        <w:tc>
          <w:tcPr>
            <w:tcW w:type="dxa" w:w="150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7"/>
              </w:rPr>
              <w:t>Срок</w:t>
            </w:r>
          </w:p>
        </w:tc>
        <w:tc>
          <w:tcPr>
            <w:tcW w:type="dxa" w:w="240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7"/>
              </w:rPr>
              <w:t>Этап</w:t>
            </w:r>
          </w:p>
        </w:tc>
        <w:tc>
          <w:tcPr>
            <w:tcW w:type="dxa" w:w="585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7"/>
              </w:rPr>
              <w:t>Результат</w:t>
            </w:r>
          </w:p>
        </w:tc>
      </w:tr>
      <w:tr>
        <w:trPr>
          <w:cantSplit w:val="true"/>
        </w:trPr>
        <w:tc>
          <w:tcPr>
            <w:tcW w:type="dxa" w:w="15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Месяцы 1–2</w:t>
            </w:r>
          </w:p>
        </w:tc>
        <w:tc>
          <w:tcPr>
            <w:tcW w:type="dxa" w:w="24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Организация и обследование</w:t>
            </w:r>
          </w:p>
        </w:tc>
        <w:tc>
          <w:tcPr>
            <w:tcW w:type="dxa" w:w="58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Паспорт, площадка, рабочая группа, baseline, ТЗ, правовой режим данных</w:t>
            </w:r>
          </w:p>
        </w:tc>
      </w:tr>
      <w:tr>
        <w:trPr>
          <w:cantSplit w:val="true"/>
        </w:trPr>
        <w:tc>
          <w:tcPr>
            <w:tcW w:type="dxa" w:w="15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Месяцы 3–4</w:t>
            </w:r>
          </w:p>
        </w:tc>
        <w:tc>
          <w:tcPr>
            <w:tcW w:type="dxa" w:w="24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Методология и проектирование</w:t>
            </w:r>
          </w:p>
        </w:tc>
        <w:tc>
          <w:tcPr>
            <w:tcW w:type="dxa" w:w="58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19 паспортов, реестр до 260 показателей, ТЭО, проектные решения</w:t>
            </w:r>
          </w:p>
        </w:tc>
      </w:tr>
      <w:tr>
        <w:trPr>
          <w:cantSplit w:val="true"/>
        </w:trPr>
        <w:tc>
          <w:tcPr>
            <w:tcW w:type="dxa" w:w="15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Месяцы 5–8</w:t>
            </w:r>
          </w:p>
        </w:tc>
        <w:tc>
          <w:tcPr>
            <w:tcW w:type="dxa" w:w="24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Развёртывание</w:t>
            </w:r>
          </w:p>
        </w:tc>
        <w:tc>
          <w:tcPr>
            <w:tcW w:type="dxa" w:w="58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Мониторинг, мини-генерация, телеметрия, интеграция разрешённых данных, испытания</w:t>
            </w:r>
          </w:p>
        </w:tc>
      </w:tr>
      <w:tr>
        <w:trPr>
          <w:cantSplit w:val="true"/>
        </w:trPr>
        <w:tc>
          <w:tcPr>
            <w:tcW w:type="dxa" w:w="15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Месяцы 9–10</w:t>
            </w:r>
          </w:p>
        </w:tc>
        <w:tc>
          <w:tcPr>
            <w:tcW w:type="dxa" w:w="24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Сценарии и вмешательства</w:t>
            </w:r>
          </w:p>
        </w:tc>
        <w:tc>
          <w:tcPr>
            <w:tcW w:type="dxa" w:w="58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Базовый, целевой, стрессовый сценарии; 2–3 управляемых вмешательства</w:t>
            </w:r>
          </w:p>
        </w:tc>
      </w:tr>
      <w:tr>
        <w:trPr>
          <w:cantSplit w:val="true"/>
        </w:trPr>
        <w:tc>
          <w:tcPr>
            <w:tcW w:type="dxa" w:w="15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Месяцы 11–12</w:t>
            </w:r>
          </w:p>
        </w:tc>
        <w:tc>
          <w:tcPr>
            <w:tcW w:type="dxa" w:w="24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Верификация</w:t>
            </w:r>
          </w:p>
        </w:tc>
        <w:tc>
          <w:tcPr>
            <w:tcW w:type="dxa" w:w="58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Независимая оценка, фактические затраты и эффекты, решение о завершении или тиражировании</w:t>
            </w:r>
          </w:p>
        </w:tc>
      </w:tr>
    </w:tbl>
    <w:p>
      <w:pPr>
        <w:spacing w:before="0" w:after="60"/>
      </w:pPr>
    </w:p>
    <w:p>
      <w:pPr>
        <w:pStyle w:val="Heading2"/>
        <w:keepNext/>
      </w:pPr>
      <w:r>
        <w:t>8.3. Критерии территории</w:t>
      </w:r>
    </w:p>
    <w:p>
      <w:pPr>
        <w:numPr>
          <w:ilvl w:val="0"/>
          <w:numId w:val="90"/>
        </w:numPr>
        <w:spacing w:after="80" w:line="264" w:lineRule="auto"/>
      </w:pPr>
      <w:r>
        <w:rPr>
          <w:rFonts w:ascii="Arial" w:hAnsi="Arial" w:eastAsia="Arial"/>
          <w:b w:val="0"/>
          <w:i w:val="0"/>
          <w:color w:val="1F2933"/>
          <w:sz w:val="21"/>
        </w:rPr>
        <w:t>сочетание жилой, природной, транспортной и производственной зон;</w:t>
      </w:r>
    </w:p>
    <w:p>
      <w:pPr>
        <w:numPr>
          <w:ilvl w:val="0"/>
          <w:numId w:val="90"/>
        </w:numPr>
        <w:spacing w:after="80" w:line="264" w:lineRule="auto"/>
      </w:pPr>
      <w:r>
        <w:rPr>
          <w:rFonts w:ascii="Arial" w:hAnsi="Arial" w:eastAsia="Arial"/>
          <w:b w:val="0"/>
          <w:i w:val="0"/>
          <w:color w:val="1F2933"/>
          <w:sz w:val="21"/>
        </w:rPr>
        <w:t>наличие фоновой точки и чувствительных объектов;</w:t>
      </w:r>
    </w:p>
    <w:p>
      <w:pPr>
        <w:numPr>
          <w:ilvl w:val="0"/>
          <w:numId w:val="90"/>
        </w:numPr>
        <w:spacing w:after="80" w:line="264" w:lineRule="auto"/>
      </w:pPr>
      <w:r>
        <w:rPr>
          <w:rFonts w:ascii="Arial" w:hAnsi="Arial" w:eastAsia="Arial"/>
          <w:b w:val="0"/>
          <w:i w:val="0"/>
          <w:color w:val="1F2933"/>
          <w:sz w:val="21"/>
        </w:rPr>
        <w:t>готовность региональных и муниципальных органов участвовать без предварительного обязательства финансирования;</w:t>
      </w:r>
    </w:p>
    <w:p>
      <w:pPr>
        <w:numPr>
          <w:ilvl w:val="0"/>
          <w:numId w:val="90"/>
        </w:numPr>
        <w:spacing w:after="80" w:line="264" w:lineRule="auto"/>
      </w:pPr>
      <w:r>
        <w:rPr>
          <w:rFonts w:ascii="Arial" w:hAnsi="Arial" w:eastAsia="Arial"/>
          <w:b w:val="0"/>
          <w:i w:val="0"/>
          <w:color w:val="1F2933"/>
          <w:sz w:val="21"/>
        </w:rPr>
        <w:t>доступность лабораторного и метрологического партнёра;</w:t>
      </w:r>
    </w:p>
    <w:p>
      <w:pPr>
        <w:numPr>
          <w:ilvl w:val="0"/>
          <w:numId w:val="90"/>
        </w:numPr>
        <w:spacing w:after="80" w:line="264" w:lineRule="auto"/>
      </w:pPr>
      <w:r>
        <w:rPr>
          <w:rFonts w:ascii="Arial" w:hAnsi="Arial" w:eastAsia="Arial"/>
          <w:b w:val="0"/>
          <w:i w:val="0"/>
          <w:color w:val="1F2933"/>
          <w:sz w:val="21"/>
        </w:rPr>
        <w:t>возможность сформировать контрольную зону и сезонный 12-месячный цикл;</w:t>
      </w:r>
    </w:p>
    <w:p>
      <w:pPr>
        <w:numPr>
          <w:ilvl w:val="0"/>
          <w:numId w:val="90"/>
        </w:numPr>
        <w:spacing w:after="80" w:line="264" w:lineRule="auto"/>
      </w:pPr>
      <w:r>
        <w:rPr>
          <w:rFonts w:ascii="Arial" w:hAnsi="Arial" w:eastAsia="Arial"/>
          <w:b w:val="0"/>
          <w:i w:val="0"/>
          <w:color w:val="1F2933"/>
          <w:sz w:val="21"/>
        </w:rPr>
        <w:t>подтверждённые условия технологического присоединения и эксплуатации мини-генерации.</w:t>
      </w:r>
    </w:p>
    <w:p>
      <w:pPr>
        <w:spacing w:before="0" w:after="100" w:line="264" w:lineRule="auto"/>
      </w:pPr>
      <w:r>
        <w:rPr>
          <w:rFonts w:ascii="Arial" w:hAnsi="Arial" w:eastAsia="Arial"/>
          <w:b w:val="0"/>
          <w:i/>
          <w:color w:val="5B6573"/>
          <w:sz w:val="20"/>
        </w:rPr>
        <w:t>Ранее предложенный контур Сызрань — Рамено — Смолькино может рассматриваться только после проверки юридического статуса территорий, официальной заинтересованности участников и корректности географических наименований.</w:t>
      </w:r>
    </w:p>
    <w:p>
      <w:pPr>
        <w:pStyle w:val="Heading1"/>
        <w:keepNext/>
      </w:pPr>
      <w:r>
        <w:t>9. Предварительная финансовая рамка</w:t>
      </w:r>
    </w:p>
    <w:p>
      <w:pPr>
        <w:spacing w:before="140" w:after="160" w:line="259" w:lineRule="auto"/>
        <w:ind w:left="198" w:right="113"/>
        <w:shd w:fill="F7F1E5"/>
        <w:keepLines/>
        <w:pBdr>
          <w:left w:val="single" w:sz="18" w:space="8" w:color="B58A36"/>
        </w:pBdr>
      </w:pPr>
      <w:r>
        <w:rPr>
          <w:rFonts w:ascii="Arial" w:hAnsi="Arial" w:eastAsia="Arial"/>
          <w:b/>
          <w:i w:val="0"/>
          <w:color w:val="B58A36"/>
          <w:sz w:val="21"/>
        </w:rPr>
        <w:t xml:space="preserve">Ограничение. </w:t>
      </w:r>
      <w:r>
        <w:rPr>
          <w:rFonts w:ascii="Arial" w:hAnsi="Arial" w:eastAsia="Arial"/>
          <w:b w:val="0"/>
          <w:i w:val="0"/>
          <w:color w:val="1F2933"/>
          <w:sz w:val="21"/>
        </w:rPr>
        <w:t>Оценка до 260,0 млн руб. не является бюджетным обязательством, сметой или просьбой о выделении средств. Она подлежит уточнению по итогам ТЭО, обследования и определения правового механизма закупки и финансирования.</w:t>
      </w:r>
    </w:p>
    <w:tbl>
      <w:tblPr>
        <w:tblStyle w:val="TableGrid"/>
        <w:tblW w:type="dxa" w:w="9750"/>
        <w:tblLayout w:type="fixed"/>
        <w:tblLook w:firstColumn="1" w:firstRow="1" w:lastColumn="0" w:lastRow="0" w:noHBand="0" w:noVBand="1" w:val="04A0"/>
        <w:jc w:val="left"/>
        <w:tblInd w:w="120" w:type="dxa"/>
      </w:tblPr>
      <w:tblGrid>
        <w:gridCol w:w="3000"/>
        <w:gridCol w:w="1750"/>
        <w:gridCol w:w="5000"/>
      </w:tblGrid>
      <w:tr>
        <w:trPr>
          <w:tblHeader w:val="true"/>
          <w:cantSplit w:val="true"/>
        </w:trPr>
        <w:tc>
          <w:tcPr>
            <w:tcW w:type="dxa" w:w="300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7"/>
              </w:rPr>
              <w:t>Контур</w:t>
            </w:r>
          </w:p>
        </w:tc>
        <w:tc>
          <w:tcPr>
            <w:tcW w:type="dxa" w:w="175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7"/>
              </w:rPr>
              <w:t>Ориентир</w:t>
            </w:r>
          </w:p>
        </w:tc>
        <w:tc>
          <w:tcPr>
            <w:tcW w:type="dxa" w:w="500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7"/>
              </w:rPr>
              <w:t>Что требуется раскрыть</w:t>
            </w:r>
          </w:p>
        </w:tc>
      </w:tr>
      <w:tr>
        <w:trPr>
          <w:cantSplit w:val="true"/>
        </w:trPr>
        <w:tc>
          <w:tcPr>
            <w:tcW w:type="dxa" w:w="30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Экологический технологический контур</w:t>
            </w:r>
          </w:p>
        </w:tc>
        <w:tc>
          <w:tcPr>
            <w:tcW w:type="dxa" w:w="17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до 130,0 млн руб.</w:t>
            </w:r>
          </w:p>
        </w:tc>
        <w:tc>
          <w:tcPr>
            <w:tcW w:type="dxa" w:w="50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НИОКР/проектирование; оборудование; монтаж; ПО и данные; метрология; испытания; обучение; резерв</w:t>
            </w:r>
          </w:p>
        </w:tc>
      </w:tr>
      <w:tr>
        <w:trPr>
          <w:cantSplit w:val="true"/>
        </w:trPr>
        <w:tc>
          <w:tcPr>
            <w:tcW w:type="dxa" w:w="30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Распределённая мини-генерация</w:t>
            </w:r>
          </w:p>
        </w:tc>
        <w:tc>
          <w:tcPr>
            <w:tcW w:type="dxa" w:w="17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до 130,0 млн руб.</w:t>
            </w:r>
          </w:p>
        </w:tc>
        <w:tc>
          <w:tcPr>
            <w:tcW w:type="dxa" w:w="50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Проектирование; оборудование; подключение; управление и телеметрия; пусконаладка; разрешения; обучение; резерв</w:t>
            </w:r>
          </w:p>
        </w:tc>
      </w:tr>
      <w:tr>
        <w:trPr>
          <w:cantSplit w:val="true"/>
        </w:trPr>
        <w:tc>
          <w:tcPr>
            <w:tcW w:type="dxa" w:w="30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Итого</w:t>
            </w:r>
          </w:p>
        </w:tc>
        <w:tc>
          <w:tcPr>
            <w:tcW w:type="dxa" w:w="17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до 260,0 млн руб.</w:t>
            </w:r>
          </w:p>
        </w:tc>
        <w:tc>
          <w:tcPr>
            <w:tcW w:type="dxa" w:w="50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Структура, НДС, CAPEX/OPEX и полная стоимость владения уточняются ТЭО</w:t>
            </w:r>
          </w:p>
        </w:tc>
      </w:tr>
    </w:tbl>
    <w:p>
      <w:pPr>
        <w:spacing w:before="0" w:after="60"/>
      </w:pPr>
    </w:p>
    <w:p>
      <w:pPr>
        <w:pStyle w:val="Heading2"/>
        <w:keepNext/>
      </w:pPr>
      <w:r>
        <w:t>9.1. Требования к ТЭО</w:t>
      </w:r>
    </w:p>
    <w:p>
      <w:pPr>
        <w:numPr>
          <w:ilvl w:val="0"/>
          <w:numId w:val="90"/>
        </w:numPr>
        <w:spacing w:after="80" w:line="264" w:lineRule="auto"/>
      </w:pPr>
      <w:r>
        <w:rPr>
          <w:rFonts w:ascii="Arial" w:hAnsi="Arial" w:eastAsia="Arial"/>
          <w:b w:val="0"/>
          <w:i w:val="0"/>
          <w:color w:val="1F2933"/>
          <w:sz w:val="21"/>
        </w:rPr>
        <w:t>обоснование состава и количества объектов;</w:t>
      </w:r>
    </w:p>
    <w:p>
      <w:pPr>
        <w:numPr>
          <w:ilvl w:val="0"/>
          <w:numId w:val="90"/>
        </w:numPr>
        <w:spacing w:after="80" w:line="264" w:lineRule="auto"/>
      </w:pPr>
      <w:r>
        <w:rPr>
          <w:rFonts w:ascii="Arial" w:hAnsi="Arial" w:eastAsia="Arial"/>
          <w:b w:val="0"/>
          <w:i w:val="0"/>
          <w:color w:val="1F2933"/>
          <w:sz w:val="21"/>
        </w:rPr>
        <w:t>разделение НИОКР, проектирования, оборудования, СМР, ПО, испытаний и резерва;</w:t>
      </w:r>
    </w:p>
    <w:p>
      <w:pPr>
        <w:numPr>
          <w:ilvl w:val="0"/>
          <w:numId w:val="90"/>
        </w:numPr>
        <w:spacing w:after="80" w:line="264" w:lineRule="auto"/>
      </w:pPr>
      <w:r>
        <w:rPr>
          <w:rFonts w:ascii="Arial" w:hAnsi="Arial" w:eastAsia="Arial"/>
          <w:b w:val="0"/>
          <w:i w:val="0"/>
          <w:color w:val="1F2933"/>
          <w:sz w:val="21"/>
        </w:rPr>
        <w:t>не менее трёх коммерческих предложений или иной проверяемый сметный расчёт;</w:t>
      </w:r>
    </w:p>
    <w:p>
      <w:pPr>
        <w:numPr>
          <w:ilvl w:val="0"/>
          <w:numId w:val="90"/>
        </w:numPr>
        <w:spacing w:after="80" w:line="264" w:lineRule="auto"/>
      </w:pPr>
      <w:r>
        <w:rPr>
          <w:rFonts w:ascii="Arial" w:hAnsi="Arial" w:eastAsia="Arial"/>
          <w:b w:val="0"/>
          <w:i w:val="0"/>
          <w:color w:val="1F2933"/>
          <w:sz w:val="21"/>
        </w:rPr>
        <w:t>CAPEX, ежегодный OPEX и полная стоимость владения минимум на три года;</w:t>
      </w:r>
    </w:p>
    <w:p>
      <w:pPr>
        <w:numPr>
          <w:ilvl w:val="0"/>
          <w:numId w:val="90"/>
        </w:numPr>
        <w:spacing w:after="80" w:line="264" w:lineRule="auto"/>
      </w:pPr>
      <w:r>
        <w:rPr>
          <w:rFonts w:ascii="Arial" w:hAnsi="Arial" w:eastAsia="Arial"/>
          <w:b w:val="0"/>
          <w:i w:val="0"/>
          <w:color w:val="1F2933"/>
          <w:sz w:val="21"/>
        </w:rPr>
        <w:t>источники финансирования и распределение рисков;</w:t>
      </w:r>
    </w:p>
    <w:p>
      <w:pPr>
        <w:numPr>
          <w:ilvl w:val="0"/>
          <w:numId w:val="90"/>
        </w:numPr>
        <w:spacing w:after="80" w:line="264" w:lineRule="auto"/>
      </w:pPr>
      <w:r>
        <w:rPr>
          <w:rFonts w:ascii="Arial" w:hAnsi="Arial" w:eastAsia="Arial"/>
          <w:b w:val="0"/>
          <w:i w:val="0"/>
          <w:color w:val="1F2933"/>
          <w:sz w:val="21"/>
        </w:rPr>
        <w:t>правовой механизм закупки, подключения, эксплуатации и передачи результата;</w:t>
      </w:r>
    </w:p>
    <w:p>
      <w:pPr>
        <w:numPr>
          <w:ilvl w:val="0"/>
          <w:numId w:val="90"/>
        </w:numPr>
        <w:spacing w:after="80" w:line="264" w:lineRule="auto"/>
      </w:pPr>
      <w:r>
        <w:rPr>
          <w:rFonts w:ascii="Arial" w:hAnsi="Arial" w:eastAsia="Arial"/>
          <w:b w:val="0"/>
          <w:i w:val="0"/>
          <w:color w:val="1F2933"/>
          <w:sz w:val="21"/>
        </w:rPr>
        <w:t>оценка зависимости от одного поставщика и переносимости данных.</w:t>
      </w:r>
    </w:p>
    <w:p>
      <w:pPr>
        <w:pStyle w:val="Heading2"/>
        <w:keepNext/>
      </w:pPr>
      <w:r>
        <w:t>9.2. Возможные источники</w:t>
      </w:r>
    </w:p>
    <w:p>
      <w:pPr>
        <w:spacing w:before="0" w:after="100" w:line="264" w:lineRule="auto"/>
      </w:pPr>
      <w:r>
        <w:rPr>
          <w:rFonts w:ascii="Arial" w:hAnsi="Arial" w:eastAsia="Arial"/>
          <w:b w:val="0"/>
          <w:i w:val="0"/>
          <w:color w:val="1F2933"/>
          <w:sz w:val="22"/>
        </w:rPr>
        <w:t>Внебюджетные инвестиции, средства участников, региональные программы и иные законные источники могут рассматриваться только после подтверждения правовых оснований и готовности сторон. Федеральное бюджетное софинансирование заранее не предполагается.</w:t>
      </w:r>
    </w:p>
    <w:p>
      <w:pPr>
        <w:pStyle w:val="Heading1"/>
        <w:keepNext/>
      </w:pPr>
      <w:r>
        <w:t>10. KPI и доказательность</w:t>
      </w:r>
    </w:p>
    <w:p>
      <w:pPr>
        <w:spacing w:before="0" w:after="100" w:line="264" w:lineRule="auto"/>
      </w:pPr>
      <w:r>
        <w:rPr>
          <w:rFonts w:ascii="Arial" w:hAnsi="Arial" w:eastAsia="Arial"/>
          <w:b w:val="0"/>
          <w:i w:val="0"/>
          <w:color w:val="1F2933"/>
          <w:sz w:val="22"/>
        </w:rPr>
        <w:t>Каждый KPI должен иметь формулу, единицу измерения, baseline, целевое значение, источник, периодичность и владельца данных. Цели по экономии, выбросам и окупаемости устанавливаются после фиксации исходного уровня и не изменяются ретроспективно.</w:t>
      </w:r>
    </w:p>
    <w:tbl>
      <w:tblPr>
        <w:tblStyle w:val="TableGrid"/>
        <w:tblW w:type="dxa" w:w="9750"/>
        <w:tblLayout w:type="fixed"/>
        <w:tblLook w:firstColumn="1" w:firstRow="1" w:lastColumn="0" w:lastRow="0" w:noHBand="0" w:noVBand="1" w:val="04A0"/>
        <w:jc w:val="left"/>
        <w:tblInd w:w="120" w:type="dxa"/>
      </w:tblPr>
      <w:tblGrid>
        <w:gridCol w:w="2550"/>
        <w:gridCol w:w="7200"/>
      </w:tblGrid>
      <w:tr>
        <w:trPr>
          <w:tblHeader w:val="true"/>
          <w:cantSplit w:val="true"/>
        </w:trPr>
        <w:tc>
          <w:tcPr>
            <w:tcW w:type="dxa" w:w="255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7"/>
              </w:rPr>
              <w:t>Группа</w:t>
            </w:r>
          </w:p>
        </w:tc>
        <w:tc>
          <w:tcPr>
            <w:tcW w:type="dxa" w:w="720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7"/>
              </w:rPr>
              <w:t>Показатель / критерий</w:t>
            </w:r>
          </w:p>
        </w:tc>
      </w:tr>
      <w:tr>
        <w:trPr>
          <w:cantSplit w:val="true"/>
        </w:trPr>
        <w:tc>
          <w:tcPr>
            <w:tcW w:type="dxa" w:w="25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Паспортизация</w:t>
            </w:r>
          </w:p>
        </w:tc>
        <w:tc>
          <w:tcPr>
            <w:tcW w:type="dxa" w:w="7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19/19 паспортов к 3-му месяцу полного пилота</w:t>
            </w:r>
          </w:p>
        </w:tc>
      </w:tr>
      <w:tr>
        <w:trPr>
          <w:cantSplit w:val="true"/>
        </w:trPr>
        <w:tc>
          <w:tcPr>
            <w:tcW w:type="dxa" w:w="25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Каталог данных</w:t>
            </w:r>
          </w:p>
        </w:tc>
        <w:tc>
          <w:tcPr>
            <w:tcW w:type="dxa" w:w="72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100% обязательных показателей имеют источник, единицу, периодичность и правило пересмотра</w:t>
            </w:r>
          </w:p>
        </w:tc>
      </w:tr>
      <w:tr>
        <w:trPr>
          <w:cantSplit w:val="true"/>
        </w:trPr>
        <w:tc>
          <w:tcPr>
            <w:tcW w:type="dxa" w:w="25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Без новой отчётности</w:t>
            </w:r>
          </w:p>
        </w:tc>
        <w:tc>
          <w:tcPr>
            <w:tcW w:type="dxa" w:w="7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Не менее 85% показателей формируются из действующих данных</w:t>
            </w:r>
          </w:p>
        </w:tc>
      </w:tr>
      <w:tr>
        <w:trPr>
          <w:cantSplit w:val="true"/>
        </w:trPr>
        <w:tc>
          <w:tcPr>
            <w:tcW w:type="dxa" w:w="25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Качество данных</w:t>
            </w:r>
          </w:p>
        </w:tc>
        <w:tc>
          <w:tcPr>
            <w:tcW w:type="dxa" w:w="72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Cdata не ниже 0,85; расхождения свыше 5% объяснены протоколом</w:t>
            </w:r>
          </w:p>
        </w:tc>
      </w:tr>
      <w:tr>
        <w:trPr>
          <w:cantSplit w:val="true"/>
        </w:trPr>
        <w:tc>
          <w:tcPr>
            <w:tcW w:type="dxa" w:w="25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Сценарии</w:t>
            </w:r>
          </w:p>
        </w:tc>
        <w:tc>
          <w:tcPr>
            <w:tcW w:type="dxa" w:w="7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Базовый, стрессовый и целевой сценарии по каждой демонстрационной цепочке</w:t>
            </w:r>
          </w:p>
        </w:tc>
      </w:tr>
      <w:tr>
        <w:trPr>
          <w:cantSplit w:val="true"/>
        </w:trPr>
        <w:tc>
          <w:tcPr>
            <w:tcW w:type="dxa" w:w="25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Раннее предупреждение</w:t>
            </w:r>
          </w:p>
        </w:tc>
        <w:tc>
          <w:tcPr>
            <w:tcW w:type="dxa" w:w="72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Для 100% красных зон определены причина, срок и не менее двух вариантов реагирования</w:t>
            </w:r>
          </w:p>
        </w:tc>
      </w:tr>
      <w:tr>
        <w:trPr>
          <w:cantSplit w:val="true"/>
        </w:trPr>
        <w:tc>
          <w:tcPr>
            <w:tcW w:type="dxa" w:w="25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Поддержка решений</w:t>
            </w:r>
          </w:p>
        </w:tc>
        <w:tc>
          <w:tcPr>
            <w:tcW w:type="dxa" w:w="7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Не менее 5 проектов рассмотрены с балансовой запиской</w:t>
            </w:r>
          </w:p>
        </w:tc>
      </w:tr>
      <w:tr>
        <w:trPr>
          <w:cantSplit w:val="true"/>
        </w:trPr>
        <w:tc>
          <w:tcPr>
            <w:tcW w:type="dxa" w:w="25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Аудируемость</w:t>
            </w:r>
          </w:p>
        </w:tc>
        <w:tc>
          <w:tcPr>
            <w:tcW w:type="dxa" w:w="72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100% расчётов воспроизводимы; ручные корректировки обоснованы и версионированы</w:t>
            </w:r>
          </w:p>
        </w:tc>
      </w:tr>
      <w:tr>
        <w:trPr>
          <w:cantSplit w:val="true"/>
        </w:trPr>
        <w:tc>
          <w:tcPr>
            <w:tcW w:type="dxa" w:w="25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Финансовая дисциплина</w:t>
            </w:r>
          </w:p>
        </w:tc>
        <w:tc>
          <w:tcPr>
            <w:tcW w:type="dxa" w:w="7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Отклонение CAPEX от утверждённого лимита — в пределах, заданных паспортом пилота</w:t>
            </w:r>
          </w:p>
        </w:tc>
      </w:tr>
      <w:tr>
        <w:trPr>
          <w:cantSplit w:val="true"/>
        </w:trPr>
        <w:tc>
          <w:tcPr>
            <w:tcW w:type="dxa" w:w="25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Техника</w:t>
            </w:r>
          </w:p>
        </w:tc>
        <w:tc>
          <w:tcPr>
            <w:tcW w:type="dxa" w:w="72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Доступность оборудования, доля валидных данных, время восстановления и инциденты — по ТЗ</w:t>
            </w:r>
          </w:p>
        </w:tc>
      </w:tr>
      <w:tr>
        <w:trPr>
          <w:cantSplit w:val="true"/>
        </w:trPr>
        <w:tc>
          <w:tcPr>
            <w:tcW w:type="dxa" w:w="25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Экология</w:t>
            </w:r>
          </w:p>
        </w:tc>
        <w:tc>
          <w:tcPr>
            <w:tcW w:type="dxa" w:w="7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Изменение конкретных загрязнителей/ресурсопотребления относительно baseline и контрольной зоны</w:t>
            </w:r>
          </w:p>
        </w:tc>
      </w:tr>
      <w:tr>
        <w:trPr>
          <w:cantSplit w:val="true"/>
        </w:trPr>
        <w:tc>
          <w:tcPr>
            <w:tcW w:type="dxa" w:w="25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Энергетика</w:t>
            </w:r>
          </w:p>
        </w:tc>
        <w:tc>
          <w:tcPr>
            <w:tcW w:type="dxa" w:w="72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Доступная мощность, выработка, КИУМ, сетевое потребление и стоимость — по утверждённой методике</w:t>
            </w:r>
          </w:p>
        </w:tc>
      </w:tr>
      <w:tr>
        <w:trPr>
          <w:cantSplit w:val="true"/>
        </w:trPr>
        <w:tc>
          <w:tcPr>
            <w:tcW w:type="dxa" w:w="25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Финальное решение</w:t>
            </w:r>
          </w:p>
        </w:tc>
        <w:tc>
          <w:tcPr>
            <w:tcW w:type="dxa" w:w="7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Независимый отчёт и выбор: масштабировать, доработать или прекратить</w:t>
            </w:r>
          </w:p>
        </w:tc>
      </w:tr>
    </w:tbl>
    <w:p>
      <w:pPr>
        <w:spacing w:before="0" w:after="60"/>
      </w:pPr>
    </w:p>
    <w:p>
      <w:pPr>
        <w:pStyle w:val="Heading1"/>
        <w:keepNext/>
      </w:pPr>
      <w:r>
        <w:t>11. Данные, безопасность и совместимость</w:t>
      </w:r>
    </w:p>
    <w:p>
      <w:pPr>
        <w:spacing w:before="0" w:after="100" w:line="264" w:lineRule="auto"/>
      </w:pPr>
      <w:r>
        <w:rPr>
          <w:rFonts w:ascii="Arial" w:hAnsi="Arial" w:eastAsia="Arial"/>
          <w:b w:val="0"/>
          <w:i w:val="0"/>
          <w:color w:val="1F2933"/>
          <w:sz w:val="22"/>
        </w:rPr>
        <w:t>Архитектура строится по принципу минимально необходимого доступа. До интеграции определяется состав данных, владельцы, правовые основания обработки, режим доступа, требования к хранению, журналированию, обезличиванию и уничтожению. Персональные данные, информация ограниченного доступа и сведения о критической инфраструктуре используются только при наличии законных оснований и соответствующих мер защиты.</w:t>
      </w:r>
    </w:p>
    <w:p>
      <w:pPr>
        <w:pStyle w:val="Heading2"/>
        <w:keepNext/>
      </w:pPr>
      <w:r>
        <w:t>11.1. Правовые условия</w:t>
      </w:r>
    </w:p>
    <w:p>
      <w:pPr>
        <w:numPr>
          <w:ilvl w:val="0"/>
          <w:numId w:val="90"/>
        </w:numPr>
        <w:spacing w:after="80" w:line="264" w:lineRule="auto"/>
      </w:pPr>
      <w:r>
        <w:rPr>
          <w:rFonts w:ascii="Arial" w:hAnsi="Arial" w:eastAsia="Arial"/>
          <w:b w:val="0"/>
          <w:i w:val="0"/>
          <w:color w:val="1F2933"/>
          <w:sz w:val="21"/>
        </w:rPr>
        <w:t>учёт требований законодательства об информации, персональных данных и безопасности критической информационной инфраструктуры — при применимости;</w:t>
      </w:r>
    </w:p>
    <w:p>
      <w:pPr>
        <w:numPr>
          <w:ilvl w:val="0"/>
          <w:numId w:val="90"/>
        </w:numPr>
        <w:spacing w:after="80" w:line="264" w:lineRule="auto"/>
      </w:pPr>
      <w:r>
        <w:rPr>
          <w:rFonts w:ascii="Arial" w:hAnsi="Arial" w:eastAsia="Arial"/>
          <w:b w:val="0"/>
          <w:i w:val="0"/>
          <w:color w:val="1F2933"/>
          <w:sz w:val="21"/>
        </w:rPr>
        <w:t>запрет на обещание прямой интеграции с федеральными ГИС до согласования с их операторами;</w:t>
      </w:r>
    </w:p>
    <w:p>
      <w:pPr>
        <w:numPr>
          <w:ilvl w:val="0"/>
          <w:numId w:val="90"/>
        </w:numPr>
        <w:spacing w:after="80" w:line="264" w:lineRule="auto"/>
      </w:pPr>
      <w:r>
        <w:rPr>
          <w:rFonts w:ascii="Arial" w:hAnsi="Arial" w:eastAsia="Arial"/>
          <w:b w:val="0"/>
          <w:i w:val="0"/>
          <w:color w:val="1F2933"/>
          <w:sz w:val="21"/>
        </w:rPr>
        <w:t>отдельная модель угроз и требования к аттестации компонентов — если это требуется;</w:t>
      </w:r>
    </w:p>
    <w:p>
      <w:pPr>
        <w:numPr>
          <w:ilvl w:val="0"/>
          <w:numId w:val="90"/>
        </w:numPr>
        <w:spacing w:after="80" w:line="264" w:lineRule="auto"/>
      </w:pPr>
      <w:r>
        <w:rPr>
          <w:rFonts w:ascii="Arial" w:hAnsi="Arial" w:eastAsia="Arial"/>
          <w:b w:val="0"/>
          <w:i w:val="0"/>
          <w:color w:val="1F2933"/>
          <w:sz w:val="21"/>
        </w:rPr>
        <w:t>разделение открытых, служебных и защищаемых наборов данных;</w:t>
      </w:r>
    </w:p>
    <w:p>
      <w:pPr>
        <w:numPr>
          <w:ilvl w:val="0"/>
          <w:numId w:val="90"/>
        </w:numPr>
        <w:spacing w:after="80" w:line="264" w:lineRule="auto"/>
      </w:pPr>
      <w:r>
        <w:rPr>
          <w:rFonts w:ascii="Arial" w:hAnsi="Arial" w:eastAsia="Arial"/>
          <w:b w:val="0"/>
          <w:i w:val="0"/>
          <w:color w:val="1F2933"/>
          <w:sz w:val="21"/>
        </w:rPr>
        <w:t>версионирование методик, источников, расчётов и прав доступа;</w:t>
      </w:r>
    </w:p>
    <w:p>
      <w:pPr>
        <w:numPr>
          <w:ilvl w:val="0"/>
          <w:numId w:val="90"/>
        </w:numPr>
        <w:spacing w:after="80" w:line="264" w:lineRule="auto"/>
      </w:pPr>
      <w:r>
        <w:rPr>
          <w:rFonts w:ascii="Arial" w:hAnsi="Arial" w:eastAsia="Arial"/>
          <w:b w:val="0"/>
          <w:i w:val="0"/>
          <w:color w:val="1F2933"/>
          <w:sz w:val="21"/>
        </w:rPr>
        <w:t>открытые форматы и возможность переноса данных для снижения зависимости от поставщика.</w:t>
      </w:r>
    </w:p>
    <w:p>
      <w:pPr>
        <w:pStyle w:val="Heading2"/>
        <w:keepNext/>
      </w:pPr>
      <w:r>
        <w:t>11.2. Условия энергетического и экологического контура</w:t>
      </w:r>
    </w:p>
    <w:p>
      <w:pPr>
        <w:numPr>
          <w:ilvl w:val="0"/>
          <w:numId w:val="90"/>
        </w:numPr>
        <w:spacing w:after="80" w:line="264" w:lineRule="auto"/>
      </w:pPr>
      <w:r>
        <w:rPr>
          <w:rFonts w:ascii="Arial" w:hAnsi="Arial" w:eastAsia="Arial"/>
          <w:b w:val="0"/>
          <w:i w:val="0"/>
          <w:color w:val="1F2933"/>
          <w:sz w:val="21"/>
        </w:rPr>
        <w:t>правовой статус объекта генерации, технологическое присоединение, учёт и режим потребления/реализации энергии;</w:t>
      </w:r>
    </w:p>
    <w:p>
      <w:pPr>
        <w:numPr>
          <w:ilvl w:val="0"/>
          <w:numId w:val="90"/>
        </w:numPr>
        <w:spacing w:after="80" w:line="264" w:lineRule="auto"/>
      </w:pPr>
      <w:r>
        <w:rPr>
          <w:rFonts w:ascii="Arial" w:hAnsi="Arial" w:eastAsia="Arial"/>
          <w:b w:val="0"/>
          <w:i w:val="0"/>
          <w:color w:val="1F2933"/>
          <w:sz w:val="21"/>
        </w:rPr>
        <w:t>земельные, градостроительные, экологические и промышленные разрешения;</w:t>
      </w:r>
    </w:p>
    <w:p>
      <w:pPr>
        <w:numPr>
          <w:ilvl w:val="0"/>
          <w:numId w:val="90"/>
        </w:numPr>
        <w:spacing w:after="80" w:line="264" w:lineRule="auto"/>
      </w:pPr>
      <w:r>
        <w:rPr>
          <w:rFonts w:ascii="Arial" w:hAnsi="Arial" w:eastAsia="Arial"/>
          <w:b w:val="0"/>
          <w:i w:val="0"/>
          <w:color w:val="1F2933"/>
          <w:sz w:val="21"/>
        </w:rPr>
        <w:t>сертификация оборудования, метрологическая прослеживаемость, сервис и запасные части;</w:t>
      </w:r>
    </w:p>
    <w:p>
      <w:pPr>
        <w:numPr>
          <w:ilvl w:val="0"/>
          <w:numId w:val="90"/>
        </w:numPr>
        <w:spacing w:after="80" w:line="264" w:lineRule="auto"/>
      </w:pPr>
      <w:r>
        <w:rPr>
          <w:rFonts w:ascii="Arial" w:hAnsi="Arial" w:eastAsia="Arial"/>
          <w:b w:val="0"/>
          <w:i w:val="0"/>
          <w:color w:val="1F2933"/>
          <w:sz w:val="21"/>
        </w:rPr>
        <w:t>контрольная зона, сезонность, лабораторная проверка и причинная связь между вмешательством и эффектом.</w:t>
      </w:r>
    </w:p>
    <w:p>
      <w:pPr>
        <w:pStyle w:val="Heading1"/>
        <w:keepNext/>
      </w:pPr>
      <w:r>
        <w:t>12. Реестр рисков</w:t>
      </w:r>
    </w:p>
    <w:tbl>
      <w:tblPr>
        <w:tblStyle w:val="TableGrid"/>
        <w:tblW w:type="dxa" w:w="9750"/>
        <w:tblLayout w:type="fixed"/>
        <w:tblLook w:firstColumn="1" w:firstRow="1" w:lastColumn="0" w:lastRow="0" w:noHBand="0" w:noVBand="1" w:val="04A0"/>
        <w:jc w:val="left"/>
        <w:tblInd w:w="120" w:type="dxa"/>
      </w:tblPr>
      <w:tblGrid>
        <w:gridCol w:w="3600"/>
        <w:gridCol w:w="6150"/>
      </w:tblGrid>
      <w:tr>
        <w:trPr>
          <w:tblHeader w:val="true"/>
          <w:cantSplit w:val="true"/>
        </w:trPr>
        <w:tc>
          <w:tcPr>
            <w:tcW w:type="dxa" w:w="360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7"/>
              </w:rPr>
              <w:t>Риск</w:t>
            </w:r>
          </w:p>
        </w:tc>
        <w:tc>
          <w:tcPr>
            <w:tcW w:type="dxa" w:w="615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7"/>
              </w:rPr>
              <w:t>Мера управления</w:t>
            </w:r>
          </w:p>
        </w:tc>
      </w:tr>
      <w:tr>
        <w:trPr>
          <w:cantSplit w:val="true"/>
        </w:trPr>
        <w:tc>
          <w:tcPr>
            <w:tcW w:type="dxa" w:w="36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Дублирование государственных систем</w:t>
            </w:r>
          </w:p>
        </w:tc>
        <w:tc>
          <w:tcPr>
            <w:tcW w:type="dxa" w:w="61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Инвентаризация функций; интеграция вместо замещения</w:t>
            </w:r>
          </w:p>
        </w:tc>
      </w:tr>
      <w:tr>
        <w:trPr>
          <w:cantSplit w:val="true"/>
        </w:trPr>
        <w:tc>
          <w:tcPr>
            <w:tcW w:type="dxa" w:w="36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Низкое качество данных</w:t>
            </w:r>
          </w:p>
        </w:tc>
        <w:tc>
          <w:tcPr>
            <w:tcW w:type="dxa" w:w="61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Паспорта источников, Cdata, фиксация неопределённости</w:t>
            </w:r>
          </w:p>
        </w:tc>
      </w:tr>
      <w:tr>
        <w:trPr>
          <w:cantSplit w:val="true"/>
        </w:trPr>
        <w:tc>
          <w:tcPr>
            <w:tcW w:type="dxa" w:w="36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Несогласованные методики</w:t>
            </w:r>
          </w:p>
        </w:tc>
        <w:tc>
          <w:tcPr>
            <w:tcW w:type="dxa" w:w="61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Единый словарь, экспертная группа, протокол разногласий</w:t>
            </w:r>
          </w:p>
        </w:tc>
      </w:tr>
      <w:tr>
        <w:trPr>
          <w:cantSplit w:val="true"/>
        </w:trPr>
        <w:tc>
          <w:tcPr>
            <w:tcW w:type="dxa" w:w="36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Нарушение режима доступа</w:t>
            </w:r>
          </w:p>
        </w:tc>
        <w:tc>
          <w:tcPr>
            <w:tcW w:type="dxa" w:w="61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Минимизация данных, разграничение прав, журналирование</w:t>
            </w:r>
          </w:p>
        </w:tc>
      </w:tr>
      <w:tr>
        <w:trPr>
          <w:cantSplit w:val="true"/>
        </w:trPr>
        <w:tc>
          <w:tcPr>
            <w:tcW w:type="dxa" w:w="36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Киберриски</w:t>
            </w:r>
          </w:p>
        </w:tc>
        <w:tc>
          <w:tcPr>
            <w:tcW w:type="dxa" w:w="61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Модель угроз, резервирование, тестирование и план восстановления</w:t>
            </w:r>
          </w:p>
        </w:tc>
      </w:tr>
      <w:tr>
        <w:trPr>
          <w:cantSplit w:val="true"/>
        </w:trPr>
        <w:tc>
          <w:tcPr>
            <w:tcW w:type="dxa" w:w="36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Vendor lock-in</w:t>
            </w:r>
          </w:p>
        </w:tc>
        <w:tc>
          <w:tcPr>
            <w:tcW w:type="dxa" w:w="61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Открытые форматы, разделение лотов, переносимость и права на данные</w:t>
            </w:r>
          </w:p>
        </w:tc>
      </w:tr>
      <w:tr>
        <w:trPr>
          <w:cantSplit w:val="true"/>
        </w:trPr>
        <w:tc>
          <w:tcPr>
            <w:tcW w:type="dxa" w:w="36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Завышенная стоимость</w:t>
            </w:r>
          </w:p>
        </w:tc>
        <w:tc>
          <w:tcPr>
            <w:tcW w:type="dxa" w:w="61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ТЭО, альтернативные предложения, поэтапное финансирование</w:t>
            </w:r>
          </w:p>
        </w:tc>
      </w:tr>
      <w:tr>
        <w:trPr>
          <w:cantSplit w:val="true"/>
        </w:trPr>
        <w:tc>
          <w:tcPr>
            <w:tcW w:type="dxa" w:w="36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Конфликт интересов</w:t>
            </w:r>
          </w:p>
        </w:tc>
        <w:tc>
          <w:tcPr>
            <w:tcW w:type="dxa" w:w="61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Разделение инициатора, оператора, поставщика и верификатора</w:t>
            </w:r>
          </w:p>
        </w:tc>
      </w:tr>
      <w:tr>
        <w:trPr>
          <w:cantSplit w:val="true"/>
        </w:trPr>
        <w:tc>
          <w:tcPr>
            <w:tcW w:type="dxa" w:w="36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Недостижение эффекта</w:t>
            </w:r>
          </w:p>
        </w:tc>
        <w:tc>
          <w:tcPr>
            <w:tcW w:type="dxa" w:w="61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Baseline, контрольная зона, stop/go-ворота и право остановки</w:t>
            </w:r>
          </w:p>
        </w:tc>
      </w:tr>
      <w:tr>
        <w:trPr>
          <w:cantSplit w:val="true"/>
        </w:trPr>
        <w:tc>
          <w:tcPr>
            <w:tcW w:type="dxa" w:w="36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Подмена полномочий</w:t>
            </w:r>
          </w:p>
        </w:tc>
        <w:tc>
          <w:tcPr>
            <w:tcW w:type="dxa" w:w="61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Консультативный статус методологии; решения только уполномоченными органами</w:t>
            </w:r>
          </w:p>
        </w:tc>
      </w:tr>
      <w:tr>
        <w:trPr>
          <w:cantSplit w:val="true"/>
        </w:trPr>
        <w:tc>
          <w:tcPr>
            <w:tcW w:type="dxa" w:w="36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Манипулирование KPI</w:t>
            </w:r>
          </w:p>
        </w:tc>
        <w:tc>
          <w:tcPr>
            <w:tcW w:type="dxa" w:w="61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Формулы и источники до запуска; запрет ретроспективной смены базы</w:t>
            </w:r>
          </w:p>
        </w:tc>
      </w:tr>
      <w:tr>
        <w:trPr>
          <w:cantSplit w:val="true"/>
        </w:trPr>
        <w:tc>
          <w:tcPr>
            <w:tcW w:type="dxa" w:w="36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Репутационный риск</w:t>
            </w:r>
          </w:p>
        </w:tc>
        <w:tc>
          <w:tcPr>
            <w:tcW w:type="dxa" w:w="61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Государственный язык, проверяемые утверждения, отсутствие неподтверждённых партнёрств</w:t>
            </w:r>
          </w:p>
        </w:tc>
      </w:tr>
    </w:tbl>
    <w:p>
      <w:pPr>
        <w:spacing w:before="0" w:after="60"/>
      </w:pPr>
    </w:p>
    <w:p>
      <w:pPr>
        <w:spacing w:before="140" w:after="160" w:line="259" w:lineRule="auto"/>
        <w:ind w:left="198" w:right="113"/>
        <w:shd w:fill="F7F1E5"/>
        <w:keepLines/>
        <w:pBdr>
          <w:left w:val="single" w:sz="18" w:space="8" w:color="B58A36"/>
        </w:pBdr>
      </w:pPr>
      <w:r>
        <w:rPr>
          <w:rFonts w:ascii="Arial" w:hAnsi="Arial" w:eastAsia="Arial"/>
          <w:b/>
          <w:i w:val="0"/>
          <w:color w:val="B58A36"/>
          <w:sz w:val="21"/>
        </w:rPr>
        <w:t xml:space="preserve">Обязательная оговорка. </w:t>
      </w:r>
      <w:r>
        <w:rPr>
          <w:rFonts w:ascii="Arial" w:hAnsi="Arial" w:eastAsia="Arial"/>
          <w:b w:val="0"/>
          <w:i w:val="0"/>
          <w:color w:val="1F2933"/>
          <w:sz w:val="21"/>
        </w:rPr>
        <w:t>Реализация пилота осуществляется после получения необходимых согласований и разрешений, определения правовых оснований обработки данных, источников финансирования и заказчика, а также проведения предусмотренных законодательством процедур закупки. Представление концепции и её рассмотрение не влекут возникновения бюджетных обязательств.</w:t>
      </w:r>
    </w:p>
    <w:p>
      <w:pPr>
        <w:pStyle w:val="Heading1"/>
        <w:keepNext/>
      </w:pPr>
      <w:r>
        <w:t>13. Дорожная карта 2026–2030</w:t>
      </w:r>
    </w:p>
    <w:tbl>
      <w:tblPr>
        <w:tblStyle w:val="TableGrid"/>
        <w:tblW w:type="dxa" w:w="9750"/>
        <w:tblLayout w:type="fixed"/>
        <w:tblLook w:firstColumn="1" w:firstRow="1" w:lastColumn="0" w:lastRow="0" w:noHBand="0" w:noVBand="1" w:val="04A0"/>
        <w:jc w:val="left"/>
        <w:tblInd w:w="120" w:type="dxa"/>
      </w:tblPr>
      <w:tblGrid>
        <w:gridCol w:w="1700"/>
        <w:gridCol w:w="2600"/>
        <w:gridCol w:w="5450"/>
      </w:tblGrid>
      <w:tr>
        <w:trPr>
          <w:tblHeader w:val="true"/>
          <w:cantSplit w:val="true"/>
        </w:trPr>
        <w:tc>
          <w:tcPr>
            <w:tcW w:type="dxa" w:w="170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7"/>
              </w:rPr>
              <w:t>Горизонт</w:t>
            </w:r>
          </w:p>
        </w:tc>
        <w:tc>
          <w:tcPr>
            <w:tcW w:type="dxa" w:w="260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7"/>
              </w:rPr>
              <w:t>Этап</w:t>
            </w:r>
          </w:p>
        </w:tc>
        <w:tc>
          <w:tcPr>
            <w:tcW w:type="dxa" w:w="545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7"/>
              </w:rPr>
              <w:t>Результат</w:t>
            </w:r>
          </w:p>
        </w:tc>
      </w:tr>
      <w:tr>
        <w:trPr>
          <w:cantSplit w:val="true"/>
        </w:trPr>
        <w:tc>
          <w:tcPr>
            <w:tcW w:type="dxa" w:w="17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0–90 дней</w:t>
            </w:r>
          </w:p>
        </w:tc>
        <w:tc>
          <w:tcPr>
            <w:tcW w:type="dxa" w:w="26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Экспертиза и прототип</w:t>
            </w:r>
          </w:p>
        </w:tc>
        <w:tc>
          <w:tcPr>
            <w:tcW w:type="dxa" w:w="54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3–5 балансов, один кейс, карта данных, сценарии, паспорт ECO-PPA, решение о полном пилоте</w:t>
            </w:r>
          </w:p>
        </w:tc>
      </w:tr>
      <w:tr>
        <w:trPr>
          <w:cantSplit w:val="true"/>
        </w:trPr>
        <w:tc>
          <w:tcPr>
            <w:tcW w:type="dxa" w:w="17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4–12 месяцев</w:t>
            </w:r>
          </w:p>
        </w:tc>
        <w:tc>
          <w:tcPr>
            <w:tcW w:type="dxa" w:w="26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Территориальный пилот</w:t>
            </w:r>
          </w:p>
        </w:tc>
        <w:tc>
          <w:tcPr>
            <w:tcW w:type="dxa" w:w="54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19 паспортов, до 260 показателей, мониторинг, мини-генерация, независимая оценка</w:t>
            </w:r>
          </w:p>
        </w:tc>
      </w:tr>
      <w:tr>
        <w:trPr>
          <w:cantSplit w:val="true"/>
        </w:trPr>
        <w:tc>
          <w:tcPr>
            <w:tcW w:type="dxa" w:w="17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12–18 месяцев</w:t>
            </w:r>
          </w:p>
        </w:tc>
        <w:tc>
          <w:tcPr>
            <w:tcW w:type="dxa" w:w="26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Верификация и типизация</w:t>
            </w:r>
          </w:p>
        </w:tc>
        <w:tc>
          <w:tcPr>
            <w:tcW w:type="dxa" w:w="54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Типовой регламент, модель данных, требования к обмену, оценка стоимости тиражирования</w:t>
            </w:r>
          </w:p>
        </w:tc>
      </w:tr>
      <w:tr>
        <w:trPr>
          <w:cantSplit w:val="true"/>
        </w:trPr>
        <w:tc>
          <w:tcPr>
            <w:tcW w:type="dxa" w:w="17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18–36 месяцев</w:t>
            </w:r>
          </w:p>
        </w:tc>
        <w:tc>
          <w:tcPr>
            <w:tcW w:type="dxa" w:w="26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Несколько регионов</w:t>
            </w:r>
          </w:p>
        </w:tc>
        <w:tc>
          <w:tcPr>
            <w:tcW w:type="dxa" w:w="54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Сопоставимые региональные балансы и межрегиональные цепочки</w:t>
            </w:r>
          </w:p>
        </w:tc>
      </w:tr>
      <w:tr>
        <w:trPr>
          <w:cantSplit w:val="true"/>
        </w:trPr>
        <w:tc>
          <w:tcPr>
            <w:tcW w:type="dxa" w:w="17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До 2030 года</w:t>
            </w:r>
          </w:p>
        </w:tc>
        <w:tc>
          <w:tcPr>
            <w:tcW w:type="dxa" w:w="26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Выборочное применение</w:t>
            </w:r>
          </w:p>
        </w:tc>
        <w:tc>
          <w:tcPr>
            <w:tcW w:type="dxa" w:w="54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Оценка крупных межотраслевых проектов и раннее предупреждение критических дисбалансов</w:t>
            </w:r>
          </w:p>
        </w:tc>
      </w:tr>
    </w:tbl>
    <w:p>
      <w:pPr>
        <w:spacing w:before="0" w:after="60"/>
      </w:pPr>
    </w:p>
    <w:p>
      <w:pPr>
        <w:pStyle w:val="Heading2"/>
        <w:keepNext/>
      </w:pPr>
      <w:r>
        <w:t>13.1. Матрица 19 × 13 × 3</w:t>
      </w:r>
    </w:p>
    <w:p>
      <w:pPr>
        <w:spacing w:before="0" w:after="100" w:line="264" w:lineRule="auto"/>
      </w:pPr>
      <w:r>
        <w:rPr>
          <w:rFonts w:ascii="Arial" w:hAnsi="Arial" w:eastAsia="Arial"/>
          <w:b w:val="0"/>
          <w:i w:val="0"/>
          <w:color w:val="1F2933"/>
          <w:sz w:val="22"/>
        </w:rPr>
        <w:t>Для последующего масштабирования может применяться декомпозиция 19 контуров × 13 парных балансов × 3 уровня управления = до 741 паспортированной ячейки. Это расчётная структура, а не самостоятельный символический показатель: федеральный, региональный и муниципальный уровни используют единые идентификаторы, формулы, доказательства и красные пределы, сохраняя собственные полномочия и цели.</w:t>
      </w:r>
    </w:p>
    <w:p>
      <w:pPr>
        <w:pStyle w:val="Heading2"/>
        <w:keepNext/>
      </w:pPr>
      <w:r>
        <w:t>13.2. Стоп-условия масштабирования</w:t>
      </w:r>
    </w:p>
    <w:p>
      <w:pPr>
        <w:numPr>
          <w:ilvl w:val="0"/>
          <w:numId w:val="90"/>
        </w:numPr>
        <w:spacing w:after="80" w:line="264" w:lineRule="auto"/>
      </w:pPr>
      <w:r>
        <w:rPr>
          <w:rFonts w:ascii="Arial" w:hAnsi="Arial" w:eastAsia="Arial"/>
          <w:b w:val="0"/>
          <w:i w:val="0"/>
          <w:color w:val="1F2933"/>
          <w:sz w:val="21"/>
        </w:rPr>
        <w:t>нет воспроизводимого результата или эффект не отделён от внешних факторов;</w:t>
      </w:r>
    </w:p>
    <w:p>
      <w:pPr>
        <w:numPr>
          <w:ilvl w:val="0"/>
          <w:numId w:val="90"/>
        </w:numPr>
        <w:spacing w:after="80" w:line="264" w:lineRule="auto"/>
      </w:pPr>
      <w:r>
        <w:rPr>
          <w:rFonts w:ascii="Arial" w:hAnsi="Arial" w:eastAsia="Arial"/>
          <w:b w:val="0"/>
          <w:i w:val="0"/>
          <w:color w:val="1F2933"/>
          <w:sz w:val="21"/>
        </w:rPr>
        <w:t>стоимость владения не подтверждена или превышает допустимый предел;</w:t>
      </w:r>
    </w:p>
    <w:p>
      <w:pPr>
        <w:numPr>
          <w:ilvl w:val="0"/>
          <w:numId w:val="90"/>
        </w:numPr>
        <w:spacing w:after="80" w:line="264" w:lineRule="auto"/>
      </w:pPr>
      <w:r>
        <w:rPr>
          <w:rFonts w:ascii="Arial" w:hAnsi="Arial" w:eastAsia="Arial"/>
          <w:b w:val="0"/>
          <w:i w:val="0"/>
          <w:color w:val="1F2933"/>
          <w:sz w:val="21"/>
        </w:rPr>
        <w:t>не урегулированы права на данные, код и оборудование;</w:t>
      </w:r>
    </w:p>
    <w:p>
      <w:pPr>
        <w:numPr>
          <w:ilvl w:val="0"/>
          <w:numId w:val="90"/>
        </w:numPr>
        <w:spacing w:after="80" w:line="264" w:lineRule="auto"/>
      </w:pPr>
      <w:r>
        <w:rPr>
          <w:rFonts w:ascii="Arial" w:hAnsi="Arial" w:eastAsia="Arial"/>
          <w:b w:val="0"/>
          <w:i w:val="0"/>
          <w:color w:val="1F2933"/>
          <w:sz w:val="21"/>
        </w:rPr>
        <w:t>модель зависит от одного поставщика без возможности переноса;</w:t>
      </w:r>
    </w:p>
    <w:p>
      <w:pPr>
        <w:numPr>
          <w:ilvl w:val="0"/>
          <w:numId w:val="90"/>
        </w:numPr>
        <w:spacing w:after="80" w:line="264" w:lineRule="auto"/>
      </w:pPr>
      <w:r>
        <w:rPr>
          <w:rFonts w:ascii="Arial" w:hAnsi="Arial" w:eastAsia="Arial"/>
          <w:b w:val="0"/>
          <w:i w:val="0"/>
          <w:color w:val="1F2933"/>
          <w:sz w:val="21"/>
        </w:rPr>
        <w:t>не выполнены требования безопасности и метрологии;</w:t>
      </w:r>
    </w:p>
    <w:p>
      <w:pPr>
        <w:numPr>
          <w:ilvl w:val="0"/>
          <w:numId w:val="90"/>
        </w:numPr>
        <w:spacing w:after="80" w:line="264" w:lineRule="auto"/>
      </w:pPr>
      <w:r>
        <w:rPr>
          <w:rFonts w:ascii="Arial" w:hAnsi="Arial" w:eastAsia="Arial"/>
          <w:b w:val="0"/>
          <w:i w:val="0"/>
          <w:color w:val="1F2933"/>
          <w:sz w:val="21"/>
        </w:rPr>
        <w:t>независимая проверка выявила существенный конфликт интересов или недостоверность данных.</w:t>
      </w:r>
    </w:p>
    <w:p>
      <w:pPr>
        <w:pStyle w:val="Heading1"/>
        <w:keepNext/>
      </w:pPr>
      <w:r>
        <w:t>14. Проект решений комиссии</w:t>
      </w:r>
    </w:p>
    <w:p>
      <w:pPr>
        <w:spacing w:before="140" w:after="160" w:line="259" w:lineRule="auto"/>
        <w:ind w:left="198" w:right="113"/>
        <w:shd w:fill="EAF1F8"/>
        <w:keepLines/>
        <w:pBdr>
          <w:left w:val="single" w:sz="18" w:space="8" w:color="2F5597"/>
        </w:pBdr>
      </w:pPr>
      <w:r>
        <w:rPr>
          <w:rFonts w:ascii="Arial" w:hAnsi="Arial" w:eastAsia="Arial"/>
          <w:b/>
          <w:i w:val="0"/>
          <w:color w:val="2F5597"/>
          <w:sz w:val="21"/>
        </w:rPr>
        <w:t xml:space="preserve">Статус. </w:t>
      </w:r>
      <w:r>
        <w:rPr>
          <w:rFonts w:ascii="Arial" w:hAnsi="Arial" w:eastAsia="Arial"/>
          <w:b w:val="0"/>
          <w:i w:val="0"/>
          <w:color w:val="1F2933"/>
          <w:sz w:val="21"/>
        </w:rPr>
        <w:t>Проект для обсуждения; окончательная формулировка определяется уполномоченными органами.</w:t>
      </w:r>
    </w:p>
    <w:p>
      <w:pPr>
        <w:numPr>
          <w:ilvl w:val="0"/>
          <w:numId w:val="92"/>
        </w:numPr>
        <w:spacing w:after="80" w:line="264" w:lineRule="auto"/>
      </w:pPr>
      <w:r>
        <w:rPr>
          <w:rFonts w:ascii="Arial" w:hAnsi="Arial" w:eastAsia="Arial"/>
          <w:b w:val="0"/>
          <w:i w:val="0"/>
          <w:color w:val="1F2933"/>
          <w:sz w:val="21"/>
        </w:rPr>
        <w:t>Принять к сведению представленную концепцию системы стратегических балансов «ЭКВИЛИБРИУМ — ECO-PPA».</w:t>
      </w:r>
    </w:p>
    <w:p>
      <w:pPr>
        <w:numPr>
          <w:ilvl w:val="0"/>
          <w:numId w:val="92"/>
        </w:numPr>
        <w:spacing w:after="80" w:line="264" w:lineRule="auto"/>
      </w:pPr>
      <w:r>
        <w:rPr>
          <w:rFonts w:ascii="Arial" w:hAnsi="Arial" w:eastAsia="Arial"/>
          <w:b w:val="0"/>
          <w:i w:val="0"/>
          <w:color w:val="1F2933"/>
          <w:sz w:val="21"/>
        </w:rPr>
        <w:t>Признать целесообразным проведение межведомственной, научно-технической, правовой и финансово-экономической экспертизы концепции.</w:t>
      </w:r>
    </w:p>
    <w:p>
      <w:pPr>
        <w:numPr>
          <w:ilvl w:val="0"/>
          <w:numId w:val="92"/>
        </w:numPr>
        <w:spacing w:after="80" w:line="264" w:lineRule="auto"/>
      </w:pPr>
      <w:r>
        <w:rPr>
          <w:rFonts w:ascii="Arial" w:hAnsi="Arial" w:eastAsia="Arial"/>
          <w:b w:val="0"/>
          <w:i w:val="0"/>
          <w:color w:val="1F2933"/>
          <w:sz w:val="21"/>
        </w:rPr>
        <w:t>Рассмотреть возможность создания при профильной комиссии рабочей (экспертной) группы по подготовке паспорта 90-дневной апробации; состав и план работы утвердить председателю комиссии.</w:t>
      </w:r>
    </w:p>
    <w:p>
      <w:pPr>
        <w:numPr>
          <w:ilvl w:val="0"/>
          <w:numId w:val="92"/>
        </w:numPr>
        <w:spacing w:after="80" w:line="264" w:lineRule="auto"/>
      </w:pPr>
      <w:r>
        <w:rPr>
          <w:rFonts w:ascii="Arial" w:hAnsi="Arial" w:eastAsia="Arial"/>
          <w:b w:val="0"/>
          <w:i w:val="0"/>
          <w:color w:val="1F2933"/>
          <w:sz w:val="21"/>
        </w:rPr>
        <w:t>Рекомендовать заинтересованным федеральным органам исполнительной власти, субъектам Российской Федерации, Росстату, Российской академии наук и экспертным организациям представить замечания и предложения в пределах компетенции.</w:t>
      </w:r>
    </w:p>
    <w:p>
      <w:pPr>
        <w:numPr>
          <w:ilvl w:val="0"/>
          <w:numId w:val="92"/>
        </w:numPr>
        <w:spacing w:after="80" w:line="264" w:lineRule="auto"/>
      </w:pPr>
      <w:r>
        <w:rPr>
          <w:rFonts w:ascii="Arial" w:hAnsi="Arial" w:eastAsia="Arial"/>
          <w:b w:val="0"/>
          <w:i w:val="0"/>
          <w:color w:val="1F2933"/>
          <w:sz w:val="21"/>
        </w:rPr>
        <w:t>По итогам экспертизы представить Секретарю Государственного Совета Российской Федерации доклад о целесообразности пилота, вариантах площадки, финансирования, данных и правового механизма.</w:t>
      </w:r>
    </w:p>
    <w:p>
      <w:pPr>
        <w:numPr>
          <w:ilvl w:val="0"/>
          <w:numId w:val="92"/>
        </w:numPr>
        <w:spacing w:after="80" w:line="264" w:lineRule="auto"/>
      </w:pPr>
      <w:r>
        <w:rPr>
          <w:rFonts w:ascii="Arial" w:hAnsi="Arial" w:eastAsia="Arial"/>
          <w:b w:val="0"/>
          <w:i w:val="0"/>
          <w:color w:val="1F2933"/>
          <w:sz w:val="21"/>
        </w:rPr>
        <w:t>При положительном заключении подготовить ТЭО и проект паспорта 12-месячного территориального пилота, не создавая бюджетных обязательств до отдельного решения.</w:t>
      </w:r>
    </w:p>
    <w:p>
      <w:pPr>
        <w:pStyle w:val="Heading2"/>
        <w:keepNext/>
      </w:pPr>
      <w:r>
        <w:t>14.1. Возможные формулировки дальнейших поручений Президента Российской Федерации</w:t>
      </w:r>
    </w:p>
    <w:p>
      <w:pPr>
        <w:spacing w:before="0" w:after="100" w:line="264" w:lineRule="auto"/>
      </w:pPr>
      <w:r>
        <w:rPr>
          <w:rFonts w:ascii="Arial" w:hAnsi="Arial" w:eastAsia="Arial"/>
          <w:b w:val="0"/>
          <w:i/>
          <w:color w:val="5B6573"/>
          <w:sz w:val="20"/>
        </w:rPr>
        <w:t>Используются только при принятии решения о вынесении вопроса на соответствующий уровень.</w:t>
      </w:r>
    </w:p>
    <w:p>
      <w:pPr>
        <w:numPr>
          <w:ilvl w:val="0"/>
          <w:numId w:val="93"/>
        </w:numPr>
        <w:spacing w:after="80" w:line="264" w:lineRule="auto"/>
      </w:pPr>
      <w:r>
        <w:rPr>
          <w:rFonts w:ascii="Arial" w:hAnsi="Arial" w:eastAsia="Arial"/>
          <w:b w:val="0"/>
          <w:i w:val="0"/>
          <w:color w:val="1F2933"/>
          <w:sz w:val="21"/>
        </w:rPr>
        <w:t>Правительству Российской Федерации совместно с профильной комиссией Государственного Совета рассмотреть возможность реализации пилотного проекта и представить предложения, содержащие паспорт пилота, финансово-экономическое обоснование, источники финансирования, оценку правовых и технологических рисков и порядок независимой оценки результатов.</w:t>
      </w:r>
    </w:p>
    <w:p>
      <w:pPr>
        <w:numPr>
          <w:ilvl w:val="0"/>
          <w:numId w:val="93"/>
        </w:numPr>
        <w:spacing w:after="80" w:line="264" w:lineRule="auto"/>
      </w:pPr>
      <w:r>
        <w:rPr>
          <w:rFonts w:ascii="Arial" w:hAnsi="Arial" w:eastAsia="Arial"/>
          <w:b w:val="0"/>
          <w:i w:val="0"/>
          <w:color w:val="1F2933"/>
          <w:sz w:val="21"/>
        </w:rPr>
        <w:t>Профильной комиссии Государственного Совета обобщить результаты пилота и представить Секретарю Государственного Совета предложения о целесообразности внесения вопроса на рассмотрение Президиума Государственного Совета и подготовки доклада Президенту Российской Федерации.</w:t>
      </w:r>
    </w:p>
    <w:p>
      <w:pPr>
        <w:pStyle w:val="Heading2"/>
        <w:keepNext/>
      </w:pPr>
      <w:r>
        <w:t>14.2. Итоговый запрос инициатора</w:t>
      </w:r>
    </w:p>
    <w:tbl>
      <w:tblPr>
        <w:tblStyle w:val="TableGrid"/>
        <w:tblW w:type="dxa" w:w="9750"/>
        <w:tblLayout w:type="fixed"/>
        <w:tblLook w:firstColumn="1" w:firstRow="1" w:lastColumn="0" w:lastRow="0" w:noHBand="0" w:noVBand="1" w:val="04A0"/>
        <w:jc w:val="left"/>
        <w:tblInd w:w="120" w:type="dxa"/>
      </w:tblPr>
      <w:tblGrid>
        <w:gridCol w:w="650"/>
        <w:gridCol w:w="3900"/>
        <w:gridCol w:w="5200"/>
      </w:tblGrid>
      <w:tr>
        <w:trPr>
          <w:tblHeader w:val="true"/>
          <w:cantSplit w:val="true"/>
        </w:trPr>
        <w:tc>
          <w:tcPr>
            <w:tcW w:type="dxa" w:w="65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8"/>
              </w:rPr>
              <w:t>№</w:t>
            </w:r>
          </w:p>
        </w:tc>
        <w:tc>
          <w:tcPr>
            <w:tcW w:type="dxa" w:w="390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8"/>
              </w:rPr>
              <w:t>Просьба</w:t>
            </w:r>
          </w:p>
        </w:tc>
        <w:tc>
          <w:tcPr>
            <w:tcW w:type="dxa" w:w="520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8"/>
              </w:rPr>
              <w:t>Ожидаемый результат</w:t>
            </w:r>
          </w:p>
        </w:tc>
      </w:tr>
      <w:tr>
        <w:trPr>
          <w:cantSplit w:val="true"/>
        </w:trPr>
        <w:tc>
          <w:tcPr>
            <w:tcW w:type="dxa" w:w="650"/>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8"/>
              </w:rPr>
              <w:t>1</w:t>
            </w:r>
          </w:p>
        </w:tc>
        <w:tc>
          <w:tcPr>
            <w:tcW w:type="dxa" w:w="39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Провести рабочее представление</w:t>
            </w:r>
          </w:p>
        </w:tc>
        <w:tc>
          <w:tcPr>
            <w:tcW w:type="dxa" w:w="5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Обратная связь Секретариата и профильных комиссий</w:t>
            </w:r>
          </w:p>
        </w:tc>
      </w:tr>
      <w:tr>
        <w:trPr>
          <w:cantSplit w:val="true"/>
        </w:trPr>
        <w:tc>
          <w:tcPr>
            <w:tcW w:type="dxa" w:w="650"/>
            <w:shd w:fill="F3F6F8"/>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8"/>
              </w:rPr>
              <w:t>2</w:t>
            </w:r>
          </w:p>
        </w:tc>
        <w:tc>
          <w:tcPr>
            <w:tcW w:type="dxa" w:w="39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Определить профильную комиссию и рабочую группу</w:t>
            </w:r>
          </w:p>
        </w:tc>
        <w:tc>
          <w:tcPr>
            <w:tcW w:type="dxa" w:w="52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Официальный маршрут экспертизы</w:t>
            </w:r>
          </w:p>
        </w:tc>
      </w:tr>
      <w:tr>
        <w:trPr>
          <w:cantSplit w:val="true"/>
        </w:trPr>
        <w:tc>
          <w:tcPr>
            <w:tcW w:type="dxa" w:w="650"/>
            <w:tcMar>
              <w:top w:w="90" w:type="dxa"/>
              <w:start w:w="120" w:type="dxa"/>
              <w:bottom w:w="90" w:type="dxa"/>
              <w:end w:w="120" w:type="dxa"/>
            </w:tcMar>
            <w:vAlign w:val="center"/>
          </w:tcPr>
          <w:p>
            <w:pPr>
              <w:spacing w:before="0" w:after="0" w:line="252" w:lineRule="auto"/>
              <w:jc w:val="center"/>
            </w:pPr>
            <w:r/>
            <w:r>
              <w:rPr>
                <w:rFonts w:ascii="Arial" w:hAnsi="Arial" w:eastAsia="Arial"/>
                <w:b w:val="0"/>
                <w:i w:val="0"/>
                <w:color w:val="1F2933"/>
                <w:sz w:val="18"/>
              </w:rPr>
              <w:t>3</w:t>
            </w:r>
          </w:p>
        </w:tc>
        <w:tc>
          <w:tcPr>
            <w:tcW w:type="dxa" w:w="39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Рассмотреть 90-дневную апробацию</w:t>
            </w:r>
          </w:p>
        </w:tc>
        <w:tc>
          <w:tcPr>
            <w:tcW w:type="dxa" w:w="5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8"/>
              </w:rPr>
              <w:t>Проверяемый прототип и решение о полном пилоте</w:t>
            </w:r>
          </w:p>
        </w:tc>
      </w:tr>
    </w:tbl>
    <w:p>
      <w:pPr>
        <w:spacing w:before="0" w:after="60"/>
      </w:pPr>
    </w:p>
    <w:p>
      <w:pPr>
        <w:keepNext/>
        <w:spacing w:before="0" w:after="120"/>
        <w:jc w:val="left"/>
      </w:pPr>
      <w:r>
        <w:rPr>
          <w:rFonts w:ascii="Arial" w:hAnsi="Arial" w:eastAsia="Arial"/>
          <w:b/>
          <w:i w:val="0"/>
          <w:caps/>
          <w:color w:val="B58A36"/>
          <w:sz w:val="19"/>
        </w:rPr>
        <w:t>ПРИЛОЖЕНИЯ</w:t>
      </w:r>
    </w:p>
    <w:p>
      <w:pPr>
        <w:pStyle w:val="Heading1"/>
        <w:keepNext/>
      </w:pPr>
      <w:r>
        <w:t>Приложение 1. Паспорт проекта ECO-PPA</w:t>
      </w:r>
    </w:p>
    <w:tbl>
      <w:tblPr>
        <w:tblStyle w:val="TableGrid"/>
        <w:tblW w:type="dxa" w:w="9750"/>
        <w:tblLayout w:type="fixed"/>
        <w:tblLook w:firstColumn="1" w:firstRow="1" w:lastColumn="0" w:lastRow="0" w:noHBand="0" w:noVBand="1" w:val="04A0"/>
        <w:jc w:val="left"/>
        <w:tblInd w:w="120" w:type="dxa"/>
      </w:tblPr>
      <w:tblGrid>
        <w:gridCol w:w="3000"/>
        <w:gridCol w:w="6750"/>
      </w:tblGrid>
      <w:tr>
        <w:trPr>
          <w:tblHeader w:val="true"/>
          <w:cantSplit w:val="true"/>
        </w:trPr>
        <w:tc>
          <w:tcPr>
            <w:tcW w:type="dxa" w:w="300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7"/>
              </w:rPr>
              <w:t>Раздел</w:t>
            </w:r>
          </w:p>
        </w:tc>
        <w:tc>
          <w:tcPr>
            <w:tcW w:type="dxa" w:w="675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7"/>
              </w:rPr>
              <w:t>Что фиксируется</w:t>
            </w:r>
          </w:p>
        </w:tc>
      </w:tr>
      <w:tr>
        <w:trPr>
          <w:cantSplit w:val="true"/>
        </w:trPr>
        <w:tc>
          <w:tcPr>
            <w:tcW w:type="dxa" w:w="30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1. Проблема и территория</w:t>
            </w:r>
          </w:p>
        </w:tc>
        <w:tc>
          <w:tcPr>
            <w:tcW w:type="dxa" w:w="67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Что происходит, где и кого затрагивает</w:t>
            </w:r>
          </w:p>
        </w:tc>
      </w:tr>
      <w:tr>
        <w:trPr>
          <w:cantSplit w:val="true"/>
        </w:trPr>
        <w:tc>
          <w:tcPr>
            <w:tcW w:type="dxa" w:w="30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2. Baseline</w:t>
            </w:r>
          </w:p>
        </w:tc>
        <w:tc>
          <w:tcPr>
            <w:tcW w:type="dxa" w:w="67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Исходный период, контрольная зона, источники и качество данных</w:t>
            </w:r>
          </w:p>
        </w:tc>
      </w:tr>
      <w:tr>
        <w:trPr>
          <w:cantSplit w:val="true"/>
        </w:trPr>
        <w:tc>
          <w:tcPr>
            <w:tcW w:type="dxa" w:w="30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3. Цель</w:t>
            </w:r>
          </w:p>
        </w:tc>
        <w:tc>
          <w:tcPr>
            <w:tcW w:type="dxa" w:w="67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Измеримый результат, срок и допустимый коридор</w:t>
            </w:r>
          </w:p>
        </w:tc>
      </w:tr>
      <w:tr>
        <w:trPr>
          <w:cantSplit w:val="true"/>
        </w:trPr>
        <w:tc>
          <w:tcPr>
            <w:tcW w:type="dxa" w:w="30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4. Балансы</w:t>
            </w:r>
          </w:p>
        </w:tc>
        <w:tc>
          <w:tcPr>
            <w:tcW w:type="dxa" w:w="67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Затронутые балансы, ограничивающий ресурс и межотраслевые эффекты</w:t>
            </w:r>
          </w:p>
        </w:tc>
      </w:tr>
      <w:tr>
        <w:trPr>
          <w:cantSplit w:val="true"/>
        </w:trPr>
        <w:tc>
          <w:tcPr>
            <w:tcW w:type="dxa" w:w="30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5. Стороны</w:t>
            </w:r>
          </w:p>
        </w:tc>
        <w:tc>
          <w:tcPr>
            <w:tcW w:type="dxa" w:w="67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Заказчик, оператор, поставщики, собственники данных, верификатор</w:t>
            </w:r>
          </w:p>
        </w:tc>
      </w:tr>
      <w:tr>
        <w:trPr>
          <w:cantSplit w:val="true"/>
        </w:trPr>
        <w:tc>
          <w:tcPr>
            <w:tcW w:type="dxa" w:w="30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6. Правовая модель</w:t>
            </w:r>
          </w:p>
        </w:tc>
        <w:tc>
          <w:tcPr>
            <w:tcW w:type="dxa" w:w="67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Договоры, закупка, разрешения, данные, интеллектуальные права</w:t>
            </w:r>
          </w:p>
        </w:tc>
      </w:tr>
      <w:tr>
        <w:trPr>
          <w:cantSplit w:val="true"/>
        </w:trPr>
        <w:tc>
          <w:tcPr>
            <w:tcW w:type="dxa" w:w="30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7. Ресурсы</w:t>
            </w:r>
          </w:p>
        </w:tc>
        <w:tc>
          <w:tcPr>
            <w:tcW w:type="dxa" w:w="67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CAPEX, OPEX, кадры, данные, мощности, инфраструктура</w:t>
            </w:r>
          </w:p>
        </w:tc>
      </w:tr>
      <w:tr>
        <w:trPr>
          <w:cantSplit w:val="true"/>
        </w:trPr>
        <w:tc>
          <w:tcPr>
            <w:tcW w:type="dxa" w:w="30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8. Работы</w:t>
            </w:r>
          </w:p>
        </w:tc>
        <w:tc>
          <w:tcPr>
            <w:tcW w:type="dxa" w:w="67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Состав, этапы, контрольные точки, приёмка</w:t>
            </w:r>
          </w:p>
        </w:tc>
      </w:tr>
      <w:tr>
        <w:trPr>
          <w:cantSplit w:val="true"/>
        </w:trPr>
        <w:tc>
          <w:tcPr>
            <w:tcW w:type="dxa" w:w="30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9. KPI</w:t>
            </w:r>
          </w:p>
        </w:tc>
        <w:tc>
          <w:tcPr>
            <w:tcW w:type="dxa" w:w="67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Формула, единица, baseline, цель, источник, период, владелец</w:t>
            </w:r>
          </w:p>
        </w:tc>
      </w:tr>
      <w:tr>
        <w:trPr>
          <w:cantSplit w:val="true"/>
        </w:trPr>
        <w:tc>
          <w:tcPr>
            <w:tcW w:type="dxa" w:w="30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10. Доказательства</w:t>
            </w:r>
          </w:p>
        </w:tc>
        <w:tc>
          <w:tcPr>
            <w:tcW w:type="dxa" w:w="67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Протоколы, телеметрия, лаборатория, фото/акты, версии расчётов</w:t>
            </w:r>
          </w:p>
        </w:tc>
      </w:tr>
      <w:tr>
        <w:trPr>
          <w:cantSplit w:val="true"/>
        </w:trPr>
        <w:tc>
          <w:tcPr>
            <w:tcW w:type="dxa" w:w="30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11. Риски</w:t>
            </w:r>
          </w:p>
        </w:tc>
        <w:tc>
          <w:tcPr>
            <w:tcW w:type="dxa" w:w="67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Реестр, владелец риска, мера и остаточный риск</w:t>
            </w:r>
          </w:p>
        </w:tc>
      </w:tr>
      <w:tr>
        <w:trPr>
          <w:cantSplit w:val="true"/>
        </w:trPr>
        <w:tc>
          <w:tcPr>
            <w:tcW w:type="dxa" w:w="30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12. Стоп-критерии</w:t>
            </w:r>
          </w:p>
        </w:tc>
        <w:tc>
          <w:tcPr>
            <w:tcW w:type="dxa" w:w="67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Когда проект приостанавливается, меняется или прекращается</w:t>
            </w:r>
          </w:p>
        </w:tc>
      </w:tr>
      <w:tr>
        <w:trPr>
          <w:cantSplit w:val="true"/>
        </w:trPr>
        <w:tc>
          <w:tcPr>
            <w:tcW w:type="dxa" w:w="30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13. Завершение</w:t>
            </w:r>
          </w:p>
        </w:tc>
        <w:tc>
          <w:tcPr>
            <w:tcW w:type="dxa" w:w="67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Передача, эксплуатация, демонтаж, архив данных, тиражирование</w:t>
            </w:r>
          </w:p>
        </w:tc>
      </w:tr>
    </w:tbl>
    <w:p>
      <w:pPr>
        <w:spacing w:before="0" w:after="60"/>
      </w:pPr>
    </w:p>
    <w:p>
      <w:pPr>
        <w:pStyle w:val="Heading1"/>
        <w:keepNext/>
      </w:pPr>
      <w:r>
        <w:t>Приложение 2. Шаблон балансовой записки</w:t>
      </w:r>
    </w:p>
    <w:p>
      <w:pPr>
        <w:numPr>
          <w:ilvl w:val="0"/>
          <w:numId w:val="94"/>
        </w:numPr>
        <w:spacing w:after="80" w:line="264" w:lineRule="auto"/>
      </w:pPr>
      <w:r>
        <w:rPr>
          <w:rFonts w:ascii="Arial" w:hAnsi="Arial" w:eastAsia="Arial"/>
          <w:b w:val="0"/>
          <w:i w:val="0"/>
          <w:color w:val="1F2933"/>
          <w:sz w:val="21"/>
        </w:rPr>
        <w:t>Цель решения и территория.</w:t>
      </w:r>
    </w:p>
    <w:p>
      <w:pPr>
        <w:numPr>
          <w:ilvl w:val="0"/>
          <w:numId w:val="94"/>
        </w:numPr>
        <w:spacing w:after="80" w:line="264" w:lineRule="auto"/>
      </w:pPr>
      <w:r>
        <w:rPr>
          <w:rFonts w:ascii="Arial" w:hAnsi="Arial" w:eastAsia="Arial"/>
          <w:b w:val="0"/>
          <w:i w:val="0"/>
          <w:color w:val="1F2933"/>
          <w:sz w:val="21"/>
        </w:rPr>
        <w:t>Перечень затронутых балансов.</w:t>
      </w:r>
    </w:p>
    <w:p>
      <w:pPr>
        <w:numPr>
          <w:ilvl w:val="0"/>
          <w:numId w:val="94"/>
        </w:numPr>
        <w:spacing w:after="80" w:line="264" w:lineRule="auto"/>
      </w:pPr>
      <w:r>
        <w:rPr>
          <w:rFonts w:ascii="Arial" w:hAnsi="Arial" w:eastAsia="Arial"/>
          <w:b w:val="0"/>
          <w:i w:val="0"/>
          <w:color w:val="1F2933"/>
          <w:sz w:val="21"/>
        </w:rPr>
        <w:t>Потребность, источник покрытия и мобилизуемый резерв.</w:t>
      </w:r>
    </w:p>
    <w:p>
      <w:pPr>
        <w:numPr>
          <w:ilvl w:val="0"/>
          <w:numId w:val="94"/>
        </w:numPr>
        <w:spacing w:after="80" w:line="264" w:lineRule="auto"/>
      </w:pPr>
      <w:r>
        <w:rPr>
          <w:rFonts w:ascii="Arial" w:hAnsi="Arial" w:eastAsia="Arial"/>
          <w:b w:val="0"/>
          <w:i w:val="0"/>
          <w:color w:val="1F2933"/>
          <w:sz w:val="21"/>
        </w:rPr>
        <w:t>Ограничивающий баланс и ожидаемая дата дефицита.</w:t>
      </w:r>
    </w:p>
    <w:p>
      <w:pPr>
        <w:numPr>
          <w:ilvl w:val="0"/>
          <w:numId w:val="94"/>
        </w:numPr>
        <w:spacing w:after="80" w:line="264" w:lineRule="auto"/>
      </w:pPr>
      <w:r>
        <w:rPr>
          <w:rFonts w:ascii="Arial" w:hAnsi="Arial" w:eastAsia="Arial"/>
          <w:b w:val="0"/>
          <w:i w:val="0"/>
          <w:color w:val="1F2933"/>
          <w:sz w:val="21"/>
        </w:rPr>
        <w:t>Межотраслевые эффекты первого и второго порядка.</w:t>
      </w:r>
    </w:p>
    <w:p>
      <w:pPr>
        <w:numPr>
          <w:ilvl w:val="0"/>
          <w:numId w:val="94"/>
        </w:numPr>
        <w:spacing w:after="80" w:line="264" w:lineRule="auto"/>
      </w:pPr>
      <w:r>
        <w:rPr>
          <w:rFonts w:ascii="Arial" w:hAnsi="Arial" w:eastAsia="Arial"/>
          <w:b w:val="0"/>
          <w:i w:val="0"/>
          <w:color w:val="1F2933"/>
          <w:sz w:val="21"/>
        </w:rPr>
        <w:t>Бюджетный, инвестиционный и внешнеэкономический контур.</w:t>
      </w:r>
    </w:p>
    <w:p>
      <w:pPr>
        <w:numPr>
          <w:ilvl w:val="0"/>
          <w:numId w:val="94"/>
        </w:numPr>
        <w:spacing w:after="80" w:line="264" w:lineRule="auto"/>
      </w:pPr>
      <w:r>
        <w:rPr>
          <w:rFonts w:ascii="Arial" w:hAnsi="Arial" w:eastAsia="Arial"/>
          <w:b w:val="0"/>
          <w:i w:val="0"/>
          <w:color w:val="1F2933"/>
          <w:sz w:val="21"/>
        </w:rPr>
        <w:t>Воздействие на население, здоровье и окружающую среду.</w:t>
      </w:r>
    </w:p>
    <w:p>
      <w:pPr>
        <w:numPr>
          <w:ilvl w:val="0"/>
          <w:numId w:val="94"/>
        </w:numPr>
        <w:spacing w:after="80" w:line="264" w:lineRule="auto"/>
      </w:pPr>
      <w:r>
        <w:rPr>
          <w:rFonts w:ascii="Arial" w:hAnsi="Arial" w:eastAsia="Arial"/>
          <w:b w:val="0"/>
          <w:i w:val="0"/>
          <w:color w:val="1F2933"/>
          <w:sz w:val="21"/>
        </w:rPr>
        <w:t>Базовый, целевой и стрессовый сценарии.</w:t>
      </w:r>
    </w:p>
    <w:p>
      <w:pPr>
        <w:numPr>
          <w:ilvl w:val="0"/>
          <w:numId w:val="94"/>
        </w:numPr>
        <w:spacing w:after="80" w:line="264" w:lineRule="auto"/>
      </w:pPr>
      <w:r>
        <w:rPr>
          <w:rFonts w:ascii="Arial" w:hAnsi="Arial" w:eastAsia="Arial"/>
          <w:b w:val="0"/>
          <w:i w:val="0"/>
          <w:color w:val="1F2933"/>
          <w:sz w:val="21"/>
        </w:rPr>
        <w:t>Изменение Bᵢ/IRE и качество данных Cdata.</w:t>
      </w:r>
    </w:p>
    <w:p>
      <w:pPr>
        <w:numPr>
          <w:ilvl w:val="0"/>
          <w:numId w:val="94"/>
        </w:numPr>
        <w:spacing w:after="80" w:line="264" w:lineRule="auto"/>
      </w:pPr>
      <w:r>
        <w:rPr>
          <w:rFonts w:ascii="Arial" w:hAnsi="Arial" w:eastAsia="Arial"/>
          <w:b w:val="0"/>
          <w:i w:val="0"/>
          <w:color w:val="1F2933"/>
          <w:sz w:val="21"/>
        </w:rPr>
        <w:t>Предлагаемое решение, ответственность, сроки и контрольные показатели.</w:t>
      </w:r>
    </w:p>
    <w:p>
      <w:pPr>
        <w:pStyle w:val="Heading1"/>
        <w:keepNext/>
      </w:pPr>
      <w:r>
        <w:t>Приложение 3. Минимальный комплект до запуска полного пилота</w:t>
      </w:r>
    </w:p>
    <w:p>
      <w:pPr>
        <w:numPr>
          <w:ilvl w:val="0"/>
          <w:numId w:val="90"/>
        </w:numPr>
        <w:spacing w:after="80" w:line="264" w:lineRule="auto"/>
      </w:pPr>
      <w:r>
        <w:rPr>
          <w:rFonts w:ascii="Arial" w:hAnsi="Arial" w:eastAsia="Arial"/>
          <w:b w:val="0"/>
          <w:i w:val="0"/>
          <w:color w:val="1F2933"/>
          <w:sz w:val="21"/>
        </w:rPr>
        <w:t>письмо заинтересованности пилотного субъекта без финансовых обязательств;</w:t>
      </w:r>
    </w:p>
    <w:p>
      <w:pPr>
        <w:numPr>
          <w:ilvl w:val="0"/>
          <w:numId w:val="90"/>
        </w:numPr>
        <w:spacing w:after="80" w:line="264" w:lineRule="auto"/>
      </w:pPr>
      <w:r>
        <w:rPr>
          <w:rFonts w:ascii="Arial" w:hAnsi="Arial" w:eastAsia="Arial"/>
          <w:b w:val="0"/>
          <w:i w:val="0"/>
          <w:color w:val="1F2933"/>
          <w:sz w:val="21"/>
        </w:rPr>
        <w:t>уточнённый паспорт территории и объектов;</w:t>
      </w:r>
    </w:p>
    <w:p>
      <w:pPr>
        <w:numPr>
          <w:ilvl w:val="0"/>
          <w:numId w:val="90"/>
        </w:numPr>
        <w:spacing w:after="80" w:line="264" w:lineRule="auto"/>
      </w:pPr>
      <w:r>
        <w:rPr>
          <w:rFonts w:ascii="Arial" w:hAnsi="Arial" w:eastAsia="Arial"/>
          <w:b w:val="0"/>
          <w:i w:val="0"/>
          <w:color w:val="1F2933"/>
          <w:sz w:val="21"/>
        </w:rPr>
        <w:t>ТЭО и смета с CAPEX/OPEX и полной стоимостью владения;</w:t>
      </w:r>
    </w:p>
    <w:p>
      <w:pPr>
        <w:numPr>
          <w:ilvl w:val="0"/>
          <w:numId w:val="90"/>
        </w:numPr>
        <w:spacing w:after="80" w:line="264" w:lineRule="auto"/>
      </w:pPr>
      <w:r>
        <w:rPr>
          <w:rFonts w:ascii="Arial" w:hAnsi="Arial" w:eastAsia="Arial"/>
          <w:b w:val="0"/>
          <w:i w:val="0"/>
          <w:color w:val="1F2933"/>
          <w:sz w:val="21"/>
        </w:rPr>
        <w:t>правовое заключение по данным, закупкам, земле, энергетике и разрешениям;</w:t>
      </w:r>
    </w:p>
    <w:p>
      <w:pPr>
        <w:numPr>
          <w:ilvl w:val="0"/>
          <w:numId w:val="90"/>
        </w:numPr>
        <w:spacing w:after="80" w:line="264" w:lineRule="auto"/>
      </w:pPr>
      <w:r>
        <w:rPr>
          <w:rFonts w:ascii="Arial" w:hAnsi="Arial" w:eastAsia="Arial"/>
          <w:b w:val="0"/>
          <w:i w:val="0"/>
          <w:color w:val="1F2933"/>
          <w:sz w:val="21"/>
        </w:rPr>
        <w:t>техническое задание и модель угроз;</w:t>
      </w:r>
    </w:p>
    <w:p>
      <w:pPr>
        <w:numPr>
          <w:ilvl w:val="0"/>
          <w:numId w:val="90"/>
        </w:numPr>
        <w:spacing w:after="80" w:line="264" w:lineRule="auto"/>
      </w:pPr>
      <w:r>
        <w:rPr>
          <w:rFonts w:ascii="Arial" w:hAnsi="Arial" w:eastAsia="Arial"/>
          <w:b w:val="0"/>
          <w:i w:val="0"/>
          <w:color w:val="1F2933"/>
          <w:sz w:val="21"/>
        </w:rPr>
        <w:t>перечень оборудования, сертификатов и требований метрологии;</w:t>
      </w:r>
    </w:p>
    <w:p>
      <w:pPr>
        <w:numPr>
          <w:ilvl w:val="0"/>
          <w:numId w:val="90"/>
        </w:numPr>
        <w:spacing w:after="80" w:line="264" w:lineRule="auto"/>
      </w:pPr>
      <w:r>
        <w:rPr>
          <w:rFonts w:ascii="Arial" w:hAnsi="Arial" w:eastAsia="Arial"/>
          <w:b w:val="0"/>
          <w:i w:val="0"/>
          <w:color w:val="1F2933"/>
          <w:sz w:val="21"/>
        </w:rPr>
        <w:t>baseline, контрольная зона и план измерений;</w:t>
      </w:r>
    </w:p>
    <w:p>
      <w:pPr>
        <w:numPr>
          <w:ilvl w:val="0"/>
          <w:numId w:val="90"/>
        </w:numPr>
        <w:spacing w:after="80" w:line="264" w:lineRule="auto"/>
      </w:pPr>
      <w:r>
        <w:rPr>
          <w:rFonts w:ascii="Arial" w:hAnsi="Arial" w:eastAsia="Arial"/>
          <w:b w:val="0"/>
          <w:i w:val="0"/>
          <w:color w:val="1F2933"/>
          <w:sz w:val="21"/>
        </w:rPr>
        <w:t>проект паспорта ECO-PPA и соглашений участников;</w:t>
      </w:r>
    </w:p>
    <w:p>
      <w:pPr>
        <w:numPr>
          <w:ilvl w:val="0"/>
          <w:numId w:val="90"/>
        </w:numPr>
        <w:spacing w:after="80" w:line="264" w:lineRule="auto"/>
      </w:pPr>
      <w:r>
        <w:rPr>
          <w:rFonts w:ascii="Arial" w:hAnsi="Arial" w:eastAsia="Arial"/>
          <w:b w:val="0"/>
          <w:i w:val="0"/>
          <w:color w:val="1F2933"/>
          <w:sz w:val="21"/>
        </w:rPr>
        <w:t>план независимой верификации и управления конфликтами интересов;</w:t>
      </w:r>
    </w:p>
    <w:p>
      <w:pPr>
        <w:numPr>
          <w:ilvl w:val="0"/>
          <w:numId w:val="90"/>
        </w:numPr>
        <w:spacing w:after="80" w:line="264" w:lineRule="auto"/>
      </w:pPr>
      <w:r>
        <w:rPr>
          <w:rFonts w:ascii="Arial" w:hAnsi="Arial" w:eastAsia="Arial"/>
          <w:b w:val="0"/>
          <w:i w:val="0"/>
          <w:color w:val="1F2933"/>
          <w:sz w:val="21"/>
        </w:rPr>
        <w:t>решение по воротам G0–G2.</w:t>
      </w:r>
    </w:p>
    <w:p>
      <w:pPr>
        <w:pStyle w:val="Heading1"/>
        <w:keepNext/>
      </w:pPr>
      <w:r>
        <w:t>Приложение 4. Нормативные и методологические источники</w:t>
      </w:r>
    </w:p>
    <w:p>
      <w:pPr>
        <w:spacing w:after="120"/>
      </w:pPr>
      <w:r>
        <w:rPr>
          <w:rFonts w:ascii="Arial" w:hAnsi="Arial" w:eastAsia="Arial"/>
          <w:b w:val="0"/>
          <w:i w:val="0"/>
          <w:color w:val="1F2933"/>
          <w:sz w:val="19"/>
        </w:rPr>
        <w:t xml:space="preserve">1. Федеральный закон от 08.12.2020 № 394-ФЗ «О Государственном Совете Российской Федерации». </w:t>
      </w:r>
      <w:hyperlink r:id="rId12">
        <w:r>
          <w:rPr>
            <w:color w:val="2F5597"/>
            <w:u w:val="single"/>
          </w:rPr>
          <w:t>Официальный источник</w:t>
        </w:r>
      </w:hyperlink>
    </w:p>
    <w:p>
      <w:pPr>
        <w:spacing w:after="120"/>
      </w:pPr>
      <w:r>
        <w:rPr>
          <w:rFonts w:ascii="Arial" w:hAnsi="Arial" w:eastAsia="Arial"/>
          <w:b w:val="0"/>
          <w:i w:val="0"/>
          <w:color w:val="1F2933"/>
          <w:sz w:val="19"/>
        </w:rPr>
        <w:t xml:space="preserve">2. Указ Президента Российской Федерации от 21.12.2020 № 800 «Вопросы Государственного Совета Российской Федерации». </w:t>
      </w:r>
      <w:hyperlink r:id="rId13">
        <w:r>
          <w:rPr>
            <w:color w:val="2F5597"/>
            <w:u w:val="single"/>
          </w:rPr>
          <w:t>Официальный источник</w:t>
        </w:r>
      </w:hyperlink>
    </w:p>
    <w:p>
      <w:pPr>
        <w:spacing w:after="120"/>
      </w:pPr>
      <w:r>
        <w:rPr>
          <w:rFonts w:ascii="Arial" w:hAnsi="Arial" w:eastAsia="Arial"/>
          <w:b w:val="0"/>
          <w:i w:val="0"/>
          <w:color w:val="1F2933"/>
          <w:sz w:val="19"/>
        </w:rPr>
        <w:t xml:space="preserve">3. Указ Президента Российской Федерации от 22.07.2024 № 613 о комиссиях Государственного Совета. </w:t>
      </w:r>
      <w:hyperlink r:id="rId14">
        <w:r>
          <w:rPr>
            <w:color w:val="2F5597"/>
            <w:u w:val="single"/>
          </w:rPr>
          <w:t>Официальный источник</w:t>
        </w:r>
      </w:hyperlink>
    </w:p>
    <w:p>
      <w:pPr>
        <w:spacing w:after="120"/>
      </w:pPr>
      <w:r>
        <w:rPr>
          <w:rFonts w:ascii="Arial" w:hAnsi="Arial" w:eastAsia="Arial"/>
          <w:b w:val="0"/>
          <w:i w:val="0"/>
          <w:color w:val="1F2933"/>
          <w:sz w:val="19"/>
        </w:rPr>
        <w:t xml:space="preserve">4. Указ Президента Российской Федерации от 29.12.2025 № 1003 о типовом положении о комиссии Государственного Совета. </w:t>
      </w:r>
      <w:hyperlink r:id="rId15">
        <w:r>
          <w:rPr>
            <w:color w:val="2F5597"/>
            <w:u w:val="single"/>
          </w:rPr>
          <w:t>Официальный источник</w:t>
        </w:r>
      </w:hyperlink>
    </w:p>
    <w:p>
      <w:pPr>
        <w:spacing w:after="120"/>
      </w:pPr>
      <w:r>
        <w:rPr>
          <w:rFonts w:ascii="Arial" w:hAnsi="Arial" w:eastAsia="Arial"/>
          <w:b w:val="0"/>
          <w:i w:val="0"/>
          <w:color w:val="1F2933"/>
          <w:sz w:val="19"/>
        </w:rPr>
        <w:t xml:space="preserve">5. Назначение А. Г. Дюмина Секретарём Государственного Совета Российской Федерации, 29.05.2024. </w:t>
      </w:r>
      <w:hyperlink r:id="rId16">
        <w:r>
          <w:rPr>
            <w:color w:val="2F5597"/>
            <w:u w:val="single"/>
          </w:rPr>
          <w:t>Официальный источник</w:t>
        </w:r>
      </w:hyperlink>
    </w:p>
    <w:p>
      <w:pPr>
        <w:spacing w:after="120"/>
      </w:pPr>
      <w:r>
        <w:rPr>
          <w:rFonts w:ascii="Arial" w:hAnsi="Arial" w:eastAsia="Arial"/>
          <w:b w:val="0"/>
          <w:i w:val="0"/>
          <w:color w:val="1F2933"/>
          <w:sz w:val="19"/>
        </w:rPr>
        <w:t xml:space="preserve">6. Указ Президента Российской Федерации от 07.05.2024 № 309 о национальных целях. </w:t>
      </w:r>
      <w:hyperlink r:id="rId17">
        <w:r>
          <w:rPr>
            <w:color w:val="2F5597"/>
            <w:u w:val="single"/>
          </w:rPr>
          <w:t>Официальный источник</w:t>
        </w:r>
      </w:hyperlink>
    </w:p>
    <w:p>
      <w:pPr>
        <w:spacing w:after="120"/>
      </w:pPr>
      <w:r>
        <w:rPr>
          <w:rFonts w:ascii="Arial" w:hAnsi="Arial" w:eastAsia="Arial"/>
          <w:b w:val="0"/>
          <w:i w:val="0"/>
          <w:color w:val="1F2933"/>
          <w:sz w:val="19"/>
        </w:rPr>
        <w:t xml:space="preserve">7. Федеральный закон от 28.06.2014 № 172-ФЗ «О стратегическом планировании в Российской Федерации». </w:t>
      </w:r>
      <w:hyperlink r:id="rId18">
        <w:r>
          <w:rPr>
            <w:color w:val="2F5597"/>
            <w:u w:val="single"/>
          </w:rPr>
          <w:t>Официальный источник</w:t>
        </w:r>
      </w:hyperlink>
    </w:p>
    <w:p>
      <w:pPr>
        <w:spacing w:after="120"/>
      </w:pPr>
      <w:r>
        <w:rPr>
          <w:rFonts w:ascii="Arial" w:hAnsi="Arial" w:eastAsia="Arial"/>
          <w:b w:val="0"/>
          <w:i w:val="0"/>
          <w:color w:val="1F2933"/>
          <w:sz w:val="19"/>
        </w:rPr>
        <w:t xml:space="preserve">8. Росстат: национальные счета и таблицы «затраты–выпуск». </w:t>
      </w:r>
      <w:hyperlink r:id="rId19">
        <w:r>
          <w:rPr>
            <w:color w:val="2F5597"/>
            <w:u w:val="single"/>
          </w:rPr>
          <w:t>Официальный источник</w:t>
        </w:r>
      </w:hyperlink>
    </w:p>
    <w:p>
      <w:pPr>
        <w:spacing w:after="120"/>
      </w:pPr>
      <w:r>
        <w:rPr>
          <w:rFonts w:ascii="Arial" w:hAnsi="Arial" w:eastAsia="Arial"/>
          <w:b w:val="0"/>
          <w:i w:val="0"/>
          <w:color w:val="1F2933"/>
          <w:sz w:val="19"/>
        </w:rPr>
        <w:t xml:space="preserve">9. Банк России: методология платёжного баланса. </w:t>
      </w:r>
      <w:hyperlink r:id="rId20">
        <w:r>
          <w:rPr>
            <w:color w:val="2F5597"/>
            <w:u w:val="single"/>
          </w:rPr>
          <w:t>Официальный источник</w:t>
        </w:r>
      </w:hyperlink>
    </w:p>
    <w:p>
      <w:pPr>
        <w:pStyle w:val="Heading1"/>
        <w:keepNext/>
      </w:pPr>
      <w:r>
        <w:t>Приложение 5. Термины и ограничения</w:t>
      </w:r>
    </w:p>
    <w:tbl>
      <w:tblPr>
        <w:tblStyle w:val="TableGrid"/>
        <w:tblW w:type="dxa" w:w="9750"/>
        <w:tblLayout w:type="fixed"/>
        <w:tblLook w:firstColumn="1" w:firstRow="1" w:lastColumn="0" w:lastRow="0" w:noHBand="0" w:noVBand="1" w:val="04A0"/>
        <w:jc w:val="left"/>
        <w:tblInd w:w="120" w:type="dxa"/>
      </w:tblPr>
      <w:tblGrid>
        <w:gridCol w:w="2200"/>
        <w:gridCol w:w="7550"/>
      </w:tblGrid>
      <w:tr>
        <w:trPr>
          <w:tblHeader w:val="true"/>
          <w:cantSplit w:val="true"/>
        </w:trPr>
        <w:tc>
          <w:tcPr>
            <w:tcW w:type="dxa" w:w="220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7"/>
              </w:rPr>
              <w:t>Термин</w:t>
            </w:r>
          </w:p>
        </w:tc>
        <w:tc>
          <w:tcPr>
            <w:tcW w:type="dxa" w:w="7550"/>
            <w:tcMar>
              <w:top w:w="90" w:type="dxa"/>
              <w:start w:w="120" w:type="dxa"/>
              <w:bottom w:w="90" w:type="dxa"/>
              <w:end w:w="120" w:type="dxa"/>
            </w:tcMar>
            <w:vAlign w:val="center"/>
            <w:shd w:fill="17365D"/>
          </w:tcPr>
          <w:p>
            <w:pPr>
              <w:spacing w:before="0" w:after="0" w:line="252" w:lineRule="auto"/>
              <w:jc w:val="center"/>
            </w:pPr>
            <w:r/>
            <w:r>
              <w:rPr>
                <w:rFonts w:ascii="Arial" w:hAnsi="Arial" w:eastAsia="Arial"/>
                <w:b/>
                <w:i w:val="0"/>
                <w:color w:val="FFFFFF"/>
                <w:sz w:val="17"/>
              </w:rPr>
              <w:t>Рабочее определение</w:t>
            </w:r>
          </w:p>
        </w:tc>
      </w:tr>
      <w:tr>
        <w:trPr>
          <w:cantSplit w:val="true"/>
        </w:trPr>
        <w:tc>
          <w:tcPr>
            <w:tcW w:type="dxa" w:w="2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ЭКВИЛИБРИУМ</w:t>
            </w:r>
          </w:p>
        </w:tc>
        <w:tc>
          <w:tcPr>
            <w:tcW w:type="dxa" w:w="75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Авторская концепция информационно-аналитической поддержки решений; не государственная система и не орган власти</w:t>
            </w:r>
          </w:p>
        </w:tc>
      </w:tr>
      <w:tr>
        <w:trPr>
          <w:cantSplit w:val="true"/>
        </w:trPr>
        <w:tc>
          <w:tcPr>
            <w:tcW w:type="dxa" w:w="22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ИАЦ</w:t>
            </w:r>
          </w:p>
        </w:tc>
        <w:tc>
          <w:tcPr>
            <w:tcW w:type="dxa" w:w="75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Предлагаемый информационно-аналитический контур; статус, оператор и доступ к данным определяются отдельно</w:t>
            </w:r>
          </w:p>
        </w:tc>
      </w:tr>
      <w:tr>
        <w:trPr>
          <w:cantSplit w:val="true"/>
        </w:trPr>
        <w:tc>
          <w:tcPr>
            <w:tcW w:type="dxa" w:w="2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ECO-PPA</w:t>
            </w:r>
          </w:p>
        </w:tc>
        <w:tc>
          <w:tcPr>
            <w:tcW w:type="dxa" w:w="75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Проектно-контрактная рамка подготовки пилота; конкретная правовая конструкция определяется для каждого применения</w:t>
            </w:r>
          </w:p>
        </w:tc>
      </w:tr>
      <w:tr>
        <w:trPr>
          <w:cantSplit w:val="true"/>
        </w:trPr>
        <w:tc>
          <w:tcPr>
            <w:tcW w:type="dxa" w:w="22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СПЕЦЗАЩИТА</w:t>
            </w:r>
          </w:p>
        </w:tc>
        <w:tc>
          <w:tcPr>
            <w:tcW w:type="dxa" w:w="75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Возможная кооперационная платформа исполнения; без исключительных прав и властных функций</w:t>
            </w:r>
          </w:p>
        </w:tc>
      </w:tr>
      <w:tr>
        <w:trPr>
          <w:cantSplit w:val="true"/>
        </w:trPr>
        <w:tc>
          <w:tcPr>
            <w:tcW w:type="dxa" w:w="2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ESG-IR</w:t>
            </w:r>
          </w:p>
        </w:tc>
        <w:tc>
          <w:tcPr>
            <w:tcW w:type="dxa" w:w="75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Проект добровольной методики доказательности и оценки воздействия; не заменяет государственный контроль, аудит и стандартизацию</w:t>
            </w:r>
          </w:p>
        </w:tc>
      </w:tr>
      <w:tr>
        <w:trPr>
          <w:cantSplit w:val="true"/>
        </w:trPr>
        <w:tc>
          <w:tcPr>
            <w:tcW w:type="dxa" w:w="22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СФЕРА</w:t>
            </w:r>
          </w:p>
        </w:tc>
        <w:tc>
          <w:tcPr>
            <w:tcW w:type="dxa" w:w="75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Коммуникационная среда взаимодействия; не заменяет официальные каналы</w:t>
            </w:r>
          </w:p>
        </w:tc>
      </w:tr>
      <w:tr>
        <w:trPr>
          <w:cantSplit w:val="true"/>
        </w:trPr>
        <w:tc>
          <w:tcPr>
            <w:tcW w:type="dxa" w:w="2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ГАСМП</w:t>
            </w:r>
          </w:p>
        </w:tc>
        <w:tc>
          <w:tcPr>
            <w:tcW w:type="dxa" w:w="75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Предлагаемый мониторингово-прогностический контур; подключение к государственным данным требует отдельных оснований</w:t>
            </w:r>
          </w:p>
        </w:tc>
      </w:tr>
      <w:tr>
        <w:trPr>
          <w:cantSplit w:val="true"/>
        </w:trPr>
        <w:tc>
          <w:tcPr>
            <w:tcW w:type="dxa" w:w="220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19 балансов</w:t>
            </w:r>
          </w:p>
        </w:tc>
        <w:tc>
          <w:tcPr>
            <w:tcW w:type="dxa" w:w="7550"/>
            <w:shd w:fill="F3F6F8"/>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Проектный аналитический классификатор; не официальный перечень статистической отчётности</w:t>
            </w:r>
          </w:p>
        </w:tc>
      </w:tr>
      <w:tr>
        <w:trPr>
          <w:cantSplit w:val="true"/>
        </w:trPr>
        <w:tc>
          <w:tcPr>
            <w:tcW w:type="dxa" w:w="220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IRE</w:t>
            </w:r>
          </w:p>
        </w:tc>
        <w:tc>
          <w:tcPr>
            <w:tcW w:type="dxa" w:w="7550"/>
            <w:tcMar>
              <w:top w:w="90" w:type="dxa"/>
              <w:start w:w="120" w:type="dxa"/>
              <w:bottom w:w="90" w:type="dxa"/>
              <w:end w:w="120" w:type="dxa"/>
            </w:tcMar>
            <w:vAlign w:val="center"/>
          </w:tcPr>
          <w:p>
            <w:pPr>
              <w:spacing w:before="0" w:after="0" w:line="252" w:lineRule="auto"/>
              <w:jc w:val="left"/>
            </w:pPr>
            <w:r/>
            <w:r>
              <w:rPr>
                <w:rFonts w:ascii="Arial" w:hAnsi="Arial" w:eastAsia="Arial"/>
                <w:b w:val="0"/>
                <w:i w:val="0"/>
                <w:color w:val="1F2933"/>
                <w:sz w:val="17"/>
              </w:rPr>
              <w:t>Навигационный индекс дисбаланса; не рейтинг органов власти и не замена первичных показателей</w:t>
            </w:r>
          </w:p>
        </w:tc>
      </w:tr>
    </w:tbl>
    <w:p>
      <w:pPr>
        <w:spacing w:before="0" w:after="60"/>
      </w:pPr>
    </w:p>
    <w:p>
      <w:pPr>
        <w:pStyle w:val="Heading1"/>
        <w:keepNext/>
      </w:pPr>
      <w:r>
        <w:t>Заключение</w:t>
      </w:r>
    </w:p>
    <w:p>
      <w:pPr>
        <w:spacing w:before="140" w:after="160" w:line="259" w:lineRule="auto"/>
        <w:ind w:left="198" w:right="113"/>
        <w:shd w:fill="E7F2F1"/>
        <w:keepLines/>
        <w:pBdr>
          <w:left w:val="single" w:sz="18" w:space="8" w:color="1B6B6F"/>
        </w:pBdr>
      </w:pPr>
      <w:r>
        <w:rPr>
          <w:rFonts w:ascii="Arial" w:hAnsi="Arial" w:eastAsia="Arial"/>
          <w:b/>
          <w:i w:val="0"/>
          <w:color w:val="1B6B6F"/>
          <w:sz w:val="21"/>
        </w:rPr>
        <w:t xml:space="preserve">Главная формула пакета. </w:t>
      </w:r>
      <w:r>
        <w:rPr>
          <w:rFonts w:ascii="Arial" w:hAnsi="Arial" w:eastAsia="Arial"/>
          <w:b w:val="0"/>
          <w:i w:val="0"/>
          <w:color w:val="1F2933"/>
          <w:sz w:val="21"/>
        </w:rPr>
        <w:t>ЭКВИЛИБРИУМ показывает, где возникает дисбаланс; ECO-PPA закрепляет проверяемый проект его устранения; СПЕЦЗАЩИТА может обеспечить кооперационное исполнение; ESG-IR независимо подтверждает результат.</w:t>
      </w:r>
    </w:p>
    <w:p>
      <w:pPr>
        <w:spacing w:before="0" w:after="100" w:line="278" w:lineRule="auto"/>
      </w:pPr>
      <w:r>
        <w:rPr>
          <w:rFonts w:ascii="Arial" w:hAnsi="Arial" w:eastAsia="Arial"/>
          <w:b/>
          <w:i w:val="0"/>
          <w:color w:val="17365D"/>
          <w:sz w:val="22"/>
        </w:rPr>
        <w:t>Предлагается начать с малого, обратимого и проверяемого шага: рабочего представления и 90-дневной апробации. Только подтверждённые данные, правовая готовность, ТЭО и независимая оценка могут стать основанием для 12-месячного территориального пилота и последующего рассмотрения вопроса о масштабировании.</w:t>
      </w:r>
    </w:p>
    <w:p>
      <w:pPr>
        <w:spacing w:before="360" w:after="100" w:line="264" w:lineRule="auto"/>
      </w:pPr>
      <w:r>
        <w:rPr>
          <w:rFonts w:ascii="Arial" w:hAnsi="Arial" w:eastAsia="Arial"/>
          <w:b w:val="0"/>
          <w:i w:val="0"/>
          <w:color w:val="5B6573"/>
          <w:sz w:val="20"/>
        </w:rPr>
        <w:t>Соколов Сергей Леонидович</w:t>
        <w:br/>
        <w:t>Инициатор проекта «ЭКВИЛИБРИУМ — ECO-PPA»</w:t>
        <w:br/>
        <w:t>Контактные данные: ______________________________</w:t>
        <w:br/>
        <w:t>Дата и подпись: _________________________________</w:t>
      </w:r>
    </w:p>
    <w:sectPr w:rsidR="00FC693F" w:rsidRPr="0006063C" w:rsidSect="00034616">
      <w:headerReference w:type="default" r:id="rId9"/>
      <w:footerReference w:type="default" r:id="rId10"/>
      <w:pgSz w:w="11906" w:h="16838"/>
      <w:pgMar w:top="1134" w:right="907" w:bottom="1134" w:left="1247" w:header="567" w:footer="56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Arial" w:hAnsi="Arial" w:eastAsia="Arial"/>
        <w:b w:val="0"/>
        <w:i w:val="0"/>
        <w:color w:val="5B6573"/>
        <w:sz w:val="17"/>
      </w:rPr>
      <w:t xml:space="preserve">Москва • 2026  |  </w:t>
    </w:r>
    <w:r>
      <w:rPr>
        <w:rFonts w:ascii="Arial" w:hAnsi="Arial" w:eastAsia="Arial"/>
        <w:b w:val="0"/>
        <w:i w:val="0"/>
        <w:color w:val="5B6573"/>
        <w:sz w:val="18"/>
      </w:rPr>
      <w:fldChar w:fldCharType="begin"/>
      <w:instrText xml:space="preserve">PAGE</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rial" w:hAnsi="Arial" w:eastAsia="Arial"/>
        <w:b/>
        <w:i w:val="0"/>
        <w:color w:val="5B6573"/>
        <w:sz w:val="17"/>
      </w:rPr>
      <w:t>СИСТЕМА СТРАТЕГИЧЕСКИХ БАЛАНСОВ  |  ЭКВИЛИБРИУМ — ECO-PPA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multiLevelType w:val="singleLevel"/>
    <w:lvl w:ilvl="0">
      <w:start w:val="1"/>
      <w:numFmt w:val="bullet"/>
      <w:lvlText w:val="•"/>
      <w:suff w:val="tab"/>
      <w:pPr>
        <w:tabs>
          <w:tab w:val="num" w:pos="720"/>
        </w:tabs>
        <w:ind w:left="720" w:hanging="360"/>
      </w:pPr>
      <w:rPr>
        <w:rFonts w:ascii="Arial" w:hAnsi="Arial"/>
      </w:rPr>
    </w:lvl>
  </w:abstractNum>
  <w:abstractNum w:abstractNumId="91">
    <w:multiLevelType w:val="singleLevel"/>
    <w:lvl w:ilvl="0">
      <w:start w:val="1"/>
      <w:numFmt w:val="decimal"/>
      <w:lvlText w:val="%1."/>
      <w:suff w:val="tab"/>
      <w:pPr>
        <w:tabs>
          <w:tab w:val="num" w:pos="720"/>
        </w:tabs>
        <w:ind w:left="720" w:hanging="360"/>
      </w:pPr>
      <w:rPr>
        <w:rFonts w:ascii="Arial" w:hAnsi="Arial"/>
      </w:rPr>
    </w:lvl>
  </w:abstractNum>
  <w:abstractNum w:abstractNumId="92">
    <w:multiLevelType w:val="singleLevel"/>
    <w:lvl w:ilvl="0">
      <w:start w:val="1"/>
      <w:numFmt w:val="decimal"/>
      <w:lvlText w:val="%1."/>
      <w:suff w:val="tab"/>
      <w:pPr>
        <w:tabs>
          <w:tab w:val="num" w:pos="720"/>
        </w:tabs>
        <w:ind w:left="720" w:hanging="360"/>
      </w:pPr>
      <w:rPr>
        <w:rFonts w:ascii="Arial" w:hAnsi="Arial"/>
      </w:rPr>
    </w:lvl>
  </w:abstractNum>
  <w:abstractNum w:abstractNumId="93">
    <w:multiLevelType w:val="singleLevel"/>
    <w:lvl w:ilvl="0">
      <w:start w:val="1"/>
      <w:numFmt w:val="decimal"/>
      <w:lvlText w:val="%1."/>
      <w:suff w:val="tab"/>
      <w:pPr>
        <w:tabs>
          <w:tab w:val="num" w:pos="720"/>
        </w:tabs>
        <w:ind w:left="720" w:hanging="360"/>
      </w:pPr>
      <w:rPr>
        <w:rFonts w:ascii="Arial" w:hAnsi="Arial"/>
      </w:rPr>
    </w:lvl>
  </w:abstractNum>
  <w:abstractNum w:abstractNumId="94">
    <w:multiLevelType w:val="singleLevel"/>
    <w:lvl w:ilvl="0">
      <w:start w:val="1"/>
      <w:numFmt w:val="decimal"/>
      <w:lvlText w:val="%1."/>
      <w:suff w:val="tab"/>
      <w:pPr>
        <w:tabs>
          <w:tab w:val="num" w:pos="720"/>
        </w:tabs>
        <w:ind w:left="720" w:hanging="360"/>
      </w:pPr>
      <w:rPr>
        <w:rFonts w:ascii="Arial" w:hAnsi="Arial"/>
      </w:rPr>
    </w:lvl>
  </w:abstractNum>
  <w:num w:numId="90">
    <w:abstractNumId w:val="90"/>
  </w:num>
  <w:num w:numId="91">
    <w:abstractNumId w:val="91"/>
  </w:num>
  <w:num w:numId="92">
    <w:abstractNumId w:val="92"/>
  </w:num>
  <w:num w:numId="93">
    <w:abstractNumId w:val="93"/>
  </w:num>
  <w:num w:numId="94">
    <w:abstractNumId w:val="9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4" w:lineRule="auto"/>
    </w:pPr>
    <w:rPr>
      <w:rFonts w:ascii="Arial" w:hAnsi="Arial" w:eastAsia="Arial"/>
      <w:color w:val="1F29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Arial" w:hAnsi="Arial" w:eastAsia="Arial"/>
      <w:b/>
      <w:bCs/>
      <w:color w:val="17365D"/>
      <w:sz w:val="31"/>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eastAsia="Arial"/>
      <w:b/>
      <w:bCs/>
      <w:color w:val="2F5597"/>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eastAsia="Arial"/>
      <w:b/>
      <w:bCs/>
      <w:color w:val="1B6B6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kremlin.ru/acts/bank/46186" TargetMode="External"/><Relationship Id="rId13" Type="http://schemas.openxmlformats.org/officeDocument/2006/relationships/hyperlink" Target="https://www.kremlin.ru/acts/bank/46219" TargetMode="External"/><Relationship Id="rId14" Type="http://schemas.openxmlformats.org/officeDocument/2006/relationships/hyperlink" Target="https://publication.pravo.gov.ru/document/0001202407220045" TargetMode="External"/><Relationship Id="rId15" Type="http://schemas.openxmlformats.org/officeDocument/2006/relationships/hyperlink" Target="https://publication.pravo.gov.ru/document/0001202512290122" TargetMode="External"/><Relationship Id="rId16" Type="http://schemas.openxmlformats.org/officeDocument/2006/relationships/hyperlink" Target="https://kremlin.ru/events/president/news/74135" TargetMode="External"/><Relationship Id="rId17" Type="http://schemas.openxmlformats.org/officeDocument/2006/relationships/hyperlink" Target="https://publication.pravo.gov.ru/document/0001202405070015" TargetMode="External"/><Relationship Id="rId18" Type="http://schemas.openxmlformats.org/officeDocument/2006/relationships/hyperlink" Target="https://publication.pravo.gov.ru/Document/View/0001201406300016" TargetMode="External"/><Relationship Id="rId19" Type="http://schemas.openxmlformats.org/officeDocument/2006/relationships/hyperlink" Target="https://rosstat.gov.ru/statistics/accounts" TargetMode="External"/><Relationship Id="rId20" Type="http://schemas.openxmlformats.org/officeDocument/2006/relationships/hyperlink" Target="https://www.cbr.ru/statistics/macro_itm/external_sector/pb/meth_com_b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Пакет предложений Дюмину — Система стратегических балансов ЭКВИЛИБРИУМ — ECO-PPA</dc:title>
  <dc:subject>Предложения для предварительного рассмотрения в Государственном Совете Российской Федерации</dc:subject>
  <dc:creator>Соколов Сергей Леонидович</dc:creator>
  <cp:keywords>Государственный Совет; ЭКВИЛИБРИУМ; ECO-PPA; 19 балансов; межотраслевой баланс; пилот</cp:keywords>
  <dc:description>Инициативное предложение. Требует заполнения контактных реквизитов перед направлением.</dc:description>
  <cp:lastModifiedBy/>
  <cp:revision>1</cp:revision>
  <dcterms:created xsi:type="dcterms:W3CDTF">2013-12-23T23:15:00Z</dcterms:created>
  <dcterms:modified xsi:type="dcterms:W3CDTF">2013-12-23T23:15:00Z</dcterms:modified>
  <cp:category/>
</cp:coreProperties>
</file>