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2423160" cy="2423160"/>
            <wp:docPr id="1" name="Picture 1" descr="Орион над Землёй — символ навигационного контура будущего" title="ОРИОН 22: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Орион над Землёй: навигация будущего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2423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Calibri" w:hAnsi="Calibri" w:eastAsia="Calibri"/>
          <w:b/>
          <w:color w:val="0B2545"/>
          <w:sz w:val="58"/>
        </w:rPr>
        <w:t>ОРИОН 22:22</w:t>
      </w:r>
    </w:p>
    <w:p>
      <w:pPr>
        <w:spacing w:after="60"/>
        <w:jc w:val="center"/>
      </w:pPr>
      <w:r>
        <w:rPr>
          <w:rFonts w:ascii="Calibri" w:hAnsi="Calibri" w:eastAsia="Calibri"/>
          <w:b/>
          <w:color w:val="0D7C86"/>
          <w:sz w:val="32"/>
        </w:rPr>
        <w:t>Цивилизационные операционные системы</w:t>
      </w:r>
    </w:p>
    <w:p>
      <w:pPr>
        <w:spacing w:after="280"/>
        <w:jc w:val="center"/>
      </w:pPr>
      <w:r>
        <w:rPr>
          <w:rFonts w:ascii="Calibri" w:hAnsi="Calibri" w:eastAsia="Calibri"/>
          <w:b/>
          <w:color w:val="2E74B5"/>
          <w:sz w:val="46"/>
        </w:rPr>
        <w:t>Унификация классификатора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5A6B7A"/>
          <w:sz w:val="21"/>
        </w:rPr>
        <w:t>22 оси • 19 стандартов Человека • 260 показателей Судьбы • отдельная матрица 260 Кинов</w:t>
      </w:r>
    </w:p>
    <w:p>
      <w:pPr>
        <w:jc w:val="center"/>
      </w:pPr>
      <w:r>
        <w:rPr>
          <w:rFonts w:ascii="Calibri" w:hAnsi="Calibri" w:eastAsia="Calibri"/>
          <w:i/>
          <w:color w:val="5A6B7A"/>
          <w:sz w:val="19"/>
        </w:rPr>
        <w:t>Нормативно-концептуальный проект | Редакция 2.0 | 30 августа 2026 года</w:t>
      </w:r>
    </w:p>
    <w:p>
      <w:r>
        <w:br w:type="page"/>
      </w:r>
    </w:p>
    <w:p>
      <w:pPr>
        <w:pStyle w:val="Heading1"/>
      </w:pPr>
      <w:r>
        <w:t>Паспорт решения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Параметр</w:t>
            </w:r>
          </w:p>
        </w:tc>
        <w:tc>
          <w:tcPr>
            <w:tcW w:type="dxa" w:w="7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Содержание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Наименование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ОРИОН 22:22 — Объединённая Реестровая Интеллектуальная Операционная Навигация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Предмет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Федеративная унификация классификаторов, метаданных, показателей и символических систем без утраты автономии исходных схем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Формула 22:22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22 ортогональные оси классификации ↔ 22 проверяемых результата управления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Человекоцентричный контур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СРЧ 1.0: 19 стандартов и ровно 260 показателей условий, возможностей и подтверждённых результатов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Символический контур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Книга Кинов: 20 архетипов × 13 тонов = 260 координат; не является системой ранжирования или предсказания личности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Статус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Проект для межведомственного, научного, технологического, делового и общественного обсуждения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Принцип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Стандартизируется среда — не личность. Достоинство Человека не зависит от балла, профиля или кода.</w:t>
            </w:r>
          </w:p>
        </w:tc>
      </w:tr>
    </w:tbl>
    <w:p>
      <w:pPr>
        <w:spacing w:after="0"/>
      </w:pP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Решение. </w:t>
      </w:r>
      <w:r>
        <w:rPr>
          <w:rFonts w:ascii="Calibri" w:hAnsi="Calibri" w:eastAsia="Calibri"/>
          <w:color w:val="172B3A"/>
        </w:rPr>
        <w:t>Не создавать один всемирный «сверхкод». ОРИОН сохраняет суверенные классификаторы и добавляет общий слой постоянных идентификаторов, понятий, версий, crosswalk, происхождения и независимой проверки.</w:t>
      </w:r>
    </w:p>
    <w:p>
      <w:pPr>
        <w:pStyle w:val="Heading2"/>
      </w:pPr>
      <w:r>
        <w:t>Краткое резюме</w:t>
      </w:r>
    </w:p>
    <w:p>
      <w:pPr>
        <w:numPr>
          <w:ilvl w:val="0"/>
          <w:numId w:val="10"/>
        </w:numPr>
      </w:pPr>
      <w:r>
        <w:t>ОРИОН соединяет пять слоёв — Смысл, Знание, Решение, Действие и Память — в проверяемый контур «данные → цифровой двойник → решение → действие → эффект → доказательство».</w:t>
      </w:r>
    </w:p>
    <w:p>
      <w:pPr>
        <w:numPr>
          <w:ilvl w:val="0"/>
          <w:numId w:val="10"/>
        </w:numPr>
      </w:pPr>
      <w:r>
        <w:t>«Мыслящий поток» является динамикой этого контура: наблюдение превращается в контекст, понятие, гипотезу, сценарий и предложение решения; после человеческого полномочия действие и эффект возвращаются в память как проверенное знание.</w:t>
      </w:r>
    </w:p>
    <w:p>
      <w:pPr>
        <w:numPr>
          <w:ilvl w:val="0"/>
          <w:numId w:val="10"/>
        </w:numPr>
      </w:pPr>
      <w:r>
        <w:t>22 оси отвечают на разные вопросы и не подменяют друг друга. Язык, версия, источник, доверие и статус согласования являются общей метаинформацией, а не дополнительными осями.</w:t>
      </w:r>
    </w:p>
    <w:p>
      <w:pPr>
        <w:numPr>
          <w:ilvl w:val="0"/>
          <w:numId w:val="10"/>
        </w:numPr>
      </w:pPr>
      <w:r>
        <w:t>СРЧ 1.0 подключается как профиль Человека и среды: 19 стандартов формируют нормативный каркас, а 260 показателей — реестр измерений. Техническое имя — «показатели жизненной траектории»; пользовательское имя — «показатели Судьбы».</w:t>
      </w:r>
    </w:p>
    <w:p>
      <w:pPr>
        <w:numPr>
          <w:ilvl w:val="0"/>
          <w:numId w:val="10"/>
        </w:numPr>
      </w:pPr>
      <w:r>
        <w:t>Матрица 260 Кинов хранится отдельно как символическая система 20×13. Её координаты могут описывать роль записи или фазу цикла, но не подтверждают причинность и не используются для автоматизированных решений о правах, доступе или ресурсах.</w:t>
      </w:r>
    </w:p>
    <w:p>
      <w:pPr>
        <w:pStyle w:val="Heading2"/>
        <w:pageBreakBefore/>
      </w:pPr>
      <w:r>
        <w:t>Содержание</w:t>
      </w:r>
    </w:p>
    <w:p>
      <w:pPr>
        <w:numPr>
          <w:ilvl w:val="0"/>
          <w:numId w:val="10"/>
        </w:numPr>
      </w:pPr>
      <w:r>
        <w:t>1. Стратегическая задача и границы</w:t>
      </w:r>
    </w:p>
    <w:p>
      <w:pPr>
        <w:numPr>
          <w:ilvl w:val="0"/>
          <w:numId w:val="10"/>
        </w:numPr>
      </w:pPr>
      <w:r>
        <w:t>2. Пять слоёв ОРИОН</w:t>
      </w:r>
    </w:p>
    <w:p>
      <w:pPr>
        <w:numPr>
          <w:ilvl w:val="0"/>
          <w:numId w:val="10"/>
        </w:numPr>
      </w:pPr>
      <w:r>
        <w:t>3. Реестр 22 осей</w:t>
      </w:r>
    </w:p>
    <w:p>
      <w:pPr>
        <w:numPr>
          <w:ilvl w:val="0"/>
          <w:numId w:val="10"/>
        </w:numPr>
      </w:pPr>
      <w:r>
        <w:t>4. Метамодель понятия и идентификаторы</w:t>
      </w:r>
    </w:p>
    <w:p>
      <w:pPr>
        <w:numPr>
          <w:ilvl w:val="0"/>
          <w:numId w:val="10"/>
        </w:numPr>
      </w:pPr>
      <w:r>
        <w:t>5. Crosswalk и федерация схем</w:t>
      </w:r>
    </w:p>
    <w:p>
      <w:pPr>
        <w:numPr>
          <w:ilvl w:val="0"/>
          <w:numId w:val="10"/>
        </w:numPr>
      </w:pPr>
      <w:r>
        <w:t>6. СРЧ 1.0: 19 стандартов и 260 показателей Судьбы</w:t>
      </w:r>
    </w:p>
    <w:p>
      <w:pPr>
        <w:numPr>
          <w:ilvl w:val="0"/>
          <w:numId w:val="10"/>
        </w:numPr>
      </w:pPr>
      <w:r>
        <w:t>7. Книга Кинов: отдельный контур 20×13</w:t>
      </w:r>
    </w:p>
    <w:p>
      <w:pPr>
        <w:numPr>
          <w:ilvl w:val="0"/>
          <w:numId w:val="10"/>
        </w:numPr>
      </w:pPr>
      <w:r>
        <w:t>8. Управление, безопасность и этика</w:t>
      </w:r>
    </w:p>
    <w:p>
      <w:pPr>
        <w:numPr>
          <w:ilvl w:val="0"/>
          <w:numId w:val="10"/>
        </w:numPr>
      </w:pPr>
      <w:r>
        <w:t>9. Технологическая архитектура</w:t>
      </w:r>
    </w:p>
    <w:p>
      <w:pPr>
        <w:numPr>
          <w:ilvl w:val="0"/>
          <w:numId w:val="10"/>
        </w:numPr>
      </w:pPr>
      <w:r>
        <w:t>10. Дорожная карта</w:t>
      </w:r>
    </w:p>
    <w:p>
      <w:pPr>
        <w:numPr>
          <w:ilvl w:val="0"/>
          <w:numId w:val="10"/>
        </w:numPr>
      </w:pPr>
      <w:r>
        <w:t>11. Контрольные показатели 22:22</w:t>
      </w:r>
    </w:p>
    <w:p>
      <w:pPr>
        <w:numPr>
          <w:ilvl w:val="0"/>
          <w:numId w:val="10"/>
        </w:numPr>
      </w:pPr>
      <w:r>
        <w:t>Приложение А. Реестр 260 показателей</w:t>
      </w:r>
    </w:p>
    <w:p>
      <w:pPr>
        <w:numPr>
          <w:ilvl w:val="0"/>
          <w:numId w:val="10"/>
        </w:numPr>
      </w:pPr>
      <w:r>
        <w:t>Приложение Б. Источники</w:t>
      </w:r>
    </w:p>
    <w:p>
      <w:pPr>
        <w:pStyle w:val="Heading1"/>
        <w:pageBreakBefore/>
      </w:pPr>
      <w:r>
        <w:t>1. Стратегическая задача и границы</w:t>
      </w:r>
    </w:p>
    <w:p>
      <w:r>
        <w:t>Цивилизационные системы используют тысячи правовых, статистических, отраслевых, научных и локальных классификаторов. Их прямое слияние разрушает контекст: одинаковые слова обозначают разные понятия, одинаковые коды меняют смысл между версиями, а близкие категории не всегда тождественны.</w:t>
      </w:r>
    </w:p>
    <w:p>
      <w:pPr>
        <w:pStyle w:val="Heading2"/>
      </w:pPr>
      <w:r>
        <w:t>1.1. Что именно унифицируется</w:t>
      </w:r>
    </w:p>
    <w:p>
      <w:pPr>
        <w:numPr>
          <w:ilvl w:val="0"/>
          <w:numId w:val="10"/>
        </w:numPr>
      </w:pPr>
      <w:r>
        <w:t>идентичность понятия и его постоянный URI;</w:t>
      </w:r>
    </w:p>
    <w:p>
      <w:pPr>
        <w:numPr>
          <w:ilvl w:val="0"/>
          <w:numId w:val="10"/>
        </w:numPr>
      </w:pPr>
      <w:r>
        <w:t>определения, предпочтительные и альтернативные обозначения на разных языках;</w:t>
      </w:r>
    </w:p>
    <w:p>
      <w:pPr>
        <w:numPr>
          <w:ilvl w:val="0"/>
          <w:numId w:val="10"/>
        </w:numPr>
      </w:pPr>
      <w:r>
        <w:t>схема-владелец, версия, статус и период действия;</w:t>
      </w:r>
    </w:p>
    <w:p>
      <w:pPr>
        <w:numPr>
          <w:ilvl w:val="0"/>
          <w:numId w:val="10"/>
        </w:numPr>
      </w:pPr>
      <w:r>
        <w:t>иерархические и ассоциативные связи;</w:t>
      </w:r>
    </w:p>
    <w:p>
      <w:pPr>
        <w:numPr>
          <w:ilvl w:val="0"/>
          <w:numId w:val="10"/>
        </w:numPr>
      </w:pPr>
      <w:r>
        <w:t>типизированные соответствия между схемами;</w:t>
      </w:r>
    </w:p>
    <w:p>
      <w:pPr>
        <w:numPr>
          <w:ilvl w:val="0"/>
          <w:numId w:val="10"/>
        </w:numPr>
      </w:pPr>
      <w:r>
        <w:t>источник, автор, валидатор, правило преобразования и доказательство;</w:t>
      </w:r>
    </w:p>
    <w:p>
      <w:pPr>
        <w:numPr>
          <w:ilvl w:val="0"/>
          <w:numId w:val="10"/>
        </w:numPr>
      </w:pPr>
      <w:r>
        <w:t>права доступа, лицензия и срок хранения.</w:t>
      </w:r>
    </w:p>
    <w:p>
      <w:pPr>
        <w:pStyle w:val="Heading2"/>
      </w:pPr>
      <w:r>
        <w:t>1.2. Что не унифицируется принудительно</w:t>
      </w:r>
    </w:p>
    <w:p>
      <w:pPr>
        <w:numPr>
          <w:ilvl w:val="0"/>
          <w:numId w:val="10"/>
        </w:numPr>
      </w:pPr>
      <w:r>
        <w:t>юридическая сила и предметная автономия исходного классификатора;</w:t>
      </w:r>
    </w:p>
    <w:p>
      <w:pPr>
        <w:numPr>
          <w:ilvl w:val="0"/>
          <w:numId w:val="10"/>
        </w:numPr>
      </w:pPr>
      <w:r>
        <w:t>культурное различие терминов и локальные значения;</w:t>
      </w:r>
    </w:p>
    <w:p>
      <w:pPr>
        <w:numPr>
          <w:ilvl w:val="0"/>
          <w:numId w:val="10"/>
        </w:numPr>
      </w:pPr>
      <w:r>
        <w:t>человек как личность — кодируются условия, роли, события и проверяемые утверждения, но не достоинство;</w:t>
      </w:r>
    </w:p>
    <w:p>
      <w:pPr>
        <w:numPr>
          <w:ilvl w:val="0"/>
          <w:numId w:val="10"/>
        </w:numPr>
      </w:pPr>
      <w:r>
        <w:t>символическая интерпретация — она хранится как отдельный слой и не маскируется под эмпирическое измерение.</w:t>
      </w:r>
    </w:p>
    <w:p>
      <w:pPr>
        <w:spacing w:before="160" w:after="200"/>
        <w:ind w:left="144" w:right="115"/>
        <w:shd w:fill="FFF7E6"/>
        <w:pBdr>
          <w:left w:val="single" w:sz="20" w:space="8" w:color="A97817"/>
        </w:pBdr>
      </w:pPr>
      <w:r>
        <w:rPr>
          <w:rFonts w:ascii="Calibri" w:hAnsi="Calibri" w:eastAsia="Calibri"/>
          <w:b/>
          <w:color w:val="0B2545"/>
        </w:rPr>
        <w:t xml:space="preserve">Критическая граница. </w:t>
      </w:r>
      <w:r>
        <w:rPr>
          <w:rFonts w:ascii="Calibri" w:hAnsi="Calibri" w:eastAsia="Calibri"/>
          <w:color w:val="172B3A"/>
        </w:rPr>
        <w:t>closeMatch никогда автоматически не повышается до exactMatch; смысловая близость не равна юридической или статистической эквивалентности.</w:t>
      </w:r>
    </w:p>
    <w:p>
      <w:pPr>
        <w:pStyle w:val="Heading1"/>
        <w:pageBreakBefore/>
      </w:pPr>
      <w:r>
        <w:t>2. Пять слоёв ОРИОН</w:t>
      </w:r>
    </w:p>
    <w:p>
      <w:r>
        <w:t>Рабочая модель ОРИОН связывает смысл с измеримым действием и сохраняет всю цепочку в памяти. Каждый слой имеет собственный тип объектов и контрольный вопрос.</w:t>
      </w:r>
    </w:p>
    <w:p>
      <w:pPr>
        <w:pStyle w:val="Caption"/>
        <w:spacing w:before="80" w:after="80"/>
      </w:pPr>
      <w:r>
        <w:rPr>
          <w:rFonts w:ascii="Calibri" w:hAnsi="Calibri" w:eastAsia="Calibri"/>
          <w:i/>
          <w:color w:val="5A6B7A"/>
          <w:sz w:val="18"/>
        </w:rPr>
        <w:t>Таблица 1 — Пятислойная модель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2860"/>
        <w:gridCol w:w="2500"/>
        <w:gridCol w:w="2900"/>
      </w:tblGrid>
      <w:tr>
        <w:trPr>
          <w:tblHeader w:val="true"/>
        </w:trPr>
        <w:tc>
          <w:tcPr>
            <w:tcW w:type="dxa" w:w="1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Слой</w:t>
            </w:r>
          </w:p>
        </w:tc>
        <w:tc>
          <w:tcPr>
            <w:tcW w:type="dxa" w:w="28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Назначение</w:t>
            </w:r>
          </w:p>
        </w:tc>
        <w:tc>
          <w:tcPr>
            <w:tcW w:type="dxa" w:w="2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Главный вопрос</w:t>
            </w:r>
          </w:p>
        </w:tc>
        <w:tc>
          <w:tcPr>
            <w:tcW w:type="dxa" w:w="2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Контуры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Смысл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Ценности, потребности, цели, получатели эффекта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Зачем и для кого?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СФЕРА; стратегический совет</w:t>
            </w:r>
          </w:p>
        </w:tc>
      </w:tr>
      <w:tr>
        <w:tc>
          <w:tcPr>
            <w:tcW w:type="dxa" w:w="1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Знание</w:t>
            </w:r>
          </w:p>
        </w:tc>
        <w:tc>
          <w:tcPr>
            <w:tcW w:type="dxa" w:w="2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Домены, сущности, субъекты, территория, время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Что, кто, где и когда?</w:t>
            </w:r>
          </w:p>
        </w:tc>
        <w:tc>
          <w:tcPr>
            <w:tcW w:type="dxa" w:w="2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КРИСТАЛЛ 741; ЭКВИЛИБРИУМ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Решение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Состояние, показатели, сценарии, риски, акт выбора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Что происходит и что выбрано?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ЭКВИЛИБРИУМ; ECO-PPA</w:t>
            </w:r>
          </w:p>
        </w:tc>
      </w:tr>
      <w:tr>
        <w:tc>
          <w:tcPr>
            <w:tcW w:type="dxa" w:w="1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Действие</w:t>
            </w:r>
          </w:p>
        </w:tc>
        <w:tc>
          <w:tcPr>
            <w:tcW w:type="dxa" w:w="2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Способности, процессы, инициативы, ресурсы, поставки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Как и за счёт чего выполнить?</w:t>
            </w:r>
          </w:p>
        </w:tc>
        <w:tc>
          <w:tcPr>
            <w:tcW w:type="dxa" w:w="2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СФЕРА; ECO-PPA; СПЕЦЗАЩИТА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Память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Записи, происхождение, права и хранение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Чем доказано и как сохранить?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Архив наследия; КРИСТАЛЛ 741</w:t>
            </w:r>
          </w:p>
        </w:tc>
      </w:tr>
    </w:tbl>
    <w:p>
      <w:pPr>
        <w:spacing w:after="0"/>
      </w:pP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Проверяемый контур. </w:t>
      </w:r>
      <w:r>
        <w:rPr>
          <w:rFonts w:ascii="Calibri" w:hAnsi="Calibri" w:eastAsia="Calibri"/>
          <w:color w:val="172B3A"/>
        </w:rPr>
        <w:t>значение → понятие → код → утверждение → решение → действие → эффект → доказательство → версия памяти</w:t>
      </w:r>
    </w:p>
    <w:p>
      <w:pPr>
        <w:pStyle w:val="Heading2"/>
      </w:pPr>
      <w:r>
        <w:t>2.1. Мыслящий поток</w:t>
      </w:r>
    </w:p>
    <w:p>
      <w:r>
        <w:t>Рабочее определение проекта: Мыслящий поток — непрерывная, версионируемая и доказательная траектория преобразования сигналов в осмысленные действия и новых результатов — в обновлённое знание. Это не автономный субъект и не замена человеческой ответственности: ИИ формирует гипотезы, альтернативы и предупреждения, а критическое решение принимает уполномоченный человек или коллегиальный орган.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000"/>
        <w:gridCol w:w="2000"/>
        <w:gridCol w:w="2860"/>
      </w:tblGrid>
      <w:tr>
        <w:trPr>
          <w:tblHeader w:val="true"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Фаза</w:t>
            </w:r>
          </w:p>
        </w:tc>
        <w:tc>
          <w:tcPr>
            <w:tcW w:type="dxa" w:w="3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Преобразование</w:t>
            </w:r>
          </w:p>
        </w:tc>
        <w:tc>
          <w:tcPr>
            <w:tcW w:type="dxa" w:w="2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Результат</w:t>
            </w:r>
          </w:p>
        </w:tc>
        <w:tc>
          <w:tcPr>
            <w:tcW w:type="dxa" w:w="28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Контроль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1. Наблюдение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сигнал → датированный факт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SIT + PRV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источник, качество, время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2. Осмысление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факт → понятие и контекст</w:t>
            </w:r>
          </w:p>
        </w:tc>
        <w:tc>
          <w:tcPr>
            <w:tcW w:type="dxa" w:w="2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DOM/OBJ/GEO/TIM</w:t>
            </w:r>
          </w:p>
        </w:tc>
        <w:tc>
          <w:tcPr>
            <w:tcW w:type="dxa" w:w="2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версия схемы, определение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3. Гипотеза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контекст → объяснение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версионируемое утверждение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основание, уверенность, опровержимость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4. Сценарий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гипотеза → варианты будущего</w:t>
            </w:r>
          </w:p>
        </w:tc>
        <w:tc>
          <w:tcPr>
            <w:tcW w:type="dxa" w:w="2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SCN + RSK</w:t>
            </w:r>
          </w:p>
        </w:tc>
        <w:tc>
          <w:tcPr>
            <w:tcW w:type="dxa" w:w="2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альтернативы, допущения, риски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5. Предложение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варианты → проект решения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DEC-candidate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права, ценности, последствия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6. Полномочие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проект → санкционированное решение</w:t>
            </w:r>
          </w:p>
        </w:tc>
        <w:tc>
          <w:tcPr>
            <w:tcW w:type="dxa" w:w="2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DEC-approved</w:t>
            </w:r>
          </w:p>
        </w:tc>
        <w:tc>
          <w:tcPr>
            <w:tcW w:type="dxa" w:w="2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человек, мандат, цифровое подтверждение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7. Действие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решение → процесс и поставка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PRC/INI/DEL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ресурс, владелец, критерий приёмки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8. Проверка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эффект → доказанный результат</w:t>
            </w:r>
          </w:p>
        </w:tc>
        <w:tc>
          <w:tcPr>
            <w:tcW w:type="dxa" w:w="2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PRV</w:t>
            </w:r>
          </w:p>
        </w:tc>
        <w:tc>
          <w:tcPr>
            <w:tcW w:type="dxa" w:w="2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независимая верификация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9. Память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результат → новая версия знания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REC + RGT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архив, права, урок, возврат в поток</w:t>
            </w:r>
          </w:p>
        </w:tc>
      </w:tr>
    </w:tbl>
    <w:p>
      <w:pPr>
        <w:spacing w:after="0"/>
      </w:pPr>
    </w:p>
    <w:p>
      <w:pPr>
        <w:spacing w:before="160" w:after="200"/>
        <w:ind w:left="144" w:right="115"/>
        <w:shd w:fill="E8EEF5"/>
        <w:pBdr>
          <w:left w:val="single" w:sz="20" w:space="8" w:color="2E74B5"/>
        </w:pBdr>
      </w:pPr>
      <w:r>
        <w:rPr>
          <w:rFonts w:ascii="Calibri" w:hAnsi="Calibri" w:eastAsia="Calibri"/>
          <w:b/>
          <w:color w:val="0B2545"/>
        </w:rPr>
        <w:t xml:space="preserve">Код профиля. </w:t>
      </w:r>
      <w:r>
        <w:rPr>
          <w:rFonts w:ascii="Calibri" w:hAnsi="Calibri" w:eastAsia="Calibri"/>
          <w:color w:val="172B3A"/>
        </w:rPr>
        <w:t>OR22/PRC/ORION.FLOW/THINKING@1.0. Любой переход сохраняет вход, выход, автора/агента, время, версию и доказательство.</w:t>
      </w:r>
    </w:p>
    <w:p>
      <w:pPr>
        <w:pStyle w:val="Heading1"/>
      </w:pPr>
      <w:r>
        <w:t>3. Реестр 22 осей классификации</w:t>
      </w:r>
    </w:p>
    <w:p>
      <w:r>
        <w:t>Ось считается ортогональной, если она задаёт самостоятельный вопрос и допускает независимое значение. Запись не обязана заполнять все 22 оси: профиль объекта определяет обязательные и допустимые грани.</w:t>
      </w:r>
    </w:p>
    <w:p>
      <w:pPr>
        <w:pStyle w:val="Heading2"/>
      </w:pPr>
      <w:r>
        <w:t>Смысл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760"/>
        <w:gridCol w:w="1900"/>
        <w:gridCol w:w="3260"/>
        <w:gridCol w:w="2940"/>
      </w:tblGrid>
      <w:tr>
        <w:trPr>
          <w:tblHeader w:val="true"/>
        </w:trPr>
        <w:tc>
          <w:tcPr>
            <w:tcW w:type="dxa" w:w="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Ось</w:t>
            </w:r>
          </w:p>
        </w:tc>
        <w:tc>
          <w:tcPr>
            <w:tcW w:type="dxa" w:w="3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Единственный вопрос</w:t>
            </w:r>
          </w:p>
        </w:tc>
        <w:tc>
          <w:tcPr>
            <w:tcW w:type="dxa" w:w="29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Проверяемый результат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VAL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Ценность / принцип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 каком принципе основано действие?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Ценностная трассировка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NEE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Потребность / противоречие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Какой нормативный дефицит необходимо устранить?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Реестр нормализованных потребностей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GOA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Цель / желаемый эффект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Какое состояние должно быть достигнуто?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Паспорт цели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BEN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Получатель / затрагиваемая система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Для кого или для чего создаётся эффект?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Карта получателей эффекта</w:t>
            </w:r>
          </w:p>
        </w:tc>
      </w:tr>
    </w:tbl>
    <w:p>
      <w:pPr>
        <w:spacing w:after="0"/>
      </w:pPr>
    </w:p>
    <w:p>
      <w:pPr>
        <w:pStyle w:val="Heading2"/>
      </w:pPr>
      <w:r>
        <w:t>Знание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760"/>
        <w:gridCol w:w="1900"/>
        <w:gridCol w:w="3260"/>
        <w:gridCol w:w="2940"/>
      </w:tblGrid>
      <w:tr>
        <w:trPr>
          <w:tblHeader w:val="true"/>
        </w:trPr>
        <w:tc>
          <w:tcPr>
            <w:tcW w:type="dxa" w:w="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Ось</w:t>
            </w:r>
          </w:p>
        </w:tc>
        <w:tc>
          <w:tcPr>
            <w:tcW w:type="dxa" w:w="3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Единственный вопрос</w:t>
            </w:r>
          </w:p>
        </w:tc>
        <w:tc>
          <w:tcPr>
            <w:tcW w:type="dxa" w:w="29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Проверяемый результат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DOM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Предметная область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 каком домене рассматривается объект?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Доменная маршрутизация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OBJ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Тип объекта / сущности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Что это за сущность?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Канонический тип объекта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AGT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Субъект / роль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Кто действует, владеет или отвечает?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Матрица ответственности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GEO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Пространство / территория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Где объект существует или действует?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Территориальная совместимость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TIM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Время / цикл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Когда и в рамках какого цикла это действительно?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Временная определённость</w:t>
            </w:r>
          </w:p>
        </w:tc>
      </w:tr>
    </w:tbl>
    <w:p>
      <w:pPr>
        <w:spacing w:after="0"/>
      </w:pPr>
    </w:p>
    <w:p>
      <w:pPr>
        <w:pStyle w:val="Heading2"/>
      </w:pPr>
      <w:r>
        <w:t>Решение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760"/>
        <w:gridCol w:w="1900"/>
        <w:gridCol w:w="3260"/>
        <w:gridCol w:w="2940"/>
      </w:tblGrid>
      <w:tr>
        <w:trPr>
          <w:tblHeader w:val="true"/>
        </w:trPr>
        <w:tc>
          <w:tcPr>
            <w:tcW w:type="dxa" w:w="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Ось</w:t>
            </w:r>
          </w:p>
        </w:tc>
        <w:tc>
          <w:tcPr>
            <w:tcW w:type="dxa" w:w="3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Единственный вопрос</w:t>
            </w:r>
          </w:p>
        </w:tc>
        <w:tc>
          <w:tcPr>
            <w:tcW w:type="dxa" w:w="29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Проверяемый результат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SIT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Ситуация / наблюдаемое состояние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Что фактически происходит сейчас?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Подтверждённый снимок состояния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Показатель / мера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Чем состояние и изменение измеряются?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Сопоставимый показатель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SCN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Сценарий / альтернатива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Какие варианты будущего или действия сравниваются?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Набор сравнимых альтернатив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RSK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Риск / неопределённость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Что может изменить ожидаемый результат?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Карта рисков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DEC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Решение / инструмент воздействия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Что санкционировано или выбрано?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Машиночитаемый акт решения</w:t>
            </w:r>
          </w:p>
        </w:tc>
      </w:tr>
    </w:tbl>
    <w:p>
      <w:pPr>
        <w:spacing w:after="0"/>
      </w:pPr>
    </w:p>
    <w:p>
      <w:pPr>
        <w:pStyle w:val="Heading2"/>
      </w:pPr>
      <w:r>
        <w:t>Действие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760"/>
        <w:gridCol w:w="1900"/>
        <w:gridCol w:w="3260"/>
        <w:gridCol w:w="2940"/>
      </w:tblGrid>
      <w:tr>
        <w:trPr>
          <w:tblHeader w:val="true"/>
        </w:trPr>
        <w:tc>
          <w:tcPr>
            <w:tcW w:type="dxa" w:w="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Ось</w:t>
            </w:r>
          </w:p>
        </w:tc>
        <w:tc>
          <w:tcPr>
            <w:tcW w:type="dxa" w:w="3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Единственный вопрос</w:t>
            </w:r>
          </w:p>
        </w:tc>
        <w:tc>
          <w:tcPr>
            <w:tcW w:type="dxa" w:w="29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Проверяемый результат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CAP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Способность / функция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Что система должна уметь делать?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Карта способностей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PRC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Процесс / стадия цикла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Какова повторяемая последовательность работы?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Сквозной процесс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INI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Инициатива / программа / проект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Какая единица реализует решение?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Связный портфель инициатив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RES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Ресурс / актив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 счёт чего выполняется действие?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Проверяемый баланс ресурсов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DEL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Продукт / услуга / поставка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Что произведено и принято?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Принимаемая поставка</w:t>
            </w:r>
          </w:p>
        </w:tc>
      </w:tr>
    </w:tbl>
    <w:p>
      <w:pPr>
        <w:spacing w:after="0"/>
      </w:pPr>
    </w:p>
    <w:p>
      <w:pPr>
        <w:pStyle w:val="Heading2"/>
      </w:pPr>
      <w:r>
        <w:t>Память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760"/>
        <w:gridCol w:w="1900"/>
        <w:gridCol w:w="3260"/>
        <w:gridCol w:w="2940"/>
      </w:tblGrid>
      <w:tr>
        <w:trPr>
          <w:tblHeader w:val="true"/>
        </w:trPr>
        <w:tc>
          <w:tcPr>
            <w:tcW w:type="dxa" w:w="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Ось</w:t>
            </w:r>
          </w:p>
        </w:tc>
        <w:tc>
          <w:tcPr>
            <w:tcW w:type="dxa" w:w="3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Единственный вопрос</w:t>
            </w:r>
          </w:p>
        </w:tc>
        <w:tc>
          <w:tcPr>
            <w:tcW w:type="dxa" w:w="29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Проверяемый результат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REC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Запись / документ / артефакт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 какой форме сохранено знание или событие?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Полный архивный пакет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</w:t>
            </w:r>
          </w:p>
        </w:tc>
        <w:tc>
          <w:tcPr>
            <w:tcW w:type="dxa" w:w="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PRV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Происхождение / доказательство</w:t>
            </w:r>
          </w:p>
        </w:tc>
        <w:tc>
          <w:tcPr>
            <w:tcW w:type="dxa" w:w="3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Откуда это получено и чем подтверждено?</w:t>
            </w:r>
          </w:p>
        </w:tc>
        <w:tc>
          <w:tcPr>
            <w:tcW w:type="dxa" w:w="29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Цепочка происхождения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RGT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Права / доступ / хранение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Кто и на каких условиях использует и хранит объект?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Политика прав и хранения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3.1. Разграничение близких осей</w:t>
      </w:r>
    </w:p>
    <w:p>
      <w:pPr>
        <w:numPr>
          <w:ilvl w:val="0"/>
          <w:numId w:val="10"/>
        </w:numPr>
      </w:pPr>
      <w:r>
        <w:t>NEE — нормативный разрыв; SIT — наблюдаемый факт.</w:t>
      </w:r>
    </w:p>
    <w:p>
      <w:pPr>
        <w:numPr>
          <w:ilvl w:val="0"/>
          <w:numId w:val="10"/>
        </w:numPr>
      </w:pPr>
      <w:r>
        <w:t>GOA — конечный эффект; DEL — непосредственный продукт или услуга.</w:t>
      </w:r>
    </w:p>
    <w:p>
      <w:pPr>
        <w:numPr>
          <w:ilvl w:val="0"/>
          <w:numId w:val="10"/>
        </w:numPr>
      </w:pPr>
      <w:r>
        <w:t>AGT — исполнитель, владелец или ответственный; BEN — получатель или носитель эффекта.</w:t>
      </w:r>
    </w:p>
    <w:p>
      <w:pPr>
        <w:numPr>
          <w:ilvl w:val="0"/>
          <w:numId w:val="10"/>
        </w:numPr>
      </w:pPr>
      <w:r>
        <w:t>CAP — способность системы; PRC — воспроизводимая последовательность операций.</w:t>
      </w:r>
    </w:p>
    <w:p>
      <w:pPr>
        <w:numPr>
          <w:ilvl w:val="0"/>
          <w:numId w:val="10"/>
        </w:numPr>
      </w:pPr>
      <w:r>
        <w:t>DEC — санкционирование действия; INI — ограниченное во времени исполнение.</w:t>
      </w:r>
    </w:p>
    <w:p>
      <w:pPr>
        <w:numPr>
          <w:ilvl w:val="0"/>
          <w:numId w:val="10"/>
        </w:numPr>
      </w:pPr>
      <w:r>
        <w:t>IND измеряет состояние; PRV доказывает происхождение данных.</w:t>
      </w:r>
    </w:p>
    <w:p>
      <w:pPr>
        <w:numPr>
          <w:ilvl w:val="0"/>
          <w:numId w:val="10"/>
        </w:numPr>
      </w:pPr>
      <w:r>
        <w:t>TIM описывает предметное время; даты действия версии относятся к системным метаданным.</w:t>
      </w:r>
    </w:p>
    <w:p>
      <w:pPr>
        <w:pStyle w:val="Heading1"/>
      </w:pPr>
      <w:r>
        <w:t>4. Метамодель понятия и идентификаторы</w:t>
      </w:r>
    </w:p>
    <w:p>
      <w:pPr>
        <w:pStyle w:val="Heading2"/>
      </w:pPr>
      <w:r>
        <w:t>4.1. Минимальная карточка понятия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7660"/>
      </w:tblGrid>
      <w:tr>
        <w:trPr>
          <w:tblHeader w:val="true"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Группа</w:t>
            </w:r>
          </w:p>
        </w:tc>
        <w:tc>
          <w:tcPr>
            <w:tcW w:type="dxa" w:w="76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Обязательные поля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Идентичность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concept_uid; concept_uri; axis_code; scheme_id</w:t>
            </w:r>
          </w:p>
        </w:tc>
      </w:tr>
      <w:tr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Смысл</w:t>
            </w:r>
          </w:p>
        </w:tc>
        <w:tc>
          <w:tcPr>
            <w:tcW w:type="dxa" w:w="7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preferred_label; alternative_labels; definition; scope_note; language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Связи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broader; narrower; related; equivalent; replaces; replaced_by</w:t>
            </w:r>
          </w:p>
        </w:tc>
      </w:tr>
      <w:tr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Версия</w:t>
            </w:r>
          </w:p>
        </w:tc>
        <w:tc>
          <w:tcPr>
            <w:tcW w:type="dxa" w:w="7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scheme_release; status; valid_from; valid_to; system_from; system_to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Управление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owner; steward; approver; reviewer; change_request</w:t>
            </w:r>
          </w:p>
        </w:tc>
      </w:tr>
      <w:tr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Доказательство</w:t>
            </w:r>
          </w:p>
        </w:tc>
        <w:tc>
          <w:tcPr>
            <w:tcW w:type="dxa" w:w="7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source_id; provenance_id; evidence; confidence; verification_status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Права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access_class; license; purpose_limit; retention_rule</w:t>
            </w:r>
          </w:p>
        </w:tc>
      </w:tr>
    </w:tbl>
    <w:p>
      <w:pPr>
        <w:spacing w:after="0"/>
      </w:pPr>
    </w:p>
    <w:p>
      <w:pPr>
        <w:pStyle w:val="Heading2"/>
      </w:pPr>
      <w:r>
        <w:t>4.2. Два представления идентификатора</w:t>
      </w: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Постоянный URI. </w:t>
      </w:r>
      <w:r>
        <w:rPr>
          <w:rFonts w:ascii="Calibri" w:hAnsi="Calibri" w:eastAsia="Calibri"/>
          <w:color w:val="172B3A"/>
        </w:rPr>
        <w:t>https://id.orion2222.org/c/{axis}/{scheme}/{concept_uid}</w:t>
      </w:r>
    </w:p>
    <w:p>
      <w:pPr>
        <w:spacing w:before="160" w:after="200"/>
        <w:ind w:left="144" w:right="115"/>
        <w:shd w:fill="E8EEF5"/>
        <w:pBdr>
          <w:left w:val="single" w:sz="20" w:space="8" w:color="2E74B5"/>
        </w:pBdr>
      </w:pPr>
      <w:r>
        <w:rPr>
          <w:rFonts w:ascii="Calibri" w:hAnsi="Calibri" w:eastAsia="Calibri"/>
          <w:b/>
          <w:color w:val="0B2545"/>
        </w:rPr>
        <w:t xml:space="preserve">Человекочитаемый код. </w:t>
      </w:r>
      <w:r>
        <w:rPr>
          <w:rFonts w:ascii="Calibri" w:hAnsi="Calibri" w:eastAsia="Calibri"/>
          <w:color w:val="172B3A"/>
        </w:rPr>
        <w:t>OR22/{AXIS}/{SCHEME}/{CODE}@{RELEASE}</w:t>
      </w:r>
    </w:p>
    <w:p>
      <w:r>
        <w:t>Примеры: OR22/GEO/UN.M49/356@2026.1; OR22/DOM/UN.ISIC/0111@5.0; OR22/IND/SRCH/01.01@1.0. Версия не входит в постоянный UID: переименование не создаёт новое понятие, а смысловое разделение или слияние требует явной миграции.</w:t>
      </w:r>
    </w:p>
    <w:p>
      <w:pPr>
        <w:pStyle w:val="Heading2"/>
      </w:pPr>
      <w:r>
        <w:t>4.3. Версионирование</w:t>
      </w:r>
    </w:p>
    <w:p>
      <w:pPr>
        <w:numPr>
          <w:ilvl w:val="0"/>
          <w:numId w:val="10"/>
        </w:numPr>
      </w:pPr>
      <w:r>
        <w:t>MAJOR — изменение метамодели или смысла с нарушением обратной совместимости.</w:t>
      </w:r>
    </w:p>
    <w:p>
      <w:pPr>
        <w:numPr>
          <w:ilvl w:val="0"/>
          <w:numId w:val="10"/>
        </w:numPr>
      </w:pPr>
      <w:r>
        <w:t>MINOR — новые понятия и совместимые отношения.</w:t>
      </w:r>
    </w:p>
    <w:p>
      <w:pPr>
        <w:numPr>
          <w:ilvl w:val="0"/>
          <w:numId w:val="10"/>
        </w:numPr>
      </w:pPr>
      <w:r>
        <w:t>PATCH — исправление меток, описаний и технических ошибок без изменения смысла.</w:t>
      </w:r>
    </w:p>
    <w:p>
      <w:pPr>
        <w:numPr>
          <w:ilvl w:val="0"/>
          <w:numId w:val="10"/>
        </w:numPr>
      </w:pPr>
      <w:r>
        <w:t>Опубликованная версия неизменяема; код и UID не переиспользуются.</w:t>
      </w:r>
    </w:p>
    <w:p>
      <w:pPr>
        <w:numPr>
          <w:ilvl w:val="0"/>
          <w:numId w:val="10"/>
        </w:numPr>
      </w:pPr>
      <w:r>
        <w:t>Жизненный цикл: Draft → Candidate → Approved → Deprecated → Retired.</w:t>
      </w:r>
    </w:p>
    <w:p>
      <w:pPr>
        <w:numPr>
          <w:ilvl w:val="0"/>
          <w:numId w:val="10"/>
        </w:numPr>
      </w:pPr>
      <w:r>
        <w:t>Каждый релиз имеет подписанный манифест, журнал изменений, миграционную таблицу и отчёт о влиянии.</w:t>
      </w:r>
    </w:p>
    <w:p>
      <w:pPr>
        <w:pStyle w:val="Heading1"/>
      </w:pPr>
      <w:r>
        <w:t>5. Crosswalk и федерация схем</w:t>
      </w:r>
    </w:p>
    <w:p>
      <w:r>
        <w:t>Базовая модель — «суверенные схемы + канонический семантический хребет». Она уменьшает количество попарных преобразований с порядка N² до порядка N, сохраняя прямые связи там, где они юридически или статистически обязательны.</w:t>
      </w:r>
    </w:p>
    <w:p>
      <w:pPr>
        <w:pStyle w:val="Heading2"/>
      </w:pPr>
      <w:r>
        <w:t>5.1. Типы соответствий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440"/>
        <w:gridCol w:w="3420"/>
      </w:tblGrid>
      <w:tr>
        <w:trPr>
          <w:tblHeader w:val="true"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Тип</w:t>
            </w:r>
          </w:p>
        </w:tc>
        <w:tc>
          <w:tcPr>
            <w:tcW w:type="dxa" w:w="44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Смысл</w:t>
            </w:r>
          </w:p>
        </w:tc>
        <w:tc>
          <w:tcPr>
            <w:tcW w:type="dxa" w:w="34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Автоматическое применение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exact</w:t>
            </w:r>
          </w:p>
        </w:tc>
        <w:tc>
          <w:tcPr>
            <w:tcW w:type="dxa" w:w="4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эквивалентность понятий в заданном контексте</w:t>
            </w:r>
          </w:p>
        </w:tc>
        <w:tc>
          <w:tcPr>
            <w:tcW w:type="dxa" w:w="3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только после независимой проверки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close</w:t>
            </w:r>
          </w:p>
        </w:tc>
        <w:tc>
          <w:tcPr>
            <w:tcW w:type="dxa" w:w="44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близость без гарантии взаимозаменяемости</w:t>
            </w:r>
          </w:p>
        </w:tc>
        <w:tc>
          <w:tcPr>
            <w:tcW w:type="dxa" w:w="34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нет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broader / narrower</w:t>
            </w:r>
          </w:p>
        </w:tc>
        <w:tc>
          <w:tcPr>
            <w:tcW w:type="dxa" w:w="4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отношение более широкого и более узкого понятия</w:t>
            </w:r>
          </w:p>
        </w:tc>
        <w:tc>
          <w:tcPr>
            <w:tcW w:type="dxa" w:w="3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по явному правилу агрегации/декомпозиции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related</w:t>
            </w:r>
          </w:p>
        </w:tc>
        <w:tc>
          <w:tcPr>
            <w:tcW w:type="dxa" w:w="44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ассоциативная связь</w:t>
            </w:r>
          </w:p>
        </w:tc>
        <w:tc>
          <w:tcPr>
            <w:tcW w:type="dxa" w:w="34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нет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composite</w:t>
            </w:r>
          </w:p>
        </w:tc>
        <w:tc>
          <w:tcPr>
            <w:tcW w:type="dxa" w:w="4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соответствие по формуле и условиям</w:t>
            </w:r>
          </w:p>
        </w:tc>
        <w:tc>
          <w:tcPr>
            <w:tcW w:type="dxa" w:w="3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 пределах опубликованного правила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noMatch</w:t>
            </w:r>
          </w:p>
        </w:tc>
        <w:tc>
          <w:tcPr>
            <w:tcW w:type="dxa" w:w="444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подтверждённое отсутствие корректного соответствия</w:t>
            </w:r>
          </w:p>
        </w:tc>
        <w:tc>
          <w:tcPr>
            <w:tcW w:type="dxa" w:w="34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нет</w:t>
            </w:r>
          </w:p>
        </w:tc>
      </w:tr>
    </w:tbl>
    <w:p>
      <w:pPr>
        <w:spacing w:after="0"/>
      </w:pPr>
    </w:p>
    <w:p>
      <w:pPr>
        <w:pStyle w:val="Heading2"/>
      </w:pPr>
      <w:r>
        <w:t>5.2. Карточка crosswalk</w:t>
      </w:r>
    </w:p>
    <w:p>
      <w:pPr>
        <w:numPr>
          <w:ilvl w:val="0"/>
          <w:numId w:val="10"/>
        </w:numPr>
      </w:pPr>
      <w:r>
        <w:t>исходная и целевая схема, версия и понятие;</w:t>
      </w:r>
    </w:p>
    <w:p>
      <w:pPr>
        <w:numPr>
          <w:ilvl w:val="0"/>
          <w:numId w:val="10"/>
        </w:numPr>
      </w:pPr>
      <w:r>
        <w:t>направление, тип и условие применимости — территория, время, роль, единица;</w:t>
      </w:r>
    </w:p>
    <w:p>
      <w:pPr>
        <w:numPr>
          <w:ilvl w:val="0"/>
          <w:numId w:val="10"/>
        </w:numPr>
      </w:pPr>
      <w:r>
        <w:t>правило преобразования и тестовые примеры;</w:t>
      </w:r>
    </w:p>
    <w:p>
      <w:pPr>
        <w:numPr>
          <w:ilvl w:val="0"/>
          <w:numId w:val="10"/>
        </w:numPr>
      </w:pPr>
      <w:r>
        <w:t>источник, обоснование, автор, независимый проверяющий и коэффициент уверенности;</w:t>
      </w:r>
    </w:p>
    <w:p>
      <w:pPr>
        <w:numPr>
          <w:ilvl w:val="0"/>
          <w:numId w:val="10"/>
        </w:numPr>
      </w:pPr>
      <w:r>
        <w:t>предметное и системное время, статус и ссылка на заменившее соответствие.</w:t>
      </w:r>
    </w:p>
    <w:p>
      <w:pPr>
        <w:pStyle w:val="Heading2"/>
      </w:pPr>
      <w:r>
        <w:t>5.3. Контроль качества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Метрика</w:t>
            </w:r>
          </w:p>
        </w:tc>
        <w:tc>
          <w:tcPr>
            <w:tcW w:type="dxa" w:w="7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Что показывает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Покрытие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Доля исходных понятий, имеющих проверенное соответствие</w:t>
            </w:r>
          </w:p>
        </w:tc>
      </w:tr>
      <w:tr>
        <w:tc>
          <w:tcPr>
            <w:tcW w:type="dxa" w:w="2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Точность</w:t>
            </w:r>
          </w:p>
        </w:tc>
        <w:tc>
          <w:tcPr>
            <w:tcW w:type="dxa" w:w="7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Доля exact среди проверенных связей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Неоднозначность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Среднее число допустимых целей на одно исходное понятие</w:t>
            </w:r>
          </w:p>
        </w:tc>
      </w:tr>
      <w:tr>
        <w:tc>
          <w:tcPr>
            <w:tcW w:type="dxa" w:w="2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Потеря детализации</w:t>
            </w:r>
          </w:p>
        </w:tc>
        <w:tc>
          <w:tcPr>
            <w:tcW w:type="dxa" w:w="7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Доля broad/composite, где исчезает исходная гранулярность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Round-trip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Доля записей, сохраняющих смысл при преобразовании туда и обратно</w:t>
            </w:r>
          </w:p>
        </w:tc>
      </w:tr>
      <w:tr>
        <w:tc>
          <w:tcPr>
            <w:tcW w:type="dxa" w:w="2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Стабильность</w:t>
            </w:r>
          </w:p>
        </w:tc>
        <w:tc>
          <w:tcPr>
            <w:tcW w:type="dxa" w:w="7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Доля связей, не потребовавших пересмотра после релиза схемы</w:t>
            </w:r>
          </w:p>
        </w:tc>
      </w:tr>
    </w:tbl>
    <w:p>
      <w:pPr>
        <w:spacing w:after="0"/>
      </w:pPr>
    </w:p>
    <w:p>
      <w:pPr>
        <w:pStyle w:val="Heading1"/>
      </w:pPr>
      <w:r>
        <w:t>6. СРЧ 1.0: 19 стандартов и 260 показателей Судьбы</w:t>
      </w: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Базовый принцип. </w:t>
      </w:r>
      <w:r>
        <w:rPr>
          <w:rFonts w:ascii="Calibri" w:hAnsi="Calibri" w:eastAsia="Calibri"/>
          <w:color w:val="172B3A"/>
        </w:rPr>
        <w:t>Человек — субъект развития. Стандартизируется качество среды и поддержки, а не личность. Показатели служат улучшению условий и не могут использоваться для дискриминации, наказания или публичного ранжирования.</w:t>
      </w:r>
    </w:p>
    <w:p>
      <w:r>
        <w:t>В ОРИОН пользовательское наименование «260 показателей Судьбы» сохраняется как смысловой образ жизненной траектории. В техническом и нормативном слоях применяется нейтральное имя «260 показателей условий, возможностей и подтверждённых результатов развития». Они распределены строго: СРЧ-01–СРЧ-13 по 14 показателей, СРЧ-14–СРЧ-19 по 13; 13×14 + 6×13 = 260.</w:t>
      </w:r>
    </w:p>
    <w:p>
      <w:pPr>
        <w:pStyle w:val="Heading2"/>
      </w:pPr>
      <w:r>
        <w:t>6.1. Пять контуров и 19 стандартов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900"/>
        <w:gridCol w:w="2500"/>
        <w:gridCol w:w="4460"/>
      </w:tblGrid>
      <w:tr>
        <w:trPr>
          <w:tblHeader w:val="true"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Контур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</w:t>
            </w:r>
          </w:p>
        </w:tc>
        <w:tc>
          <w:tcPr>
            <w:tcW w:type="dxa" w:w="2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Стандарт</w:t>
            </w:r>
          </w:p>
        </w:tc>
        <w:tc>
          <w:tcPr>
            <w:tcW w:type="dxa" w:w="4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Назначение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Основание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Достоинство и права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защиту достоинства, прав, свобод и субъектности Человека.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Основание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СРЧ-02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Физическое здоровье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сохранение здоровья, профилактику, лечение и восстановление.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Основание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Психологическое благополучие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психическую устойчивость, поддержку и качество внутренней жизни.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Основание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СРЧ-04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Безопасность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защищённость от физических, социальных, техногенных и цифровых угроз.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Основание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СРЧ-05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Здоровая среда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доступ к экологически благоприятным условиям жизни.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Становление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СРЧ-06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Семья и детство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благополучие семьи, родительства и полноценное развитие ребёнка.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Становление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СРЧ-07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Образование в течение жизни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непрерывное освоение знаний, мышления и компетенций.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Становление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СРЧ-08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Культура и мировоззрение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культурную идентичность, этическую зрелость и открытость многообразию.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Самостоятельность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СРЧ-09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Труд и профессиональная реализация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достойный труд, мастерство и профессиональную самореализацию.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Самостоятельность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СРЧ-10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Экономическая самостоятельность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устойчивый доход, финансовую грамотность и управление ресурсами.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Самостоятельность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Жильё и жизненное пространство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доступное, безопасное и развивающее пространство проживания.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Самостоятельность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СРЧ-12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Цифровая субъектность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права, безопасность, доступ и самостоятельность Человека в цифровой среде.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Созидание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Творчество и инновации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способность создавать, исследовать и внедрять общественно полезные решения.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Созидание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СРЧ-14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Социальные связи и солидарность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принадлежность, доверие, взаимопомощь и участие в сообществах.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Созидание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СРЧ-15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Гражданское участие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осознанное участие в общественной жизни и принятии решений.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Созидание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СРЧ-16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Экологическая ответственность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ответственное природопользование и восстановление экосистем.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Преемственность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СРЧ-17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Управление временем и жизненной траекторией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баланс ролей, времени, целей и переходов между этапами жизни.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Преемственность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СРЧ-18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Смысл и служение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осмысленность жизни, ценностную определённость и вклад в общее благо.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Преемственность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СРЧ-19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Наследие и преемственность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передачу знаний, культуры, опыта и результатов следующим поколениям.</w:t>
            </w:r>
          </w:p>
        </w:tc>
      </w:tr>
    </w:tbl>
    <w:p>
      <w:pPr>
        <w:spacing w:after="0"/>
      </w:pPr>
    </w:p>
    <w:p>
      <w:pPr>
        <w:pStyle w:val="Heading2"/>
      </w:pPr>
      <w:r>
        <w:t>6.2. Связь с 22 осями</w:t>
      </w:r>
    </w:p>
    <w:p>
      <w:r>
        <w:t>Каждый показатель СРЧ является понятием оси IND и одновременно должен быть связан минимум с GOA, BEN, GEO, TIM, PRV и RGT. Стандарт СРЧ образует профиль: он определяет обязательные грани, но не создаёт второй независимый метаязык.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300"/>
        <w:gridCol w:w="4160"/>
      </w:tblGrid>
      <w:tr>
        <w:trPr>
          <w:tblHeader w:val="true"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Объект СРЧ</w:t>
            </w:r>
          </w:p>
        </w:tc>
        <w:tc>
          <w:tcPr>
            <w:tcW w:type="dxa" w:w="3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Ключевые оси ОРИОН</w:t>
            </w:r>
          </w:p>
        </w:tc>
        <w:tc>
          <w:tcPr>
            <w:tcW w:type="dxa" w:w="4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Проверка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Стандарт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VAL, NEE, GOA, BEN, DOM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есть нормативное основание, цель и получатель</w:t>
            </w:r>
          </w:p>
        </w:tc>
      </w:tr>
      <w:tr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Показатель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IND, GEO, TIM, PRV, RGT</w:t>
            </w:r>
          </w:p>
        </w:tc>
        <w:tc>
          <w:tcPr>
            <w:tcW w:type="dxa" w:w="4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есть формула, единица, период, источник и права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Программа улучшения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DEC, CAP, PRC, INI, RES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есть полномочие, процесс, проект и ресурс</w:t>
            </w:r>
          </w:p>
        </w:tc>
      </w:tr>
      <w:tr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Результат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DEL, REC, PRV</w:t>
            </w:r>
          </w:p>
        </w:tc>
        <w:tc>
          <w:tcPr>
            <w:tcW w:type="dxa" w:w="4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есть критерий приёмки, запись и независимое доказательство</w:t>
            </w:r>
          </w:p>
        </w:tc>
      </w:tr>
    </w:tbl>
    <w:p>
      <w:pPr>
        <w:spacing w:after="0"/>
      </w:pPr>
    </w:p>
    <w:p>
      <w:pPr>
        <w:pStyle w:val="Heading2"/>
      </w:pPr>
      <w:r>
        <w:t>6.3. Ограничения применения</w:t>
      </w:r>
    </w:p>
    <w:p>
      <w:pPr>
        <w:numPr>
          <w:ilvl w:val="0"/>
          <w:numId w:val="10"/>
        </w:numPr>
      </w:pPr>
      <w:r>
        <w:t>Никакой единый балл не может компенсировать критический провал в достоинстве, безопасности, правах или здоровье.</w:t>
      </w:r>
    </w:p>
    <w:p>
      <w:pPr>
        <w:numPr>
          <w:ilvl w:val="0"/>
          <w:numId w:val="10"/>
        </w:numPr>
      </w:pPr>
      <w:r>
        <w:t>Персональные данные минимизируются; идентифицирующие и аналитические наборы хранятся раздельно.</w:t>
      </w:r>
    </w:p>
    <w:p>
      <w:pPr>
        <w:numPr>
          <w:ilvl w:val="0"/>
          <w:numId w:val="10"/>
        </w:numPr>
      </w:pPr>
      <w:r>
        <w:t>Человек имеет право знать источник, исправить ошибку и потребовать человеческого пересмотра автоматизированного решения.</w:t>
      </w:r>
    </w:p>
    <w:p>
      <w:pPr>
        <w:numPr>
          <w:ilvl w:val="0"/>
          <w:numId w:val="10"/>
        </w:numPr>
      </w:pPr>
      <w:r>
        <w:t>Публичная отчётность ведётся агрегированно с контролем риска повторной идентификации.</w:t>
      </w:r>
    </w:p>
    <w:p>
      <w:pPr>
        <w:numPr>
          <w:ilvl w:val="0"/>
          <w:numId w:val="10"/>
        </w:numPr>
      </w:pPr>
      <w:r>
        <w:t>Модель и пороги проходят оценку воздействия на права человека до внедрения.</w:t>
      </w:r>
    </w:p>
    <w:p>
      <w:pPr>
        <w:pStyle w:val="Heading1"/>
      </w:pPr>
      <w:r>
        <w:t>7. Книга Кинов: отдельный контур 20×13</w:t>
      </w:r>
    </w:p>
    <w:p>
      <w:pPr>
        <w:spacing w:before="160" w:after="200"/>
        <w:ind w:left="144" w:right="115"/>
        <w:shd w:fill="FFF7E6"/>
        <w:pBdr>
          <w:left w:val="single" w:sz="20" w:space="8" w:color="A97817"/>
        </w:pBdr>
      </w:pPr>
      <w:r>
        <w:rPr>
          <w:rFonts w:ascii="Calibri" w:hAnsi="Calibri" w:eastAsia="Calibri"/>
          <w:b/>
          <w:color w:val="0B2545"/>
        </w:rPr>
        <w:t xml:space="preserve">Разделение двух наборов 260. </w:t>
      </w:r>
      <w:r>
        <w:rPr>
          <w:rFonts w:ascii="Calibri" w:hAnsi="Calibri" w:eastAsia="Calibri"/>
          <w:color w:val="172B3A"/>
        </w:rPr>
        <w:t>СРЧ содержит 260 измеримых показателей по формуле 13×14 + 6×13. Книга Кинов содержит 260 символических координат по формуле 20 архетипов × 13 тонов. Совпадение количества не означает совпадение смысла.</w:t>
      </w:r>
    </w:p>
    <w:p>
      <w:r>
        <w:t>В Архиве наследия КИН описывает сочетание смысловой функции и фазы цикла для записи, события или решения. Архетип не присваивается человеку как неизменная характеристика, а символическая координата не используется как прогноз судьбы или основание для распределения прав и ресурсов.</w:t>
      </w:r>
    </w:p>
    <w:p>
      <w:pPr>
        <w:pStyle w:val="Heading2"/>
      </w:pPr>
      <w:r>
        <w:t>7.1. Двадцать архетипов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3300"/>
        <w:gridCol w:w="5260"/>
      </w:tblGrid>
      <w:tr>
        <w:trPr>
          <w:tblHeader w:val="true"/>
        </w:trPr>
        <w:tc>
          <w:tcPr>
            <w:tcW w:type="dxa" w:w="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№</w:t>
            </w:r>
          </w:p>
        </w:tc>
        <w:tc>
          <w:tcPr>
            <w:tcW w:type="dxa" w:w="3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Архетип</w:t>
            </w:r>
          </w:p>
        </w:tc>
        <w:tc>
          <w:tcPr>
            <w:tcW w:type="dxa" w:w="5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Функция памяти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01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Дракон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исток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02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Ветер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передача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03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Ночь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потенциал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04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Семя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замысел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05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Змей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жизненность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06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Мост миров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связь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07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Рука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осуществление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08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Звезда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гармония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09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Луна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очищение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10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Собака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верность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11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Обезьяна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игра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12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Человек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выбор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13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Небесный странник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исследование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14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Волшебник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внимание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15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Орёл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видение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16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Воин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вопрос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17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Земля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синхронизация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18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Зеркало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различение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19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Буря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преобразование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20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Солнце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целостность</w:t>
            </w:r>
          </w:p>
        </w:tc>
      </w:tr>
    </w:tbl>
    <w:p>
      <w:pPr>
        <w:spacing w:after="0"/>
      </w:pPr>
    </w:p>
    <w:p>
      <w:pPr>
        <w:pStyle w:val="Heading2"/>
      </w:pPr>
      <w:r>
        <w:t>7.2. Тринадцать тонов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3300"/>
        <w:gridCol w:w="5260"/>
      </w:tblGrid>
      <w:tr>
        <w:trPr>
          <w:tblHeader w:val="true"/>
        </w:trPr>
        <w:tc>
          <w:tcPr>
            <w:tcW w:type="dxa" w:w="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№</w:t>
            </w:r>
          </w:p>
        </w:tc>
        <w:tc>
          <w:tcPr>
            <w:tcW w:type="dxa" w:w="3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Тон</w:t>
            </w:r>
          </w:p>
        </w:tc>
        <w:tc>
          <w:tcPr>
            <w:tcW w:type="dxa" w:w="5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Фаза цикла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01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Магнитный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цель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02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Лунный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вызов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03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Электрический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служение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04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Самосущный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форма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05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Обертонный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полномочие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06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Ритмический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организация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07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Резонансный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настройка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08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Галактический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целостность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09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Солнечный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намерение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10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Планетарный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проявление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11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Спектральный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освобождение</w:t>
            </w:r>
          </w:p>
        </w:tc>
      </w:tr>
      <w:tr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12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Кристаллический</w:t>
            </w:r>
          </w:p>
        </w:tc>
        <w:tc>
          <w:tcPr>
            <w:tcW w:type="dxa" w:w="5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сотрудничество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13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Космический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присутствие</w:t>
            </w:r>
          </w:p>
        </w:tc>
      </w:tr>
    </w:tbl>
    <w:p>
      <w:pPr>
        <w:spacing w:after="0"/>
      </w:pPr>
    </w:p>
    <w:p>
      <w:pPr>
        <w:pStyle w:val="Heading2"/>
      </w:pPr>
      <w:r>
        <w:t>7.3. Кодирование и допустимый crosswalk</w:t>
      </w:r>
    </w:p>
    <w:p>
      <w:r>
        <w:t>Формат: KIN{001–260}; координата хранит archetype_id и tone_id. Связь с ОРИОН допустима как related к TIM, REC или VAL и требует явного указания «symbolic». Преобразование в IND запрещено без отдельного эмпирического протокола, научной проверки и этического одобрения.</w:t>
      </w:r>
    </w:p>
    <w:p>
      <w:pPr>
        <w:pStyle w:val="Caption"/>
        <w:spacing w:before="80" w:after="80"/>
      </w:pPr>
      <w:r>
        <w:rPr>
          <w:rFonts w:ascii="Calibri" w:hAnsi="Calibri" w:eastAsia="Calibri"/>
          <w:i/>
          <w:color w:val="5A6B7A"/>
          <w:sz w:val="18"/>
        </w:rPr>
        <w:t>Таблица 2 — Разведение числовых контуров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1900"/>
        <w:gridCol w:w="2900"/>
        <w:gridCol w:w="2960"/>
      </w:tblGrid>
      <w:tr>
        <w:trPr>
          <w:tblHeader w:val="true"/>
        </w:trPr>
        <w:tc>
          <w:tcPr>
            <w:tcW w:type="dxa" w:w="1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Контур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Формула</w:t>
            </w:r>
          </w:p>
        </w:tc>
        <w:tc>
          <w:tcPr>
            <w:tcW w:type="dxa" w:w="2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Назначение</w:t>
            </w:r>
          </w:p>
        </w:tc>
        <w:tc>
          <w:tcPr>
            <w:tcW w:type="dxa" w:w="29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Нельзя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ОРИОН 22:22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 оси ↔ 22 результата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унификация понятий и управленческая проверяемость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толковать число как мистический прогноз</w:t>
            </w:r>
          </w:p>
        </w:tc>
      </w:tr>
      <w:tr>
        <w:tc>
          <w:tcPr>
            <w:tcW w:type="dxa" w:w="1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СРЧ 1.0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13×14 + 6×13 = 260</w:t>
            </w:r>
          </w:p>
        </w:tc>
        <w:tc>
          <w:tcPr>
            <w:tcW w:type="dxa" w:w="2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измерение среды, возможностей и результатов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ранжировать достоинство личности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Книга Кинов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20×13 = 260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символическая координата роли и фазы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выдавать символ за доказанный показатель</w:t>
            </w:r>
          </w:p>
        </w:tc>
      </w:tr>
      <w:tr>
        <w:tc>
          <w:tcPr>
            <w:tcW w:type="dxa" w:w="1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КРИСТАЛЛ 741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3×13×19 = 741</w:t>
            </w:r>
          </w:p>
        </w:tc>
        <w:tc>
          <w:tcPr>
            <w:tcW w:type="dxa" w:w="2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масштаб × фаза × система управления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смешивать с осями и показателями СРЧ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8. Управление, безопасность и этика</w:t>
      </w:r>
    </w:p>
    <w:p>
      <w:pPr>
        <w:pStyle w:val="Heading2"/>
      </w:pPr>
      <w:r>
        <w:t>8.1. Распределение ответственности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Роль</w:t>
            </w:r>
          </w:p>
        </w:tc>
        <w:tc>
          <w:tcPr>
            <w:tcW w:type="dxa" w:w="68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Ответственность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Совет метамодели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утверждает 22 оси, базовые правила, профили и MAJOR-релизы</w:t>
            </w:r>
          </w:p>
        </w:tc>
      </w:tr>
      <w:t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Владельцы осей</w:t>
            </w:r>
          </w:p>
        </w:tc>
        <w:tc>
          <w:tcPr>
            <w:tcW w:type="dxa" w:w="6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ведут семантику, обязательные поля, качество и жизненный цикл понятий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Владельцы исходных схем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сохраняют юридическую и предметную автономию классификаторов</w:t>
            </w:r>
          </w:p>
        </w:tc>
      </w:tr>
      <w:t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Комиссия crosswalk</w:t>
            </w:r>
          </w:p>
        </w:tc>
        <w:tc>
          <w:tcPr>
            <w:tcW w:type="dxa" w:w="6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валидирует тип, направление, условия и тесты соответствий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Совет СРЧ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ведёт 19 стандартов, 260 показателей, критические минимумы и этические ограничения</w:t>
            </w:r>
          </w:p>
        </w:tc>
      </w:tr>
      <w:t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Куратор символического слоя</w:t>
            </w:r>
          </w:p>
        </w:tc>
        <w:tc>
          <w:tcPr>
            <w:tcW w:type="dxa" w:w="6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отделяет культурную интерпретацию от эмпирической аналитики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Независимый аудит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проверяет происхождение, права, безопасность, недискриминацию и воспроизводимость</w:t>
            </w:r>
          </w:p>
        </w:tc>
      </w:tr>
    </w:tbl>
    <w:p>
      <w:pPr>
        <w:spacing w:after="0"/>
      </w:pPr>
    </w:p>
    <w:p>
      <w:pPr>
        <w:pStyle w:val="Heading2"/>
      </w:pPr>
      <w:r>
        <w:t>8.2. Политика решений о человеке</w:t>
      </w:r>
    </w:p>
    <w:p>
      <w:pPr>
        <w:numPr>
          <w:ilvl w:val="0"/>
          <w:numId w:val="10"/>
        </w:numPr>
      </w:pPr>
      <w:r>
        <w:t>запрещены скрытый социальный рейтинг, продажа персонального профиля и поведенческие манипуляции;</w:t>
      </w:r>
    </w:p>
    <w:p>
      <w:pPr>
        <w:numPr>
          <w:ilvl w:val="0"/>
          <w:numId w:val="10"/>
        </w:numPr>
      </w:pPr>
      <w:r>
        <w:t>автоматизированная рекомендация должна быть объяснима и подлежать человеческому пересмотру;</w:t>
      </w:r>
    </w:p>
    <w:p>
      <w:pPr>
        <w:numPr>
          <w:ilvl w:val="0"/>
          <w:numId w:val="10"/>
        </w:numPr>
      </w:pPr>
      <w:r>
        <w:t>чувствительные признаки используются только при законной цели, минимизации и контроле дискриминации;</w:t>
      </w:r>
    </w:p>
    <w:p>
      <w:pPr>
        <w:numPr>
          <w:ilvl w:val="0"/>
          <w:numId w:val="10"/>
        </w:numPr>
      </w:pPr>
      <w:r>
        <w:t>критические решения требуют независимого источника и журналируемого основания;</w:t>
      </w:r>
    </w:p>
    <w:p>
      <w:pPr>
        <w:numPr>
          <w:ilvl w:val="0"/>
          <w:numId w:val="10"/>
        </w:numPr>
      </w:pPr>
      <w:r>
        <w:t>символический профиль не является основанием для отказа, допуска, тарифа, санкции или приоритета.</w:t>
      </w:r>
    </w:p>
    <w:p>
      <w:pPr>
        <w:pStyle w:val="Heading2"/>
        <w:pageBreakBefore/>
      </w:pPr>
      <w:r>
        <w:t>8.3. Модель доступа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300"/>
        <w:gridCol w:w="4360"/>
      </w:tblGrid>
      <w:tr>
        <w:trPr>
          <w:tblHeader w:val="true"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Класс</w:t>
            </w:r>
          </w:p>
        </w:tc>
        <w:tc>
          <w:tcPr>
            <w:tcW w:type="dxa" w:w="3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Пример</w:t>
            </w:r>
          </w:p>
        </w:tc>
        <w:tc>
          <w:tcPr>
            <w:tcW w:type="dxa" w:w="43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Условие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Открытый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утверждённые понятия, публичные схемы, агрегированные показатели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открытая лицензия и версия</w:t>
            </w:r>
          </w:p>
        </w:tc>
      </w:tr>
      <w:tr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Служебный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черновые crosswalk, тесты, отчёты качества</w:t>
            </w:r>
          </w:p>
        </w:tc>
        <w:tc>
          <w:tcPr>
            <w:tcW w:type="dxa" w:w="43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роль, цель и журнал доступа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Конфиденциальный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микроданные и индивидуальные случаи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законное основание, минимизация, шифрование</w:t>
            </w:r>
          </w:p>
        </w:tc>
      </w:tr>
      <w:tr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Ограниченный наследием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сакральные, традиционные или чувствительные культурные материалы</w:t>
            </w:r>
          </w:p>
        </w:tc>
        <w:tc>
          <w:tcPr>
            <w:tcW w:type="dxa" w:w="43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правила носителей, отзыв и специальные сроки</w:t>
            </w:r>
          </w:p>
        </w:tc>
      </w:tr>
    </w:tbl>
    <w:p>
      <w:pPr>
        <w:spacing w:after="0"/>
      </w:pPr>
    </w:p>
    <w:p>
      <w:pPr>
        <w:pStyle w:val="Heading1"/>
      </w:pPr>
      <w:r>
        <w:t>9. Технологическая архитектура</w:t>
      </w:r>
    </w:p>
    <w:p>
      <w:pPr>
        <w:pStyle w:val="Heading2"/>
      </w:pPr>
      <w:r>
        <w:t>9.1. Компоненты</w:t>
      </w:r>
    </w:p>
    <w:p>
      <w:pPr>
        <w:numPr>
          <w:ilvl w:val="0"/>
          <w:numId w:val="11"/>
        </w:numPr>
      </w:pPr>
      <w:r>
        <w:t>Реестр пространств имён и постоянных идентификаторов.</w:t>
      </w:r>
    </w:p>
    <w:p>
      <w:pPr>
        <w:numPr>
          <w:ilvl w:val="0"/>
          <w:numId w:val="11"/>
        </w:numPr>
      </w:pPr>
      <w:r>
        <w:t>Оркестратор «Мыслящего потока»: наблюдение, гипотеза, сценарий, предложение, полномочие, действие, проверка и память.</w:t>
      </w:r>
    </w:p>
    <w:p>
      <w:pPr>
        <w:numPr>
          <w:ilvl w:val="0"/>
          <w:numId w:val="11"/>
        </w:numPr>
      </w:pPr>
      <w:r>
        <w:t>Реестр понятий и схем с многоязычными метками.</w:t>
      </w:r>
    </w:p>
    <w:p>
      <w:pPr>
        <w:numPr>
          <w:ilvl w:val="0"/>
          <w:numId w:val="11"/>
        </w:numPr>
      </w:pPr>
      <w:r>
        <w:t>Реестр crosswalk и движок контекстных преобразований.</w:t>
      </w:r>
    </w:p>
    <w:p>
      <w:pPr>
        <w:numPr>
          <w:ilvl w:val="0"/>
          <w:numId w:val="11"/>
        </w:numPr>
      </w:pPr>
      <w:r>
        <w:t>Компилятор профилей объектов: Решение, Проект, Набор данных, Объект наследия, СРЧ.</w:t>
      </w:r>
    </w:p>
    <w:p>
      <w:pPr>
        <w:numPr>
          <w:ilvl w:val="0"/>
          <w:numId w:val="11"/>
        </w:numPr>
      </w:pPr>
      <w:r>
        <w:t>Каталог наборов и сервисов; подписки на изменения и манифесты релизов.</w:t>
      </w:r>
    </w:p>
    <w:p>
      <w:pPr>
        <w:numPr>
          <w:ilvl w:val="0"/>
          <w:numId w:val="11"/>
        </w:numPr>
      </w:pPr>
      <w:r>
        <w:t>Контур происхождения и доказательств; подписи, хэши и независимая верификация.</w:t>
      </w:r>
    </w:p>
    <w:p>
      <w:pPr>
        <w:numPr>
          <w:ilvl w:val="0"/>
          <w:numId w:val="11"/>
        </w:numPr>
      </w:pPr>
      <w:r>
        <w:t>Контур прав, согласий, лицензий и сроков хранения.</w:t>
      </w:r>
    </w:p>
    <w:p>
      <w:pPr>
        <w:numPr>
          <w:ilvl w:val="0"/>
          <w:numId w:val="11"/>
        </w:numPr>
      </w:pPr>
      <w:r>
        <w:t>API и событийная шина для федеративных баз, GRID и цифровых двойников.</w:t>
      </w:r>
    </w:p>
    <w:p>
      <w:pPr>
        <w:numPr>
          <w:ilvl w:val="0"/>
          <w:numId w:val="11"/>
        </w:numPr>
      </w:pPr>
      <w:r>
        <w:t>Архив версий, миграций, решений и уроков.</w:t>
      </w:r>
    </w:p>
    <w:p>
      <w:pPr>
        <w:pStyle w:val="Heading2"/>
        <w:pageBreakBefore/>
      </w:pPr>
      <w:r>
        <w:t>9.2. Совместимость со стандартами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2600"/>
        <w:gridCol w:w="4260"/>
      </w:tblGrid>
      <w:tr>
        <w:trPr>
          <w:tblHeader w:val="true"/>
        </w:trPr>
        <w:tc>
          <w:tcPr>
            <w:tcW w:type="dxa" w:w="2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Задача ОРИОН</w:t>
            </w:r>
          </w:p>
        </w:tc>
        <w:tc>
          <w:tcPr>
            <w:tcW w:type="dxa" w:w="2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Опорный стандарт</w:t>
            </w:r>
          </w:p>
        </w:tc>
        <w:tc>
          <w:tcPr>
            <w:tcW w:type="dxa" w:w="4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Роль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Метареестр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ISO/IEC 11179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регистрируемые элементы, идентификация и управление</w:t>
            </w:r>
          </w:p>
        </w:tc>
      </w:tr>
      <w:t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Терминология</w:t>
            </w:r>
          </w:p>
        </w:tc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ISO 704; ISO 860</w:t>
            </w:r>
          </w:p>
        </w:tc>
        <w:tc>
          <w:tcPr>
            <w:tcW w:type="dxa" w:w="4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понятия, определения, обозначения и гармонизация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Семантика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W3C SKOS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схемы понятий и типы межсхемных связей</w:t>
            </w:r>
          </w:p>
        </w:tc>
      </w:tr>
      <w:t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Каталог</w:t>
            </w:r>
          </w:p>
        </w:tc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W3C DCAT 3</w:t>
            </w:r>
          </w:p>
        </w:tc>
        <w:tc>
          <w:tcPr>
            <w:tcW w:type="dxa" w:w="4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наборы, сервисы, версии и федеративный поиск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Происхождение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W3C PROV-O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Entity–Activity–Agent и цепочка происхождения</w:t>
            </w:r>
          </w:p>
        </w:tc>
      </w:tr>
      <w:t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Статистика</w:t>
            </w:r>
          </w:p>
        </w:tc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SDMX 3.1</w:t>
            </w:r>
          </w:p>
        </w:tc>
        <w:tc>
          <w:tcPr>
            <w:tcW w:type="dxa" w:w="4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кодовые списки, структуры данных, реестр и обмен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География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UNSD M49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опорные страны, территории и регионы</w:t>
            </w:r>
          </w:p>
        </w:tc>
      </w:tr>
      <w:t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Деятельность / продукты</w:t>
            </w:r>
          </w:p>
        </w:tc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ISIC Rev.5 / CPC 3.0</w:t>
            </w:r>
          </w:p>
        </w:tc>
        <w:tc>
          <w:tcPr>
            <w:tcW w:type="dxa" w:w="42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внешние предметные схемы, не универсальный код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Права человека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ВДПЧ; OHCHR Indicators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достоинство, права и методика измерения исполнения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10. Дорожная карта внедрения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150"/>
        <w:gridCol w:w="3600"/>
        <w:gridCol w:w="3110"/>
      </w:tblGrid>
      <w:tr>
        <w:trPr>
          <w:tblHeader w:val="true"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Волна</w:t>
            </w:r>
          </w:p>
        </w:tc>
        <w:tc>
          <w:tcPr>
            <w:tcW w:type="dxa" w:w="11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Срок</w:t>
            </w:r>
          </w:p>
        </w:tc>
        <w:tc>
          <w:tcPr>
            <w:tcW w:type="dxa" w:w="3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Результат</w:t>
            </w:r>
          </w:p>
        </w:tc>
        <w:tc>
          <w:tcPr>
            <w:tcW w:type="dxa" w:w="31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Критерий выхода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0. Учредительная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0–2 мес.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мандат, совет метамодели, владельцы осей, политика прав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утверждены границы и роли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1. Семантическое ядро</w:t>
            </w:r>
          </w:p>
        </w:tc>
        <w:tc>
          <w:tcPr>
            <w:tcW w:type="dxa" w:w="11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2–5 мес.</w:t>
            </w:r>
          </w:p>
        </w:tc>
        <w:tc>
          <w:tcPr>
            <w:tcW w:type="dxa" w:w="3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 оси, URI, карточка понятия, версионность</w:t>
            </w:r>
          </w:p>
        </w:tc>
        <w:tc>
          <w:tcPr>
            <w:tcW w:type="dxa" w:w="3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опубликован CORE 1.0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2. Пилот crosswalk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4–8 мес.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M49 + один отраслевой + один национальный классификатор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покрытие ≥90%; 100 тестовых round-trip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3. Профиль СРЧ</w:t>
            </w:r>
          </w:p>
        </w:tc>
        <w:tc>
          <w:tcPr>
            <w:tcW w:type="dxa" w:w="11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6–10 мес.</w:t>
            </w:r>
          </w:p>
        </w:tc>
        <w:tc>
          <w:tcPr>
            <w:tcW w:type="dxa" w:w="3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 стандартов и 260 показателей в оси IND</w:t>
            </w:r>
          </w:p>
        </w:tc>
        <w:tc>
          <w:tcPr>
            <w:tcW w:type="dxa" w:w="3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260 карточек проходят методический и этический аудит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4. Цифровой двойник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9–15 мес.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связь данных, сценариев, решений, проектов и эффектов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прослеживается полный контур на двух пилотах</w:t>
            </w:r>
          </w:p>
        </w:tc>
      </w:tr>
      <w:t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5. Федерация</w:t>
            </w:r>
          </w:p>
        </w:tc>
        <w:tc>
          <w:tcPr>
            <w:tcW w:type="dxa" w:w="11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12–24 мес.</w:t>
            </w:r>
          </w:p>
        </w:tc>
        <w:tc>
          <w:tcPr>
            <w:tcW w:type="dxa" w:w="3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API, подписки, каталог, архив, независимый аудит</w:t>
            </w:r>
          </w:p>
        </w:tc>
        <w:tc>
          <w:tcPr>
            <w:tcW w:type="dxa" w:w="3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не менее пяти автономных узлов работают по общим правилам</w:t>
            </w:r>
          </w:p>
        </w:tc>
      </w:tr>
    </w:tbl>
    <w:p>
      <w:pPr>
        <w:spacing w:after="0"/>
      </w:pPr>
    </w:p>
    <w:p>
      <w:pPr>
        <w:pStyle w:val="Heading2"/>
      </w:pPr>
      <w:r>
        <w:t>10.1. Рекомендуемые пилоты</w:t>
      </w:r>
    </w:p>
    <w:p>
      <w:pPr>
        <w:numPr>
          <w:ilvl w:val="0"/>
          <w:numId w:val="10"/>
        </w:numPr>
      </w:pPr>
      <w:r>
        <w:t>Территориальный: человекоцентричное развитие региона — M49/национальная география + СРЧ + портфель программ.</w:t>
      </w:r>
    </w:p>
    <w:p>
      <w:pPr>
        <w:numPr>
          <w:ilvl w:val="0"/>
          <w:numId w:val="10"/>
        </w:numPr>
      </w:pPr>
      <w:r>
        <w:t>Экологический: биоценоз и ферма полного цикла — объекты, территории, циклы, показатели, ресурсы и доказанный эффект.</w:t>
      </w:r>
    </w:p>
    <w:p>
      <w:pPr>
        <w:numPr>
          <w:ilvl w:val="0"/>
          <w:numId w:val="10"/>
        </w:numPr>
      </w:pPr>
      <w:r>
        <w:t>Наследие: Книга Кинов и Архив наследия — символические координаты, права носителей, происхождение и версии.</w:t>
      </w:r>
    </w:p>
    <w:p>
      <w:pPr>
        <w:numPr>
          <w:ilvl w:val="0"/>
          <w:numId w:val="10"/>
        </w:numPr>
      </w:pPr>
      <w:r>
        <w:t>Вычислительный: федеративные базы и GRID — профили наборов, схемы данных, доступ, provenance и воспроизводимость.</w:t>
      </w:r>
    </w:p>
    <w:p>
      <w:pPr>
        <w:pStyle w:val="Heading1"/>
        <w:pageBreakBefore/>
      </w:pPr>
      <w:r>
        <w:t>11. Контрольные показатели 22:22</w:t>
      </w:r>
    </w:p>
    <w:p>
      <w:r>
        <w:t>Пороговые значения ниже являются стартовыми проектными нормативами. Они уточняются после базовой линии и пилотной валидации, но сами определения результатов остаются стабильными.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750"/>
        <w:gridCol w:w="3000"/>
        <w:gridCol w:w="5110"/>
      </w:tblGrid>
      <w:tr>
        <w:trPr>
          <w:tblHeader w:val="true"/>
        </w:trPr>
        <w:tc>
          <w:tcPr>
            <w:tcW w:type="dxa" w:w="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№</w:t>
            </w:r>
          </w:p>
        </w:tc>
        <w:tc>
          <w:tcPr>
            <w:tcW w:type="dxa" w:w="7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Ось</w:t>
            </w:r>
          </w:p>
        </w:tc>
        <w:tc>
          <w:tcPr>
            <w:tcW w:type="dxa" w:w="3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Результат</w:t>
            </w:r>
          </w:p>
        </w:tc>
        <w:tc>
          <w:tcPr>
            <w:tcW w:type="dxa" w:w="51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Стартовый критерий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VAL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Ценностная трассировка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≥95% целей и решений связаны с утверждённым принципом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NEE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Реестр нормализованных потребностей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≥95% инициатив имеют код потребности; доля дублей &lt;2%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3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GOA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Паспорт цели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целей имеют базу, цель, срок и показатель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4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BEN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Карта получателей эффекта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≥95% эффектов имеют получателя и масштаб воздействия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5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DOM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Доменная маршрутизация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≥98% записей имеют основной домен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6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OBJ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Канонический тип объекта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≥99% сущностей типизированы допустимым классом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7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AGT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Матрица ответственности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управляемых объектов имеют владельца и ответственную роль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8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GEO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Территориальная совместимость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≥98% пространственных объектов используют канонический код или геометрию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9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TIM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Временная определённость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периодизированных объектов имеют интервал или именованный цикл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SIT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Подтверждённый снимок состояния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≥95% решений ссылаются на датированный подтверждённый снимок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11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IND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Сопоставимый показатель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критических показателей имеют формулу, единицу, источник и периодичность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12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SCN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Набор сравнимых альтернатив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Для каждого крупного решения рассмотрены минимум две альтернативы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13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RSK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Карта рисков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крупных решений имеют оценку вероятности, воздействия и остаточного риска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14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DEC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Машиночитаемый акт решения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решений имеют полномочие, основание, срок и цифровое подтверждение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15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CAP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Карта способностей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стратегических целей связаны с требуемыми способностями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16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PRC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Сквозной процесс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≥95% критических процессов имеют владельца, входы, выходы, SLA и контроль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17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INI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Связный портфель инициатив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инициатив связаны с целью, решением, владельцем, эффектом и этапами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18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RES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Проверяемый баланс ресурсов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≥98% распределений ресурсов сверяются с источником и ограничениями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19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DEL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Принимаемая поставка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результатов имеют критерии приёмки; критические — независимую проверку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20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REC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Полный архивный пакет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≥99% завершённых объектов комплектны и архивированы в установленный срок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21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PRV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Цепочка происхождения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критических данных и утверждений имеют проверяемый provenance</w:t>
            </w:r>
          </w:p>
        </w:tc>
      </w:tr>
      <w:tr>
        <w:tc>
          <w:tcPr>
            <w:tcW w:type="dxa" w:w="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22</w:t>
            </w:r>
          </w:p>
        </w:tc>
        <w:tc>
          <w:tcPr>
            <w:tcW w:type="dxa" w:w="7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RGT</w:t>
            </w:r>
          </w:p>
        </w:tc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Политика прав и хранения</w:t>
            </w:r>
          </w:p>
        </w:tc>
        <w:tc>
          <w:tcPr>
            <w:tcW w:type="dxa" w:w="51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100% артефактов имеют класс доступа, права использования и срок хранения</w:t>
            </w:r>
          </w:p>
        </w:tc>
      </w:tr>
    </w:tbl>
    <w:p>
      <w:pPr>
        <w:spacing w:after="0"/>
      </w:pPr>
    </w:p>
    <w:p>
      <w:pPr>
        <w:pStyle w:val="Heading1"/>
      </w:pPr>
      <w:r>
        <w:t>12. Критерии готовности системы</w:t>
      </w:r>
    </w:p>
    <w:p>
      <w:pPr>
        <w:numPr>
          <w:ilvl w:val="0"/>
          <w:numId w:val="10"/>
        </w:numPr>
      </w:pPr>
      <w:r>
        <w:t>Все 22 оси имеют владельца, формальное определение и опубликованную версию.</w:t>
      </w:r>
    </w:p>
    <w:p>
      <w:pPr>
        <w:numPr>
          <w:ilvl w:val="0"/>
          <w:numId w:val="10"/>
        </w:numPr>
      </w:pPr>
      <w:r>
        <w:t>Каждая схема имеет URI, лицензию, статус, владельца и машинно читаемый манифест.</w:t>
      </w:r>
    </w:p>
    <w:p>
      <w:pPr>
        <w:numPr>
          <w:ilvl w:val="0"/>
          <w:numId w:val="10"/>
        </w:numPr>
      </w:pPr>
      <w:r>
        <w:t>Все crosswalk имеют тип, условия, версию, происхождение и независимую проверку.</w:t>
      </w:r>
    </w:p>
    <w:p>
      <w:pPr>
        <w:numPr>
          <w:ilvl w:val="0"/>
          <w:numId w:val="10"/>
        </w:numPr>
      </w:pPr>
      <w:r>
        <w:t>СРЧ содержит ровно 19 стандартов и 260 карточек показателей; количество проверяется автоматически.</w:t>
      </w:r>
    </w:p>
    <w:p>
      <w:pPr>
        <w:numPr>
          <w:ilvl w:val="0"/>
          <w:numId w:val="10"/>
        </w:numPr>
      </w:pPr>
      <w:r>
        <w:t>СРЧ и Кины разведены по пространствам имён, статусу доказательности и допустимым сценариям использования.</w:t>
      </w:r>
    </w:p>
    <w:p>
      <w:pPr>
        <w:numPr>
          <w:ilvl w:val="0"/>
          <w:numId w:val="10"/>
        </w:numPr>
      </w:pPr>
      <w:r>
        <w:t>Для критических решений воспроизводится полная цепочка: данные → ситуация → сценарий → решение → действие → результат → доказательство.</w:t>
      </w:r>
    </w:p>
    <w:p>
      <w:pPr>
        <w:numPr>
          <w:ilvl w:val="0"/>
          <w:numId w:val="10"/>
        </w:numPr>
      </w:pPr>
      <w:r>
        <w:t>Пользователь может узнать источник данных, версию понятия и причину результата преобразования.</w:t>
      </w:r>
    </w:p>
    <w:p>
      <w:pPr>
        <w:numPr>
          <w:ilvl w:val="0"/>
          <w:numId w:val="10"/>
        </w:numPr>
      </w:pPr>
      <w:r>
        <w:t>Ни одна опубликованная версия не перезаписывается; миграции и замены документированы.</w:t>
      </w:r>
    </w:p>
    <w:p>
      <w:pPr>
        <w:numPr>
          <w:ilvl w:val="0"/>
          <w:numId w:val="10"/>
        </w:numPr>
      </w:pPr>
      <w:r>
        <w:t>Безопасность, права человека, недискриминация и правила наследия проходят независимый аудит.</w:t>
      </w: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Итог. </w:t>
      </w:r>
      <w:r>
        <w:rPr>
          <w:rFonts w:ascii="Calibri" w:hAnsi="Calibri" w:eastAsia="Calibri"/>
          <w:color w:val="172B3A"/>
        </w:rPr>
        <w:t>ОРИОН 22:22 становится не очередным классификатором, а операционной системой согласования смыслов: он сохраняет различия, делает связи явными и превращает каждое решение в проверяемую, версионируемую и наследуемую запись.</w:t>
      </w:r>
    </w:p>
    <w:p>
      <w:pPr>
        <w:pStyle w:val="Heading1"/>
      </w:pPr>
      <w:r>
        <w:t>Приложение А. Реестр 260 показателей Судьбы / СРЧ 1.0</w:t>
      </w:r>
    </w:p>
    <w:p>
      <w:r>
        <w:t>Ниже приведены наименования 260 показателей из СРЧ 1.0. Правила измерения, формулы, источники, единицы, критические минимумы и владельцы оформляются в отдельных карточках оси IND. Наименование «Судьба» не означает предопределённость: система наблюдает условия, возможности и подтверждённые изменения жизненной траектории.</w:t>
      </w:r>
    </w:p>
    <w:p>
      <w:r>
        <w:br w:type="page"/>
      </w:r>
    </w:p>
    <w:p>
      <w:pPr>
        <w:pStyle w:val="Heading2"/>
      </w:pPr>
      <w:r>
        <w:t>СРЧ-01. Достоинство и права</w:t>
      </w:r>
    </w:p>
    <w:p>
      <w:pPr>
        <w:keepNext/>
      </w:pPr>
      <w:r>
        <w:t>Обеспечивает защиту достоинства, прав, свобод и субъектности Человека.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Знание своих прав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правовой помощи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дискриминации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Свобода выражения мнения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Неприкосновенность частной жизни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Документированная правосубъектность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правосудию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Процессуальная справедливость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Свобода объединений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Свобода совести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персональных данных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в решениях о себе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среды и услуг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01.14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Восстановление нарушенных прав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СРЧ-02. Физическое здоровье</w:t>
      </w:r>
    </w:p>
    <w:p>
      <w:pPr>
        <w:keepNext/>
      </w:pPr>
      <w:r>
        <w:t>Обеспечивает сохранение здоровья, профилактику, лечение и восстановление.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Ожидаемая продолжительность здоровой жизни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первичной помощи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Охват профилактическими осмотрами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Своевременность диагностики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Контроль хронических заболеваний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Физическая активность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Качество питания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Качество сна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Репродуктивное здоровье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Стоматологическое здоровье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лекарствам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Реабилитация после травм и болезней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Самооценка физического здоровья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02.14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Предотвратимая смертность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СРЧ-03. Психологическое благополучие</w:t>
      </w:r>
    </w:p>
    <w:p>
      <w:pPr>
        <w:keepNext/>
      </w:pPr>
      <w:r>
        <w:t>Обеспечивает психическую устойчивость, поддержку и качество внутренней жизни.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Эмоциональная устойчивость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Удовлетворённость жизнью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психологической помощи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Своевременность кризисной поддержки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Уровень хронического стресса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Навыки саморегуляции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Профилактика зависимостей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насилия и травматизации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Социально-эмоциональные навыки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Чувство личной эффективности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Баланс нагрузки и восстановления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Психологическая безопасность среды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Отсутствие дискриминационной стигмы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03.14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Восстановление после кризиса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СРЧ-04. Безопасность</w:t>
      </w:r>
    </w:p>
    <w:p>
      <w:pPr>
        <w:keepNext/>
      </w:pPr>
      <w:r>
        <w:t>Обеспечивает защищённость от физических, социальных, техногенных и цифровых угроз.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Личная физическая безопасность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дома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общественных пространств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труда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Дорожная безопасность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Пожарная безопасность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49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Готовность к чрезвычайным ситуациям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Информационная безопасность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мошенничества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домашнего насилия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детей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экстренной помощи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Доверие к службам защиты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04.14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Восстановление после происшествий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СРЧ-05. Здоровая среда</w:t>
      </w:r>
    </w:p>
    <w:p>
      <w:pPr>
        <w:keepNext/>
      </w:pPr>
      <w:r>
        <w:t>Обеспечивает доступ к экологически благоприятным условиям жизни.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Качество питьевой воды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Качество атмосферного воздуха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59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пищевых продуктов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Санитарное состояние территории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Уровень шума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зелёным зонам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почвы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Управление отходами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Климатический комфорт жилья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Экологическая безопасность производства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экологической информации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климатических рисков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Биоразнообразие среды проживания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05.14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жителей в улучшении среды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СРЧ-06. Семья и детство</w:t>
      </w:r>
    </w:p>
    <w:p>
      <w:pPr>
        <w:keepNext/>
      </w:pPr>
      <w:r>
        <w:t>Обеспечивает благополучие семьи, родительства и полноценное развитие ребёнка.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Материальная устойчивость семьи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дошкольного развития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Здоровье матери и ребёнка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Ответственное родительство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ребёнка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Качество семейных отношений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Совместное время семьи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Поддержка семей в кризисе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79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ухода за детьми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Инклюзия детей с особыми потребностями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ребёнка в решениях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семейного насилия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Подготовка к самостоятельной жизни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06.14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Межпоколенческие связи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СРЧ-07. Образование в течение жизни</w:t>
      </w:r>
    </w:p>
    <w:p>
      <w:pPr>
        <w:keepNext/>
      </w:pPr>
      <w:r>
        <w:t>Обеспечивает непрерывное освоение знаний, мышления и компетенций.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Функциональная грамотность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Математическая грамотность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Естественно-научная грамотность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Цифровая грамотность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89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Критическое мышление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Навыки коммуникации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образования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Индивидуальная образовательная траектория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Признание неформального обучения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Профессиональная переподготовка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Гражданская грамотность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Финансовая грамотность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Экологическая грамотность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07.14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Способность учиться самостоятельно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СРЧ-08. Культура и мировоззрение</w:t>
      </w:r>
    </w:p>
    <w:p>
      <w:pPr>
        <w:keepNext/>
      </w:pPr>
      <w:r>
        <w:t>Обеспечивает культурную идентичность, этическую зрелость и открытость многообразию.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99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Знание родной культуры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культурным благам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в культурной жизни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Межкультурный диалог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Этическая грамотность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Свобода мировоззрения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Медиаграмотность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Историческая грамотность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Сохранение родного языка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Творческое самовыражение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Уважение культурного многообразия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Культура общения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Критическое осмысление информации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08.14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Связь культуры и повседневной жизни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СРЧ-09. Труд и профессиональная реализация</w:t>
      </w:r>
    </w:p>
    <w:p>
      <w:pPr>
        <w:keepNext/>
      </w:pPr>
      <w:r>
        <w:t>Обеспечивает достойный труд, мастерство и профессиональную самореализацию.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достойному труду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рабочего места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Справедливая оплата труда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Стабильность занятости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Соответствие труда квалификации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Профессиональное развитие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Автономия в работе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Баланс труда и жизни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трудовых прав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работников в управлении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Признание профессионального вклада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Предпринимательская инициатива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Производительность труда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09.14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Общественная полезность труда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СРЧ-10. Экономическая самостоятельность</w:t>
      </w:r>
    </w:p>
    <w:p>
      <w:pPr>
        <w:keepNext/>
      </w:pPr>
      <w:r>
        <w:t>Обеспечивает устойчивый доход, финансовую грамотность и управление ресурсами.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Достаточность располагаемого дохода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Стабильность доходов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Наличие финансового резерва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Управляемость долговой нагрузки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базовым финансовым услугам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финансового мошенничества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Навыки личного бюджетирования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Долгосрочные накопления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инвестициям развития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Страховая защищённость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Экономическая устойчивость домохозяйства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Диверсификация источников дохода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Владение производительными активами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10.14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Способность преодолеть финансовый шок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СРЧ-11. Жильё и жизненное пространство</w:t>
      </w:r>
    </w:p>
    <w:p>
      <w:pPr>
        <w:keepNext/>
      </w:pPr>
      <w:r>
        <w:t>Обеспечивает доступное, безопасное и развивающее пространство проживания.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жилья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Правовая защищённость проживания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Физическая безопасность жилья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Обеспеченность коммунальными услугами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Энергоэффективность жилья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транспорта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Безбарьерность пространства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Достаточность личного пространства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социальной инфраструктуре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Качество дворовой среды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Связность территории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Устойчивость расходов на жильё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Возможность улучшения жилищных условий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11.14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жителей в управлении домом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СРЧ-12. Цифровая субъектность</w:t>
      </w:r>
    </w:p>
    <w:p>
      <w:pPr>
        <w:keepNext/>
      </w:pPr>
      <w:r>
        <w:t>Обеспечивает права, безопасность, доступ и самостоятельность Человека в цифровой среде.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интернету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цифровых устройств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Базовая цифровая грамотность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Управление цифровой идентичностью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Контроль персональных данных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Кибергигиена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цифрового насилия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Понимание алгоритмических решений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Навыки работы с искусственным интеллектом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Доступность цифровых госуслуг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Цифровая инклюзия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Право на человеческое рассмотрение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Управление экранным временем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12.14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Создание цифрового контента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СРЧ-13. Творчество и инновации</w:t>
      </w:r>
    </w:p>
    <w:p>
      <w:pPr>
        <w:keepNext/>
      </w:pPr>
      <w:r>
        <w:t>Обеспечивает способность создавать, исследовать и внедрять общественно полезные решения.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Творческая активность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Исследовательские навыки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лабораториям и мастерским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финансированию инициатив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интеллектуальных прав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Командное создание решений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Экспериментирование и прототипирование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Внедрение результатов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Социальная полезность инноваций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Экологичность инноваций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Предпринимательская реализация идей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Открытый обмен знаниями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Признание авторского вклада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13.14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Масштабирование успешных решений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СРЧ-14. Социальные связи и солидарность</w:t>
      </w:r>
    </w:p>
    <w:p>
      <w:pPr>
        <w:keepNext/>
      </w:pPr>
      <w:r>
        <w:t>Обеспечивает принадлежность, доверие, взаимопомощь и участие в сообществах.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Наличие близких связей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Доверие в ближайшем окружении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Взаимопомощь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Включённость в сообщества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Защита от социальной изоляции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Качество коммуникации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Добровольческая активность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Межпоколенческое взаимодействие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Соседское сотрудничество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Инклюзия уязвимых групп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Разрешение конфликтов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Социальное доверие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14.13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общественным пространствам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СРЧ-15. Гражданское участие</w:t>
      </w:r>
    </w:p>
    <w:p>
      <w:pPr>
        <w:keepNext/>
      </w:pPr>
      <w:r>
        <w:t>Обеспечивает осознанное участие в общественной жизни и принятии решений.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196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Знание гражданских прав и обязанностей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197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в выборах и голосованиях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198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в общественных обсуждениях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199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Доступ к публичной информации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200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Обращения и инициативы граждан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201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Общественный контроль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202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в местном самоуправлении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203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Членство в общественных объединениях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204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Опыт совместного решения проблем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205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Доверие к процедурам участия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206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Получение обратной связи от органов власти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207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Компетентность общественного диалога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208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15.13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Влияние участия на решения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СРЧ-16. Экологическая ответственность</w:t>
      </w:r>
    </w:p>
    <w:p>
      <w:pPr>
        <w:keepNext/>
      </w:pPr>
      <w:r>
        <w:t>Обеспечивает ответственное природопользование и восстановление экосистем.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209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Раздельный сбор отходов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Сокращение образования отходов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Энергоэффективное поведение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Водосбережение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Ответственное потребление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Использование экологичного транспорта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Участие в восстановлении природы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Сохранение биоразнообразия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Экологичность питания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Учёт личного экологического следа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Поддержка экологических инициатив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Соблюдение природоохранных норм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16.13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Передача экологических практик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СРЧ-17. Управление временем и жизненной траекторией</w:t>
      </w:r>
    </w:p>
    <w:p>
      <w:pPr>
        <w:keepNext/>
      </w:pPr>
      <w:r>
        <w:t>Обеспечивает баланс ролей, времени, целей и переходов между этапами жизни.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222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Осознанность жизненных целей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223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Планирование времени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224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Баланс труда и отдыха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225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Баланс семейных и общественных ролей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226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Время на здоровье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227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Время на обучение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228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Время на творчество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229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Качество отдыха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230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Управление перегрузкой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231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Готовность к жизненным переходам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232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Актуализация индивидуальной траектории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233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Достижение личных целей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234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17.13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Субъективный контроль над временем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СРЧ-18. Смысл и служение</w:t>
      </w:r>
    </w:p>
    <w:p>
      <w:pPr>
        <w:keepNext/>
      </w:pPr>
      <w:r>
        <w:t>Обеспечивает осмысленность жизни, ценностную определённость и вклад в общее благо.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Осмысленность жизни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Ценностная определённость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Соответствие поступков ценностям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238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Чувство предназначения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239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Вклад в благополучие других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Регулярность общественно полезной деятельности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Ответственность за последствия решений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Способность к нравственному выбору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243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Благодарность и признание вклада других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244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Согласование личного и общего блага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Устойчивость смысла в кризисе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Опыт наставничества и служения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247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18.13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Оценка общественного воздействия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</w:pPr>
      <w:r>
        <w:t>СРЧ-19. Наследие и преемственность</w:t>
      </w:r>
    </w:p>
    <w:p>
      <w:pPr>
        <w:keepNext/>
      </w:pPr>
      <w:r>
        <w:t>Обеспечивает передачу знаний, культуры, опыта и результатов следующим поколениям.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900"/>
        <w:gridCol w:w="4700"/>
        <w:gridCol w:w="3160"/>
      </w:tblGrid>
      <w:tr>
        <w:trPr>
          <w:tblHeader w:val="true"/>
        </w:trPr>
        <w:tc>
          <w:tcPr>
            <w:tcW w:type="dxa" w:w="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№</w:t>
            </w:r>
          </w:p>
        </w:tc>
        <w:tc>
          <w:tcPr>
            <w:tcW w:type="dxa" w:w="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4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Показатель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Обязательная связность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248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Фиксация жизненного опыта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249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Передача профессиональных знаний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250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Наставничество следующего поколения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251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19.04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Сохранение семейной истории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252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Передача культурных традиций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253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19.06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Преемственность общественных инициатив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254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Долговечность созданных результатов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255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19.08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Открытая доступность знаний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256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19.09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Подготовка преемников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257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19.10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Ответственное управление наследием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258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Межпоколенческие проекты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259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19.12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Оценка долгосрочных последствий</w:t>
            </w:r>
          </w:p>
        </w:tc>
        <w:tc>
          <w:tcPr>
            <w:tcW w:type="dxa" w:w="3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260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19.13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Вклад в будущее территории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+ GOA/BEN/GEO/TIM/PRV/RGT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Приложение Б. Источники и нормативная база</w:t>
      </w:r>
    </w:p>
    <w:p>
      <w:r>
        <w:t>Архитектура ОРИОН является проектным синтезом. Международные стандарты используются как опорные модели совместимости; ссылки не означают сертификацию или официальное одобрение проекта соответствующими организациями.</w:t>
      </w:r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1. ISO/IEC 11179-1:2023. </w:t>
      </w:r>
      <w:r>
        <w:t xml:space="preserve">Основа метареестра и разделение данных и их описаний. </w:t>
      </w:r>
      <w:hyperlink r:id="rId12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2. ISO/IEC 11179-3:2023. </w:t>
      </w:r>
      <w:r>
        <w:t xml:space="preserve">Концептуальная модель регистрируемых элементов и отображений. </w:t>
      </w:r>
      <w:hyperlink r:id="rId13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3. ISO 704:2022. </w:t>
      </w:r>
      <w:r>
        <w:t xml:space="preserve">Разделение объекта, понятия, определения и обозначения. </w:t>
      </w:r>
      <w:hyperlink r:id="rId14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4. ISO 860:2007. </w:t>
      </w:r>
      <w:r>
        <w:t xml:space="preserve">Методика гармонизации понятий, систем понятий, определений и терминов. </w:t>
      </w:r>
      <w:hyperlink r:id="rId15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5. W3C SKOS. </w:t>
      </w:r>
      <w:r>
        <w:t xml:space="preserve">Модель схем понятий и типизированных межсхемных соответствий. </w:t>
      </w:r>
      <w:hyperlink r:id="rId16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6. W3C DCAT 3. </w:t>
      </w:r>
      <w:r>
        <w:t xml:space="preserve">Федеративный каталог наборов, сервисов и версий. </w:t>
      </w:r>
      <w:hyperlink r:id="rId17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7. W3C PROV-O. </w:t>
      </w:r>
      <w:r>
        <w:t xml:space="preserve">Машиночитаемое происхождение Entity–Activity–Agent. </w:t>
      </w:r>
      <w:hyperlink r:id="rId18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8. UNSD M49. </w:t>
      </w:r>
      <w:r>
        <w:t xml:space="preserve">Опорная географическая ось для стран, территорий и регионов. </w:t>
      </w:r>
      <w:hyperlink r:id="rId19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9. UNSD ISIC Rev. 5. </w:t>
      </w:r>
      <w:r>
        <w:t xml:space="preserve">Опорная схема для классификации видов деятельности. </w:t>
      </w:r>
      <w:hyperlink r:id="rId20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10. UNSD CPC Ver. 3.0. </w:t>
      </w:r>
      <w:r>
        <w:t xml:space="preserve">Опорная схема для товаров и услуг. </w:t>
      </w:r>
      <w:hyperlink r:id="rId21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11. SDMX 3.1. </w:t>
      </w:r>
      <w:r>
        <w:t xml:space="preserve">Информационная модель, реестр и обмен статистическими данными и метаданными. </w:t>
      </w:r>
      <w:hyperlink r:id="rId22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12. FAIR Guiding Principles. </w:t>
      </w:r>
      <w:r>
        <w:t xml:space="preserve">Находимость, доступность, совместимость и повторное использование цифровых объектов. </w:t>
      </w:r>
      <w:hyperlink r:id="rId23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13. European Interoperability Framework. </w:t>
      </w:r>
      <w:r>
        <w:t xml:space="preserve">Правовой, организационный, семантический и технический уровни совместимости. </w:t>
      </w:r>
      <w:hyperlink r:id="rId24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14. Всеобщая декларация прав человека. </w:t>
      </w:r>
      <w:r>
        <w:t xml:space="preserve">Нормативное основание достоинства, равенства, свобод и правосубъектности. </w:t>
      </w:r>
      <w:hyperlink r:id="rId25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140"/>
      </w:pPr>
      <w:r>
        <w:rPr>
          <w:rFonts w:ascii="Calibri" w:hAnsi="Calibri" w:eastAsia="Calibri"/>
          <w:b/>
          <w:color w:val="0B2545"/>
        </w:rPr>
        <w:t xml:space="preserve">15. OHCHR Human Rights Indicators. </w:t>
      </w:r>
      <w:r>
        <w:t xml:space="preserve">Методика измерения исполнения стандартов прав человека. </w:t>
      </w:r>
      <w:hyperlink r:id="rId26">
        <w:r>
          <w:rPr>
            <w:color w:val="2E74B5"/>
            <w:u w:val="single"/>
          </w:rPr>
          <w:t>Официальный источник</w:t>
        </w:r>
      </w:hyperlink>
    </w:p>
    <w:p>
      <w:pPr>
        <w:pStyle w:val="Heading2"/>
      </w:pPr>
      <w:r>
        <w:t>Внутренние проектные источники</w:t>
      </w:r>
    </w:p>
    <w:p>
      <w:pPr>
        <w:numPr>
          <w:ilvl w:val="0"/>
          <w:numId w:val="10"/>
        </w:numPr>
      </w:pPr>
      <w:r>
        <w:t>Стандарт развития Человека СРЧ 1.0. 19 стандартов, 260 показателей. Редакция 1.0 от 18 августа 2026 года.</w:t>
      </w:r>
    </w:p>
    <w:p>
      <w:pPr>
        <w:numPr>
          <w:ilvl w:val="0"/>
          <w:numId w:val="10"/>
        </w:numPr>
      </w:pPr>
      <w:r>
        <w:t>Книга Кинов. Архив сохранения наследия Человечества. Модель 20 архетипов × 13 тонов.</w:t>
      </w:r>
    </w:p>
    <w:p>
      <w:pPr>
        <w:numPr>
          <w:ilvl w:val="0"/>
          <w:numId w:val="10"/>
        </w:numPr>
      </w:pPr>
      <w:r>
        <w:t>Счётная книга. Архетипы и циклы.</w:t>
      </w:r>
    </w:p>
    <w:p>
      <w:pPr>
        <w:numPr>
          <w:ilvl w:val="0"/>
          <w:numId w:val="10"/>
        </w:numPr>
      </w:pPr>
      <w:r>
        <w:t>ОРИОН 22:22. Стратегическая концепция и презентация, предыдущая редакция.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72" w:val="left"/>
      </w:tabs>
      <w:spacing w:before="40"/>
    </w:pPr>
    <w:r/>
    <w:r>
      <w:rPr>
        <w:rFonts w:ascii="Calibri" w:hAnsi="Calibri" w:eastAsia="Calibri"/>
        <w:color w:val="5A6B7A"/>
        <w:sz w:val="16"/>
      </w:rPr>
      <w:t>Проект ОРИОН 22:22 | Версия 2.0 | 30 августа 2026</w:t>
    </w:r>
    <w:r>
      <w:tab/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4" w:space="8" w:color="CBD5E1"/>
      </w:pBdr>
    </w:pPr>
    <w:r/>
    <w:r>
      <w:rPr>
        <w:rFonts w:ascii="Calibri" w:hAnsi="Calibri" w:eastAsia="Calibri"/>
        <w:b/>
        <w:color w:val="5A6B7A"/>
        <w:sz w:val="17"/>
      </w:rPr>
      <w:t>ОРИОН 22:22  |  ЦИВИЛИЗАЦИОННЫЕ ОПЕРАЦИОННЫЕ СИСТЕМЫ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7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80"/>
    </w:pPr>
    <w:rPr>
      <w:rFonts w:ascii="Calibri" w:hAnsi="Calibri"/>
      <w:b/>
      <w:bCs/>
      <w:i/>
      <w:color w:val="5A6B7A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iso.org/standard/78914.html" TargetMode="External"/><Relationship Id="rId13" Type="http://schemas.openxmlformats.org/officeDocument/2006/relationships/hyperlink" Target="https://www.iso.org/standard/78915.html" TargetMode="External"/><Relationship Id="rId14" Type="http://schemas.openxmlformats.org/officeDocument/2006/relationships/hyperlink" Target="https://www.iso.org/standard/79077.html" TargetMode="External"/><Relationship Id="rId15" Type="http://schemas.openxmlformats.org/officeDocument/2006/relationships/hyperlink" Target="https://www.iso.org/standard/40130.html" TargetMode="External"/><Relationship Id="rId16" Type="http://schemas.openxmlformats.org/officeDocument/2006/relationships/hyperlink" Target="https://www.w3.org/TR/skos-reference/" TargetMode="External"/><Relationship Id="rId17" Type="http://schemas.openxmlformats.org/officeDocument/2006/relationships/hyperlink" Target="https://www.w3.org/TR/vocab-dcat-3/" TargetMode="External"/><Relationship Id="rId18" Type="http://schemas.openxmlformats.org/officeDocument/2006/relationships/hyperlink" Target="https://www.w3.org/TR/prov-o/" TargetMode="External"/><Relationship Id="rId19" Type="http://schemas.openxmlformats.org/officeDocument/2006/relationships/hyperlink" Target="https://unstats.un.org/unsd/methodology/m49/" TargetMode="External"/><Relationship Id="rId20" Type="http://schemas.openxmlformats.org/officeDocument/2006/relationships/hyperlink" Target="https://unstats.un.org/unsd/classifications/Econ/isic" TargetMode="External"/><Relationship Id="rId21" Type="http://schemas.openxmlformats.org/officeDocument/2006/relationships/hyperlink" Target="https://unstats.un.org/unsd/classifications/Econ/cpc" TargetMode="External"/><Relationship Id="rId22" Type="http://schemas.openxmlformats.org/officeDocument/2006/relationships/hyperlink" Target="https://sdmx.org/standards-2/" TargetMode="External"/><Relationship Id="rId23" Type="http://schemas.openxmlformats.org/officeDocument/2006/relationships/hyperlink" Target="https://www.nature.com/articles/sdata201618" TargetMode="External"/><Relationship Id="rId24" Type="http://schemas.openxmlformats.org/officeDocument/2006/relationships/hyperlink" Target="https://interoperable-europe.ec.europa.eu/collection/iopeu-monitoring/european-interoperability-framework-detail" TargetMode="External"/><Relationship Id="rId25" Type="http://schemas.openxmlformats.org/officeDocument/2006/relationships/hyperlink" Target="https://www.un.org/en/about-us/universal-declaration-of-human-rights" TargetMode="External"/><Relationship Id="rId26" Type="http://schemas.openxmlformats.org/officeDocument/2006/relationships/hyperlink" Target="https://www.ohchr.org/en/publications/policy-and-methodological-publications/human-rights-indicators-guide-measurement-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ОРИОН 22:22 — Цивилизационные операционные системы — Унификация классификатора</dc:title>
  <dc:subject>Федеративная метасистема классификаторов, 22 оси, СРЧ 1.0 и контур Кинов</dc:subject>
  <dc:creator>Проект ОРИОН 22:22</dc:creator>
  <cp:keywords>ОРИОН 22:22, классификатор, метаданные, СРЧ, 19 стандартов, 260 показателей, Кины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