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after="360"/>
        <w:jc w:val="center"/>
      </w:pPr>
      <w:r>
        <w:rPr>
          <w:rFonts w:ascii="Calibri" w:hAnsi="Calibri" w:eastAsia="Calibri" w:cs="Calibri"/>
          <w:b/>
          <w:color w:val="B88A2B"/>
          <w:sz w:val="21"/>
        </w:rPr>
        <w:t>МЕТААРХИТЕКТУРА ЦИВИЛИЗАЦИОННОГО ПРОЕКТА</w:t>
      </w:r>
    </w:p>
    <w:p>
      <w:pPr>
        <w:spacing w:after="160"/>
        <w:jc w:val="center"/>
      </w:pPr>
      <w:r>
        <w:rPr>
          <w:rFonts w:ascii="Calibri" w:hAnsi="Calibri" w:eastAsia="Calibri" w:cs="Calibri"/>
          <w:b/>
          <w:color w:val="0A2240"/>
          <w:sz w:val="72"/>
        </w:rPr>
        <w:t>ОРИОН 22:22</w:t>
      </w:r>
    </w:p>
    <w:p>
      <w:pPr>
        <w:spacing w:after="520"/>
        <w:jc w:val="center"/>
      </w:pPr>
      <w:r>
        <w:rPr>
          <w:rFonts w:ascii="Calibri" w:hAnsi="Calibri" w:eastAsia="Calibri" w:cs="Calibri"/>
          <w:color w:val="1F4D78"/>
          <w:sz w:val="30"/>
        </w:rPr>
        <w:t>Объединённая Реестровая Интеллектуальная</w:t>
        <w:br/>
        <w:t>Операционная Навигация</w:t>
      </w:r>
    </w:p>
    <w:p>
      <w:pPr>
        <w:spacing w:after="480"/>
        <w:jc w:val="center"/>
      </w:pPr>
      <w:r>
        <w:rPr>
          <w:rFonts w:ascii="Calibri" w:hAnsi="Calibri" w:eastAsia="Calibri" w:cs="Calibri"/>
          <w:b/>
          <w:color w:val="B88A2B"/>
          <w:sz w:val="36"/>
        </w:rPr>
        <w:t>22 функции  ↔  22 измеримых результата</w:t>
      </w:r>
    </w:p>
    <w:p>
      <w:pPr>
        <w:spacing w:after="920"/>
        <w:jc w:val="center"/>
      </w:pPr>
      <w:r>
        <w:rPr>
          <w:rFonts w:ascii="Calibri" w:hAnsi="Calibri" w:eastAsia="Calibri" w:cs="Calibri"/>
          <w:i/>
          <w:color w:val="5E6A76"/>
          <w:sz w:val="25"/>
        </w:rPr>
        <w:t>Единая навигация смыслов, данных, решений, ресурсов, исполнения и памяти</w:t>
      </w:r>
    </w:p>
    <w:p>
      <w:pPr>
        <w:spacing w:after="80"/>
        <w:jc w:val="center"/>
      </w:pPr>
      <w:r>
        <w:rPr>
          <w:rFonts w:ascii="Calibri" w:hAnsi="Calibri" w:eastAsia="Calibri" w:cs="Calibri"/>
          <w:b/>
          <w:color w:val="0A2240"/>
          <w:sz w:val="22"/>
        </w:rPr>
        <w:t>Стратегическая концепция • Версия 1.0</w:t>
      </w:r>
    </w:p>
    <w:p>
      <w:pPr>
        <w:spacing w:after="360"/>
        <w:jc w:val="center"/>
      </w:pPr>
      <w:r>
        <w:rPr>
          <w:rFonts w:ascii="Calibri" w:hAnsi="Calibri" w:eastAsia="Calibri" w:cs="Calibri"/>
          <w:color w:val="5E6A76"/>
          <w:sz w:val="21"/>
        </w:rPr>
        <w:t>25 августа 2026 года</w:t>
      </w:r>
    </w:p>
    <w:p>
      <w:pPr>
        <w:spacing w:after="40"/>
        <w:jc w:val="center"/>
      </w:pPr>
      <w:r>
        <w:rPr>
          <w:rFonts w:ascii="Calibri" w:hAnsi="Calibri" w:eastAsia="Calibri" w:cs="Calibri"/>
          <w:color w:val="5E6A76"/>
          <w:sz w:val="18"/>
        </w:rPr>
        <w:t>Инициатор и автор концепции</w:t>
      </w:r>
    </w:p>
    <w:p>
      <w:pPr>
        <w:jc w:val="center"/>
      </w:pPr>
      <w:r>
        <w:rPr>
          <w:rFonts w:ascii="Calibri" w:hAnsi="Calibri" w:eastAsia="Calibri" w:cs="Calibri"/>
          <w:b/>
          <w:color w:val="0A2240"/>
          <w:sz w:val="21"/>
        </w:rPr>
        <w:t>Соколов Сергей Леонидович • SOKOL EQUILIBRIS</w:t>
      </w: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Краткое резюме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4F6F9" w:val="clear"/>
          </w:tcPr>
          <w:p>
            <w:pPr>
              <w:spacing w:before="40"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9"/>
              </w:rPr>
              <w:t xml:space="preserve">ГЛАВНАЯ ИДЕЯ  </w:t>
            </w:r>
            <w:r>
              <w:rPr>
                <w:rFonts w:ascii="Calibri" w:hAnsi="Calibri" w:eastAsia="Calibri" w:cs="Calibri"/>
                <w:b/>
                <w:color w:val="0A2240"/>
                <w:sz w:val="21"/>
              </w:rPr>
              <w:t>ОРИОН 22:22 превращает разрозненные замыслы, активы, данные и участников в управляемую систему полного цикла: от смысла и регистрации инициативы до пилота, независимой верификации, масштабирования и сохранения опыта.</w:t>
            </w:r>
          </w:p>
        </w:tc>
      </w:tr>
    </w:tbl>
    <w:p>
      <w:pPr>
        <w:spacing w:after="20"/>
      </w:pPr>
    </w:p>
    <w:p>
      <w:pPr/>
      <w:r>
        <w:rPr>
          <w:rFonts w:ascii="Calibri" w:hAnsi="Calibri" w:eastAsia="Calibri" w:cs="Calibri"/>
          <w:color w:val="1D2733"/>
        </w:rPr>
        <w:t>ОРИОН 22:22 — не отдельный портал и не новый ведомственный реестр. Это метаархитектура, которая задаёт единый язык, связывает существующие системы, показывает владельцев решений и переводит стратегию в портфель проверяемых действий. Центральный принцип — соответствие: каждой функции системы назначаются измеримый результат, владелец, источник данных, критерий допуска и контур обратной связи.</w:t>
      </w:r>
    </w:p>
    <w:p>
      <w:pPr/>
      <w:r>
        <w:rPr>
          <w:rFonts w:ascii="Calibri" w:hAnsi="Calibri" w:eastAsia="Calibri" w:cs="Calibri"/>
          <w:color w:val="1D2733"/>
        </w:rPr>
        <w:t>Система объединяет ЭКВИЛИБРИУМ как аналитическую операционную среду, СФЕРУ как пространство инициатив и кооперации, ECO-PPA как механизм мобилизации ресурсов под подтверждаемый эффект, СПЕЦЗАЩИТУ как контур исполнения, КРИСТАЛЛ 741 как классификационно-модульное ядро и Архив сохранения наследия как долговременную память происхождения, решений и результатов.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2160"/>
        <w:gridCol w:w="7200"/>
      </w:tblGrid>
      <w:tr>
        <w:trPr>
          <w:tblHeader w:val="true"/>
          <w:cantSplit w:val="true"/>
        </w:trPr>
        <w:tc>
          <w:tcPr>
            <w:tcW w:type="dxa" w:w="21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Параметр</w:t>
            </w:r>
          </w:p>
        </w:tc>
        <w:tc>
          <w:tcPr>
            <w:tcW w:type="dxa" w:w="72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1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Статус</w:t>
            </w:r>
          </w:p>
        </w:tc>
        <w:tc>
          <w:tcPr>
            <w:tcW w:type="dxa" w:w="72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Проект стратегической концепции для обсуждения и согласования</w:t>
            </w:r>
          </w:p>
        </w:tc>
      </w:tr>
      <w:tr>
        <w:trPr>
          <w:cantSplit w:val="true"/>
        </w:trPr>
        <w:tc>
          <w:tcPr>
            <w:tcW w:type="dxa" w:w="21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Назначение</w:t>
            </w:r>
          </w:p>
        </w:tc>
        <w:tc>
          <w:tcPr>
            <w:tcW w:type="dxa" w:w="72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Навигация по целям, реестрам, инициативам, рискам, ресурсам, пилотам и доказательствам результата</w:t>
            </w:r>
          </w:p>
        </w:tc>
      </w:tr>
      <w:tr>
        <w:trPr>
          <w:cantSplit w:val="true"/>
        </w:trPr>
        <w:tc>
          <w:tcPr>
            <w:tcW w:type="dxa" w:w="21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Основная аудитория</w:t>
            </w:r>
          </w:p>
        </w:tc>
        <w:tc>
          <w:tcPr>
            <w:tcW w:type="dxa" w:w="72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Государственные органы, институты развития, научные и производственные организации, территории, партнёры и общественные объединения</w:t>
            </w:r>
          </w:p>
        </w:tc>
      </w:tr>
      <w:tr>
        <w:trPr>
          <w:cantSplit w:val="true"/>
        </w:trPr>
        <w:tc>
          <w:tcPr>
            <w:tcW w:type="dxa" w:w="21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Горизонт</w:t>
            </w:r>
          </w:p>
        </w:tc>
        <w:tc>
          <w:tcPr>
            <w:tcW w:type="dxa" w:w="72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Пилот 12 месяцев; тиражирование 36 месяцев; постоянный контур обучения и развития</w:t>
            </w:r>
          </w:p>
        </w:tc>
      </w:tr>
      <w:tr>
        <w:trPr>
          <w:cantSplit w:val="true"/>
        </w:trPr>
        <w:tc>
          <w:tcPr>
            <w:tcW w:type="dxa" w:w="21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Первое решение</w:t>
            </w:r>
          </w:p>
        </w:tc>
        <w:tc>
          <w:tcPr>
            <w:tcW w:type="dxa" w:w="72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Утвердить нулевой цикл, архитектурную группу, пилотную территорию и единый паспорт инициативы</w:t>
            </w:r>
          </w:p>
        </w:tc>
      </w:tr>
    </w:tbl>
    <w:p>
      <w:pPr>
        <w:spacing w:after="20"/>
      </w:pPr>
    </w:p>
    <w:p>
      <w:pPr>
        <w:pStyle w:val="Heading1"/>
        <w:keepNext/>
        <w:pageBreakBefore/>
      </w:pPr>
      <w:r>
        <w:rPr>
          <w:rFonts w:ascii="Calibri" w:hAnsi="Calibri" w:eastAsia="Calibri" w:cs="Calibri"/>
          <w:b/>
          <w:color w:val="2E74B5"/>
          <w:sz w:val="32"/>
        </w:rPr>
        <w:t>Навигация по 22 положениям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600"/>
        <w:gridCol w:w="3300"/>
        <w:gridCol w:w="5460"/>
      </w:tblGrid>
      <w:tr>
        <w:trPr>
          <w:tblHeader w:val="true"/>
          <w:cantSplit w:val="true"/>
        </w:trPr>
        <w:tc>
          <w:tcPr>
            <w:tcW w:type="dxa" w:w="6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№</w:t>
            </w:r>
          </w:p>
        </w:tc>
        <w:tc>
          <w:tcPr>
            <w:tcW w:type="dxa" w:w="33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Положение</w:t>
            </w:r>
          </w:p>
        </w:tc>
        <w:tc>
          <w:tcPr>
            <w:tcW w:type="dxa" w:w="54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Практический выход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</w:t>
            </w:r>
          </w:p>
        </w:tc>
        <w:tc>
          <w:tcPr>
            <w:tcW w:type="dxa" w:w="33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Паспорт проекта</w:t>
            </w:r>
          </w:p>
        </w:tc>
        <w:tc>
          <w:tcPr>
            <w:tcW w:type="dxa" w:w="5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Объект, статус, адресаты и границы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2</w:t>
            </w:r>
          </w:p>
        </w:tc>
        <w:tc>
          <w:tcPr>
            <w:tcW w:type="dxa" w:w="33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Суть и масштаб</w:t>
            </w:r>
          </w:p>
        </w:tc>
        <w:tc>
          <w:tcPr>
            <w:tcW w:type="dxa" w:w="5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Что система объединяет и какой результат создаёт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3</w:t>
            </w:r>
          </w:p>
        </w:tc>
        <w:tc>
          <w:tcPr>
            <w:tcW w:type="dxa" w:w="33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Исходная проблема</w:t>
            </w:r>
          </w:p>
        </w:tc>
        <w:tc>
          <w:tcPr>
            <w:tcW w:type="dxa" w:w="5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Почему проекты теряются между идеей и серией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4</w:t>
            </w:r>
          </w:p>
        </w:tc>
        <w:tc>
          <w:tcPr>
            <w:tcW w:type="dxa" w:w="33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Имя и рабочее определение</w:t>
            </w:r>
          </w:p>
        </w:tc>
        <w:tc>
          <w:tcPr>
            <w:tcW w:type="dxa" w:w="5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Расшифровка О-Р-И-О-Н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5</w:t>
            </w:r>
          </w:p>
        </w:tc>
        <w:tc>
          <w:tcPr>
            <w:tcW w:type="dxa" w:w="33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Формула 22:22</w:t>
            </w:r>
          </w:p>
        </w:tc>
        <w:tc>
          <w:tcPr>
            <w:tcW w:type="dxa" w:w="5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22 функции и 22 результата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6</w:t>
            </w:r>
          </w:p>
        </w:tc>
        <w:tc>
          <w:tcPr>
            <w:tcW w:type="dxa" w:w="33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Экосистема</w:t>
            </w:r>
          </w:p>
        </w:tc>
        <w:tc>
          <w:tcPr>
            <w:tcW w:type="dxa" w:w="5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Роли ЭКВИЛИБРИУМ, СФЕРЫ, ECO-PPA и партнёров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7</w:t>
            </w:r>
          </w:p>
        </w:tc>
        <w:tc>
          <w:tcPr>
            <w:tcW w:type="dxa" w:w="33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Пять слоёв архитектуры</w:t>
            </w:r>
          </w:p>
        </w:tc>
        <w:tc>
          <w:tcPr>
            <w:tcW w:type="dxa" w:w="5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Смысл, знание, решение, действие, память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8</w:t>
            </w:r>
          </w:p>
        </w:tc>
        <w:tc>
          <w:tcPr>
            <w:tcW w:type="dxa" w:w="33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22 функциональных контура</w:t>
            </w:r>
          </w:p>
        </w:tc>
        <w:tc>
          <w:tcPr>
            <w:tcW w:type="dxa" w:w="5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Полный реестр функций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9</w:t>
            </w:r>
          </w:p>
        </w:tc>
        <w:tc>
          <w:tcPr>
            <w:tcW w:type="dxa" w:w="33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22 измеримых результата</w:t>
            </w:r>
          </w:p>
        </w:tc>
        <w:tc>
          <w:tcPr>
            <w:tcW w:type="dxa" w:w="5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Система показателей и доказательств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10</w:t>
            </w:r>
          </w:p>
        </w:tc>
        <w:tc>
          <w:tcPr>
            <w:tcW w:type="dxa" w:w="33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Жизненный цикл инициативы</w:t>
            </w:r>
          </w:p>
        </w:tc>
        <w:tc>
          <w:tcPr>
            <w:tcW w:type="dxa" w:w="5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От регистрации до масштабирования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11</w:t>
            </w:r>
          </w:p>
        </w:tc>
        <w:tc>
          <w:tcPr>
            <w:tcW w:type="dxa" w:w="33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Цифровое ядро</w:t>
            </w:r>
          </w:p>
        </w:tc>
        <w:tc>
          <w:tcPr>
            <w:tcW w:type="dxa" w:w="5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Данные, интеграции, ИИ и доказательная среда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12</w:t>
            </w:r>
          </w:p>
        </w:tc>
        <w:tc>
          <w:tcPr>
            <w:tcW w:type="dxa" w:w="33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Граф смыслов и КРИСТАЛЛ 741</w:t>
            </w:r>
          </w:p>
        </w:tc>
        <w:tc>
          <w:tcPr>
            <w:tcW w:type="dxa" w:w="5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Связность и классификация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13</w:t>
            </w:r>
          </w:p>
        </w:tc>
        <w:tc>
          <w:tcPr>
            <w:tcW w:type="dxa" w:w="33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Цифровой двойник</w:t>
            </w:r>
          </w:p>
        </w:tc>
        <w:tc>
          <w:tcPr>
            <w:tcW w:type="dxa" w:w="5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Моделирование территории и сценариев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14</w:t>
            </w:r>
          </w:p>
        </w:tc>
        <w:tc>
          <w:tcPr>
            <w:tcW w:type="dxa" w:w="33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Управление</w:t>
            </w:r>
          </w:p>
        </w:tc>
        <w:tc>
          <w:tcPr>
            <w:tcW w:type="dxa" w:w="5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Органы, роли и право остановки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15</w:t>
            </w:r>
          </w:p>
        </w:tc>
        <w:tc>
          <w:tcPr>
            <w:tcW w:type="dxa" w:w="33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Экономика</w:t>
            </w:r>
          </w:p>
        </w:tc>
        <w:tc>
          <w:tcPr>
            <w:tcW w:type="dxa" w:w="5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Проектное финансирование и ECO-PPA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16</w:t>
            </w:r>
          </w:p>
        </w:tc>
        <w:tc>
          <w:tcPr>
            <w:tcW w:type="dxa" w:w="33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Право и стандарты</w:t>
            </w:r>
          </w:p>
        </w:tc>
        <w:tc>
          <w:tcPr>
            <w:tcW w:type="dxa" w:w="5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Совместимость, доказательность и аудит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17</w:t>
            </w:r>
          </w:p>
        </w:tc>
        <w:tc>
          <w:tcPr>
            <w:tcW w:type="dxa" w:w="33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Человек и культура</w:t>
            </w:r>
          </w:p>
        </w:tc>
        <w:tc>
          <w:tcPr>
            <w:tcW w:type="dxa" w:w="5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Компетенции, участие и наследие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18</w:t>
            </w:r>
          </w:p>
        </w:tc>
        <w:tc>
          <w:tcPr>
            <w:tcW w:type="dxa" w:w="33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Безопасность и этика</w:t>
            </w:r>
          </w:p>
        </w:tc>
        <w:tc>
          <w:tcPr>
            <w:tcW w:type="dxa" w:w="5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Ограничения и красные линии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19</w:t>
            </w:r>
          </w:p>
        </w:tc>
        <w:tc>
          <w:tcPr>
            <w:tcW w:type="dxa" w:w="33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Портфель первых пилотов</w:t>
            </w:r>
          </w:p>
        </w:tc>
        <w:tc>
          <w:tcPr>
            <w:tcW w:type="dxa" w:w="5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Стартовые направления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20</w:t>
            </w:r>
          </w:p>
        </w:tc>
        <w:tc>
          <w:tcPr>
            <w:tcW w:type="dxa" w:w="33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Пилот и дорожная карта</w:t>
            </w:r>
          </w:p>
        </w:tc>
        <w:tc>
          <w:tcPr>
            <w:tcW w:type="dxa" w:w="5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100 дней, 12 и 36 месяцев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21</w:t>
            </w:r>
          </w:p>
        </w:tc>
        <w:tc>
          <w:tcPr>
            <w:tcW w:type="dxa" w:w="33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Валидация и зрелость</w:t>
            </w:r>
          </w:p>
        </w:tc>
        <w:tc>
          <w:tcPr>
            <w:tcW w:type="dxa" w:w="5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Допуск к тиражированию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22</w:t>
            </w:r>
          </w:p>
        </w:tc>
        <w:tc>
          <w:tcPr>
            <w:tcW w:type="dxa" w:w="33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Решение и манифест запуска</w:t>
            </w:r>
          </w:p>
        </w:tc>
        <w:tc>
          <w:tcPr>
            <w:tcW w:type="dxa" w:w="5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Что необходимо утвердить</w:t>
            </w:r>
          </w:p>
        </w:tc>
      </w:tr>
    </w:tbl>
    <w:p>
      <w:pPr>
        <w:spacing w:after="20"/>
      </w:pPr>
    </w:p>
    <w:p>
      <w:pPr>
        <w:pStyle w:val="Heading1"/>
        <w:keepNext/>
        <w:pageBreakBefore/>
      </w:pPr>
      <w:r>
        <w:rPr>
          <w:rFonts w:ascii="Calibri" w:hAnsi="Calibri" w:eastAsia="Calibri" w:cs="Calibri"/>
          <w:b/>
          <w:color w:val="2E74B5"/>
          <w:sz w:val="32"/>
        </w:rPr>
        <w:t>1. Паспорт проекта</w:t>
      </w:r>
    </w:p>
    <w:p>
      <w:pPr/>
      <w:r>
        <w:rPr>
          <w:rFonts w:ascii="Calibri" w:hAnsi="Calibri" w:eastAsia="Calibri" w:cs="Calibri"/>
          <w:color w:val="1D2733"/>
        </w:rPr>
        <w:t>Наименование: ОРИОН 22:22 — Объединённая Реестровая Интеллектуальная Операционная Навигация.</w:t>
      </w:r>
    </w:p>
    <w:p>
      <w:pPr/>
      <w:r>
        <w:rPr>
          <w:rFonts w:ascii="Calibri" w:hAnsi="Calibri" w:eastAsia="Calibri" w:cs="Calibri"/>
          <w:color w:val="1D2733"/>
        </w:rPr>
        <w:t>Тип проекта: межотраслевая цифровая и организационная метаархитектура, обеспечивающая связанность стратегий, реестров, данных, инициатив, финансовых механизмов, исполнителей и доказательств результата.</w:t>
      </w:r>
    </w:p>
    <w:p>
      <w:pPr/>
      <w:r>
        <w:rPr>
          <w:rFonts w:ascii="Calibri" w:hAnsi="Calibri" w:eastAsia="Calibri" w:cs="Calibri"/>
          <w:color w:val="1D2733"/>
        </w:rPr>
        <w:t>Объект управления: не отдельная организация, а жизненный цикл общественно значимых, научно-технологических, экологических, культурных, инфраструктурных и международных инициатив.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Граница полномочий: ОРИОН не подменяет государственные органы, собственников данных, научную экспертизу, суд, контрольные органы или оператора проекта.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Принцип совместимости: действующие информационные системы сохраняются; ОРИОН связывает их через паспорта, идентификаторы, правила обмена и доказательную модель.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Режим внедрения: добровольный пилот с формализованными соглашениями, правом остановки и независимой проверкой результата.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FF8E8" w:val="clear"/>
          </w:tcPr>
          <w:p>
            <w:pPr>
              <w:spacing w:before="40"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B88A2B"/>
                <w:sz w:val="19"/>
              </w:rPr>
              <w:t xml:space="preserve">СТАТУС  </w:t>
            </w:r>
            <w:r>
              <w:rPr>
                <w:rFonts w:ascii="Calibri" w:hAnsi="Calibri" w:eastAsia="Calibri" w:cs="Calibri"/>
                <w:b/>
                <w:color w:val="0A2240"/>
                <w:sz w:val="21"/>
              </w:rPr>
              <w:t>Концепция задаёт целевую модель. Юридические, финансовые и технические решения принимаются отдельными документами после профильной экспертизы.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2. Суть и масштаб</w:t>
      </w:r>
    </w:p>
    <w:p>
      <w:pPr/>
      <w:r>
        <w:rPr>
          <w:rFonts w:ascii="Calibri" w:hAnsi="Calibri" w:eastAsia="Calibri" w:cs="Calibri"/>
          <w:color w:val="1D2733"/>
        </w:rPr>
        <w:t>Современные программы распадаются на несвязанные документы, базы данных, бюджеты, пилоты и отчёты. Даже сильная идея часто не имеет единого паспорта происхождения, ответственного владельца, производственной траектории, проверяемой базовой линии и понятного механизма перехода к масштабу. ОРИОН 22:22 устраняет разрыв не централизацией всего в одной базе, а созданием общей навигационной рамки.</w:t>
      </w:r>
    </w:p>
    <w:p>
      <w:pPr/>
      <w:r>
        <w:rPr>
          <w:rFonts w:ascii="Calibri" w:hAnsi="Calibri" w:eastAsia="Calibri" w:cs="Calibri"/>
          <w:color w:val="1D2733"/>
        </w:rPr>
        <w:t>Масштаб системы задаётся тремя измерениями: предметным — от природы и технологий до культуры и безопасности; территориальным — от объекта и муниципалитета до страны и международной кооперации; временным — от текущего события до долгосрочного наследия. На каждом уровне сохраняется возможность проследить, почему решение принято, кем подтверждено, какие ресурсы использованы и какой эффект получен.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Увидеть целое: сформировать карту систем, субъектов, потоков, рисков и точек разрыва.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Собрать действие: перевести идею в паспорт, консорциум, финансирование, пилот и измеримый результат.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Сохранить память: фиксировать происхождение, права, версии, решения, ошибки, доказательства и условия тиражирования.</w:t>
      </w:r>
    </w:p>
    <w:p>
      <w:pPr/>
      <w:r>
        <w:rPr>
          <w:rFonts w:ascii="Calibri" w:hAnsi="Calibri" w:eastAsia="Calibri" w:cs="Calibri"/>
          <w:color w:val="1D2733"/>
        </w:rPr>
        <w:t>Главный продукт ОРИОН — не информационная витрина, а управляемая связность: способность системы быстро находить компетенции и ресурсы, предотвращать дублирование, обнаруживать конфликт целей и доводить решение до подтверждённого эффекта.</w:t>
      </w: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3. Исходная проблема: разрыв между идеей и результатом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1440"/>
        <w:gridCol w:w="2760"/>
        <w:gridCol w:w="2280"/>
        <w:gridCol w:w="2880"/>
      </w:tblGrid>
      <w:tr>
        <w:trPr>
          <w:tblHeader w:val="true"/>
          <w:cantSplit w:val="true"/>
        </w:trPr>
        <w:tc>
          <w:tcPr>
            <w:tcW w:type="dxa" w:w="144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Разрыв</w:t>
            </w:r>
          </w:p>
        </w:tc>
        <w:tc>
          <w:tcPr>
            <w:tcW w:type="dxa" w:w="27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Проявление</w:t>
            </w:r>
          </w:p>
        </w:tc>
        <w:tc>
          <w:tcPr>
            <w:tcW w:type="dxa" w:w="228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Последствие</w:t>
            </w:r>
          </w:p>
        </w:tc>
        <w:tc>
          <w:tcPr>
            <w:tcW w:type="dxa" w:w="288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Ответ ОРИОН</w:t>
            </w:r>
          </w:p>
        </w:tc>
      </w:tr>
      <w:tr>
        <w:trPr>
          <w:cantSplit w:val="true"/>
        </w:trPr>
        <w:tc>
          <w:tcPr>
            <w:tcW w:type="dxa" w:w="144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Смысловой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Разные участники по-разному понимают цель и критерии успеха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Конфликт приоритетов и отчётность ради отчётности</w:t>
            </w:r>
          </w:p>
        </w:tc>
        <w:tc>
          <w:tcPr>
            <w:tcW w:type="dxa" w:w="28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Единая онтология, дерево целей и карта противоречий</w:t>
            </w:r>
          </w:p>
        </w:tc>
      </w:tr>
      <w:tr>
        <w:trPr>
          <w:cantSplit w:val="true"/>
        </w:trPr>
        <w:tc>
          <w:tcPr>
            <w:tcW w:type="dxa" w:w="144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Реестровый</w:t>
            </w:r>
          </w:p>
        </w:tc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Объекты, права, технологии и проекты описаны разными идентификаторами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Нельзя собрать доказательную цепочку</w:t>
            </w:r>
          </w:p>
        </w:tc>
        <w:tc>
          <w:tcPr>
            <w:tcW w:type="dxa" w:w="28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Сквозной паспорт и таблица соответствий реестров</w:t>
            </w:r>
          </w:p>
        </w:tc>
      </w:tr>
      <w:tr>
        <w:trPr>
          <w:cantSplit w:val="true"/>
        </w:trPr>
        <w:tc>
          <w:tcPr>
            <w:tcW w:type="dxa" w:w="144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Данный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Нет базовой линии, качество источников не определено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Прогноз и эффект нельзя проверить</w:t>
            </w:r>
          </w:p>
        </w:tc>
        <w:tc>
          <w:tcPr>
            <w:tcW w:type="dxa" w:w="28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Паспорт данных, качество, происхождение и версии</w:t>
            </w:r>
          </w:p>
        </w:tc>
      </w:tr>
      <w:tr>
        <w:trPr>
          <w:cantSplit w:val="true"/>
        </w:trPr>
        <w:tc>
          <w:tcPr>
            <w:tcW w:type="dxa" w:w="144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Организационный</w:t>
            </w:r>
          </w:p>
        </w:tc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Владелец решения не совпадает с владельцем результата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Размытая ответственность</w:t>
            </w:r>
          </w:p>
        </w:tc>
        <w:tc>
          <w:tcPr>
            <w:tcW w:type="dxa" w:w="28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Ролевое соглашение и матрица полномочий</w:t>
            </w:r>
          </w:p>
        </w:tc>
      </w:tr>
      <w:tr>
        <w:trPr>
          <w:cantSplit w:val="true"/>
        </w:trPr>
        <w:tc>
          <w:tcPr>
            <w:tcW w:type="dxa" w:w="144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Производственный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Прототип не связан с серийным изготовлением и заказчиком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Пилоты не переходят в масштаб</w:t>
            </w:r>
          </w:p>
        </w:tc>
        <w:tc>
          <w:tcPr>
            <w:tcW w:type="dxa" w:w="28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Кооперационная цепочка и критерии серийной готовности</w:t>
            </w:r>
          </w:p>
        </w:tc>
      </w:tr>
      <w:tr>
        <w:trPr>
          <w:cantSplit w:val="true"/>
        </w:trPr>
        <w:tc>
          <w:tcPr>
            <w:tcW w:type="dxa" w:w="144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Финансовый</w:t>
            </w:r>
          </w:p>
        </w:tc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Финансируется действие, но не подтверждаемый эффект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Капитал не видит управляемого риска</w:t>
            </w:r>
          </w:p>
        </w:tc>
        <w:tc>
          <w:tcPr>
            <w:tcW w:type="dxa" w:w="28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ECO-PPA, этапное финансирование и независимая верификация</w:t>
            </w:r>
          </w:p>
        </w:tc>
      </w:tr>
      <w:tr>
        <w:trPr>
          <w:cantSplit w:val="true"/>
        </w:trPr>
        <w:tc>
          <w:tcPr>
            <w:tcW w:type="dxa" w:w="144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Памяти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Ошибки и уроки остаются в отдельных командах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Система повторяет неудачные решения</w:t>
            </w:r>
          </w:p>
        </w:tc>
        <w:tc>
          <w:tcPr>
            <w:tcW w:type="dxa" w:w="28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Архив решений, версий, результатов и ограничений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D9EFF8" w:val="clear"/>
          </w:tcPr>
          <w:p>
            <w:pPr>
              <w:spacing w:before="40"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9"/>
              </w:rPr>
              <w:t xml:space="preserve">КЛЮЧЕВОЙ ВЫВОД  </w:t>
            </w:r>
            <w:r>
              <w:rPr>
                <w:rFonts w:ascii="Calibri" w:hAnsi="Calibri" w:eastAsia="Calibri" w:cs="Calibri"/>
                <w:b/>
                <w:color w:val="0A2240"/>
                <w:sz w:val="21"/>
              </w:rPr>
              <w:t>Нужен не ещё один отраслевой проект, а общий механизм прохождения полного цикла — от постановки смысла до подтверждения результата и возврата уроков в систему.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4. Имя и рабочее определение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720"/>
        <w:gridCol w:w="1800"/>
        <w:gridCol w:w="6840"/>
      </w:tblGrid>
      <w:tr>
        <w:trPr>
          <w:tblHeader w:val="true"/>
          <w:cantSplit w:val="true"/>
        </w:trPr>
        <w:tc>
          <w:tcPr>
            <w:tcW w:type="dxa" w:w="72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Буква</w:t>
            </w:r>
          </w:p>
        </w:tc>
        <w:tc>
          <w:tcPr>
            <w:tcW w:type="dxa" w:w="18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Компонент</w:t>
            </w:r>
          </w:p>
        </w:tc>
        <w:tc>
          <w:tcPr>
            <w:tcW w:type="dxa" w:w="684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72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О</w:t>
            </w:r>
          </w:p>
        </w:tc>
        <w:tc>
          <w:tcPr>
            <w:tcW w:type="dxa" w:w="18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Объединённая</w:t>
            </w:r>
          </w:p>
        </w:tc>
        <w:tc>
          <w:tcPr>
            <w:tcW w:type="dxa" w:w="68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Федеративная связность без уничтожения самостоятельности участников и систем</w:t>
            </w:r>
          </w:p>
        </w:tc>
      </w:tr>
      <w:tr>
        <w:trPr>
          <w:cantSplit w:val="true"/>
        </w:trPr>
        <w:tc>
          <w:tcPr>
            <w:tcW w:type="dxa" w:w="72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Р</w:t>
            </w:r>
          </w:p>
        </w:tc>
        <w:tc>
          <w:tcPr>
            <w:tcW w:type="dxa" w:w="18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Реестровая</w:t>
            </w:r>
          </w:p>
        </w:tc>
        <w:tc>
          <w:tcPr>
            <w:tcW w:type="dxa" w:w="68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Опора на паспорта объектов, прав, технологий, инициатив, данных, ролей и результатов</w:t>
            </w:r>
          </w:p>
        </w:tc>
      </w:tr>
      <w:tr>
        <w:trPr>
          <w:cantSplit w:val="true"/>
        </w:trPr>
        <w:tc>
          <w:tcPr>
            <w:tcW w:type="dxa" w:w="72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И</w:t>
            </w:r>
          </w:p>
        </w:tc>
        <w:tc>
          <w:tcPr>
            <w:tcW w:type="dxa" w:w="18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Интеллектуальная</w:t>
            </w:r>
          </w:p>
        </w:tc>
        <w:tc>
          <w:tcPr>
            <w:tcW w:type="dxa" w:w="68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Аналитика, графы, моделирование, прогнозирование и ИИ при обязательном человеческом контроле</w:t>
            </w:r>
          </w:p>
        </w:tc>
      </w:tr>
      <w:tr>
        <w:trPr>
          <w:cantSplit w:val="true"/>
        </w:trPr>
        <w:tc>
          <w:tcPr>
            <w:tcW w:type="dxa" w:w="72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О</w:t>
            </w:r>
          </w:p>
        </w:tc>
        <w:tc>
          <w:tcPr>
            <w:tcW w:type="dxa" w:w="18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Операционная</w:t>
            </w:r>
          </w:p>
        </w:tc>
        <w:tc>
          <w:tcPr>
            <w:tcW w:type="dxa" w:w="68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Маршруты решений, регламенты, роли, контроль сроков, ресурсов, рисков и качества исполнения</w:t>
            </w:r>
          </w:p>
        </w:tc>
      </w:tr>
      <w:tr>
        <w:trPr>
          <w:cantSplit w:val="true"/>
        </w:trPr>
        <w:tc>
          <w:tcPr>
            <w:tcW w:type="dxa" w:w="72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Н</w:t>
            </w:r>
          </w:p>
        </w:tc>
        <w:tc>
          <w:tcPr>
            <w:tcW w:type="dxa" w:w="18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Навигация</w:t>
            </w:r>
          </w:p>
        </w:tc>
        <w:tc>
          <w:tcPr>
            <w:tcW w:type="dxa" w:w="68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9"/>
              </w:rPr>
              <w:t>Понимание текущего состояния, целевого курса, допустимых траекторий и следующего ответственного шага</w:t>
            </w:r>
          </w:p>
        </w:tc>
      </w:tr>
    </w:tbl>
    <w:p>
      <w:pPr>
        <w:spacing w:after="20"/>
      </w:pPr>
    </w:p>
    <w:p>
      <w:pPr/>
      <w:r>
        <w:rPr>
          <w:rFonts w:ascii="Calibri" w:hAnsi="Calibri" w:eastAsia="Calibri" w:cs="Calibri"/>
          <w:color w:val="1D2733"/>
        </w:rPr>
        <w:t>Рабочее определение: ОРИОН 22:22 — это надсистемный навигационный контур, который связывает смысловую модель, реестры, данные, цифровые двойники, прогнозы, инициативы, финансирование, кооперационное исполнение, верификацию и долговременную память в единую доказательную траекторию.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ОРИОН не является системой тотального контроля; доступ строится по ролям, целям и правовым основаниям.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ОРИОН не принимает критические решения автономно; ИИ формирует рекомендации, альтернативы и предупреждения.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ОРИОН не объявляет символические конструкции физическими законами; символика служит языком проектной сборки и коммуникации.</w:t>
      </w: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5. Формула 22:22</w:t>
      </w:r>
    </w:p>
    <w:p>
      <w:pPr/>
      <w:r>
        <w:rPr>
          <w:rFonts w:ascii="Calibri" w:hAnsi="Calibri" w:eastAsia="Calibri" w:cs="Calibri"/>
          <w:color w:val="1D2733"/>
        </w:rPr>
        <w:t>Двоеточие в названии означает отношение соответствия. Левая сторона — 22 обязательные функции целостной системы. Правая сторона — 22 результата, по которым можно доказать, что функции существуют не на бумаге. Каждая пара получает владельца, источник данных, метод расчёта, порог допуска, периодичность обновления и процедуру верификации.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FF8E8" w:val="clear"/>
          </w:tcPr>
          <w:p>
            <w:pPr>
              <w:spacing w:before="40"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B88A2B"/>
                <w:sz w:val="19"/>
              </w:rPr>
              <w:t xml:space="preserve">ПРИНЦИП СООТВЕТСТВИЯ  </w:t>
            </w:r>
            <w:r>
              <w:rPr>
                <w:rFonts w:ascii="Calibri" w:hAnsi="Calibri" w:eastAsia="Calibri" w:cs="Calibri"/>
                <w:b/>
                <w:color w:val="0A2240"/>
                <w:sz w:val="21"/>
              </w:rPr>
              <w:t>Нет функции без результата. Нет результата без данных. Нет данных без происхождения. Нет масштабирования без независимой проверки.</w:t>
            </w:r>
          </w:p>
        </w:tc>
      </w:tr>
    </w:tbl>
    <w:p>
      <w:pPr>
        <w:spacing w:after="20"/>
      </w:pPr>
    </w:p>
    <w:p>
      <w:pPr/>
      <w:r>
        <w:rPr>
          <w:rFonts w:ascii="Calibri" w:hAnsi="Calibri" w:eastAsia="Calibri" w:cs="Calibri"/>
          <w:color w:val="1D2733"/>
        </w:rPr>
        <w:t>Операционная формула связности: O = C × D × E × T, где C — связность участников и объектов, D — достоверность данных, E — способность к исполнению, T — доверие и легитимность. Мультипликативная запись подчёркивает: критический провал одного компонента обнуляет практическую ценность остальных. Это модель управленческой оценки, а не физический закон.</w:t>
      </w:r>
    </w:p>
    <w:p>
      <w:pPr/>
      <w:r>
        <w:rPr>
          <w:rFonts w:ascii="Calibri" w:hAnsi="Calibri" w:eastAsia="Calibri" w:cs="Calibri"/>
          <w:color w:val="1D2733"/>
        </w:rPr>
        <w:t>Формула результата для каждой пары: Rᵢ = Fᵢ × Qᵢ × Vᵢ, где Fᵢ — зрелость функции, Qᵢ — качество данных, Vᵢ — уровень независимого подтверждения. Значения могут нормироваться по шкале 0–1 или 0–100 после утверждения методики.</w:t>
      </w: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6. Экосистема и распределение ролей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1560"/>
        <w:gridCol w:w="2280"/>
        <w:gridCol w:w="2760"/>
        <w:gridCol w:w="2760"/>
      </w:tblGrid>
      <w:tr>
        <w:trPr>
          <w:tblHeader w:val="true"/>
          <w:cantSplit w:val="true"/>
        </w:trPr>
        <w:tc>
          <w:tcPr>
            <w:tcW w:type="dxa" w:w="15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228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Главная роль</w:t>
            </w:r>
          </w:p>
        </w:tc>
        <w:tc>
          <w:tcPr>
            <w:tcW w:type="dxa" w:w="27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Основной продукт</w:t>
            </w:r>
          </w:p>
        </w:tc>
        <w:tc>
          <w:tcPr>
            <w:tcW w:type="dxa" w:w="27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Граница ответственности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ЭКВИЛИБРИУМ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Наблюдение, анализ, прогноз и баланс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Модели, индексы, сценарии, предупреждения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Не подменяет политическое и правовое решение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СФЕРА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Инициативы, люди, знания и кооперация</w:t>
            </w:r>
          </w:p>
        </w:tc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Витрина возможностей, команды, коммуникация</w:t>
            </w:r>
          </w:p>
        </w:tc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Не распоряжается ресурсами без полномочий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ECO-PPA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Мобилизация ресурсов под измеримый эффект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Структура сделки, этапы, ковенанты, результат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Не заменяет банк, бюджет или инвестора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СПЕЦЗАЩИТА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Кооперационное исполнение</w:t>
            </w:r>
          </w:p>
        </w:tc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Консорциумы, производство, внедрение, сервис</w:t>
            </w:r>
          </w:p>
        </w:tc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Работает по договору и паспорту результата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КРИСТАЛЛ 741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Классификация и модульная совместимость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Коды, связи, паспорт модулей 19×13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Не является доказательством без данных и валидации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Архив наследия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Память, происхождение и права</w:t>
            </w:r>
          </w:p>
        </w:tc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Версии, документы, авторство, уроки, ограничения</w:t>
            </w:r>
          </w:p>
        </w:tc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Соблюдает режимы доступа и сроки хранения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ИАЦ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Сборка решений и ситуационная координация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Доклады, варианты, поручения, контроль обратной связи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Не концентрирует полномочия вне утверждённого мандата</w:t>
            </w:r>
          </w:p>
        </w:tc>
      </w:tr>
    </w:tbl>
    <w:p>
      <w:pPr>
        <w:spacing w:after="20"/>
      </w:pPr>
    </w:p>
    <w:p>
      <w:pPr/>
      <w:r>
        <w:rPr>
          <w:rFonts w:ascii="Calibri" w:hAnsi="Calibri" w:eastAsia="Calibri" w:cs="Calibri"/>
          <w:color w:val="1D2733"/>
        </w:rPr>
        <w:t>ОРИОН расположен над отдельными продуктами как договорённость о языке, данных, маршрутах и доказательствах. Он обеспечивает переход между контурами, но сохраняет юридическую самостоятельность организаций, информационных систем и владельцев ресурсов.</w:t>
      </w: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7. Пять слоёв архитектуры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1320"/>
        <w:gridCol w:w="1680"/>
        <w:gridCol w:w="3720"/>
        <w:gridCol w:w="2640"/>
      </w:tblGrid>
      <w:tr>
        <w:trPr>
          <w:tblHeader w:val="true"/>
          <w:cantSplit w:val="true"/>
        </w:trPr>
        <w:tc>
          <w:tcPr>
            <w:tcW w:type="dxa" w:w="132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Слой</w:t>
            </w:r>
          </w:p>
        </w:tc>
        <w:tc>
          <w:tcPr>
            <w:tcW w:type="dxa" w:w="168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Вопрос</w:t>
            </w:r>
          </w:p>
        </w:tc>
        <w:tc>
          <w:tcPr>
            <w:tcW w:type="dxa" w:w="372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Состав</w:t>
            </w:r>
          </w:p>
        </w:tc>
        <w:tc>
          <w:tcPr>
            <w:tcW w:type="dxa" w:w="264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Выход</w:t>
            </w:r>
          </w:p>
        </w:tc>
      </w:tr>
      <w:tr>
        <w:trPr>
          <w:cantSplit w:val="true"/>
        </w:trPr>
        <w:tc>
          <w:tcPr>
            <w:tcW w:type="dxa" w:w="132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1. Смысл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Зачем и ради кого?</w:t>
            </w:r>
          </w:p>
        </w:tc>
        <w:tc>
          <w:tcPr>
            <w:tcW w:type="dxa" w:w="37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Ценности, миссия, цели, ограничения, общественный договор</w:t>
            </w:r>
          </w:p>
        </w:tc>
        <w:tc>
          <w:tcPr>
            <w:tcW w:type="dxa" w:w="26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Карта целей и недопустимых последствий</w:t>
            </w:r>
          </w:p>
        </w:tc>
      </w:tr>
      <w:tr>
        <w:trPr>
          <w:cantSplit w:val="true"/>
        </w:trPr>
        <w:tc>
          <w:tcPr>
            <w:tcW w:type="dxa" w:w="132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2. Знание</w:t>
            </w:r>
          </w:p>
        </w:tc>
        <w:tc>
          <w:tcPr>
            <w:tcW w:type="dxa" w:w="16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Что известно?</w:t>
            </w:r>
          </w:p>
        </w:tc>
        <w:tc>
          <w:tcPr>
            <w:tcW w:type="dxa" w:w="37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Реестры, данные, документы, графы, модели, базовая линия</w:t>
            </w:r>
          </w:p>
        </w:tc>
        <w:tc>
          <w:tcPr>
            <w:tcW w:type="dxa" w:w="26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Проверяемая картина состояния</w:t>
            </w:r>
          </w:p>
        </w:tc>
      </w:tr>
      <w:tr>
        <w:trPr>
          <w:cantSplit w:val="true"/>
        </w:trPr>
        <w:tc>
          <w:tcPr>
            <w:tcW w:type="dxa" w:w="132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3. Решение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Что выбрать?</w:t>
            </w:r>
          </w:p>
        </w:tc>
        <w:tc>
          <w:tcPr>
            <w:tcW w:type="dxa" w:w="37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Сценарии, критерии, экспертиза, риск, полномочия</w:t>
            </w:r>
          </w:p>
        </w:tc>
        <w:tc>
          <w:tcPr>
            <w:tcW w:type="dxa" w:w="26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Обоснованное решение и маршрут</w:t>
            </w:r>
          </w:p>
        </w:tc>
      </w:tr>
      <w:tr>
        <w:trPr>
          <w:cantSplit w:val="true"/>
        </w:trPr>
        <w:tc>
          <w:tcPr>
            <w:tcW w:type="dxa" w:w="132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4. Действие</w:t>
            </w:r>
          </w:p>
        </w:tc>
        <w:tc>
          <w:tcPr>
            <w:tcW w:type="dxa" w:w="16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Кто и как выполнит?</w:t>
            </w:r>
          </w:p>
        </w:tc>
        <w:tc>
          <w:tcPr>
            <w:tcW w:type="dxa" w:w="37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Проекты, договоры, финансы, производство, внедрение</w:t>
            </w:r>
          </w:p>
        </w:tc>
        <w:tc>
          <w:tcPr>
            <w:tcW w:type="dxa" w:w="26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Результат на территории или объекте</w:t>
            </w:r>
          </w:p>
        </w:tc>
      </w:tr>
      <w:tr>
        <w:trPr>
          <w:cantSplit w:val="true"/>
        </w:trPr>
        <w:tc>
          <w:tcPr>
            <w:tcW w:type="dxa" w:w="132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5. Память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Что сохранить и изменить?</w:t>
            </w:r>
          </w:p>
        </w:tc>
        <w:tc>
          <w:tcPr>
            <w:tcW w:type="dxa" w:w="37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Верификация, версии, уроки, права, тиражирование</w:t>
            </w:r>
          </w:p>
        </w:tc>
        <w:tc>
          <w:tcPr>
            <w:tcW w:type="dxa" w:w="26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Обновлённые правила и масштабируемая модель</w:t>
            </w:r>
          </w:p>
        </w:tc>
      </w:tr>
    </w:tbl>
    <w:p>
      <w:pPr>
        <w:spacing w:after="20"/>
      </w:pPr>
    </w:p>
    <w:p>
      <w:pPr/>
      <w:r>
        <w:rPr>
          <w:rFonts w:ascii="Calibri" w:hAnsi="Calibri" w:eastAsia="Calibri" w:cs="Calibri"/>
          <w:color w:val="1D2733"/>
        </w:rPr>
        <w:t>Слои не являются последовательными ведомствами. Они работают как замкнутый цикл. Изменение фактического состояния возвращается в слой знания; новая информация меняет сценарии; проверенный результат корректирует стратегические цели и правила.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D9EFF8" w:val="clear"/>
          </w:tcPr>
          <w:p>
            <w:pPr>
              <w:spacing w:before="40"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9"/>
              </w:rPr>
              <w:t xml:space="preserve">КРИТЕРИЙ ЦЕЛОСТНОСТИ  </w:t>
            </w:r>
            <w:r>
              <w:rPr>
                <w:rFonts w:ascii="Calibri" w:hAnsi="Calibri" w:eastAsia="Calibri" w:cs="Calibri"/>
                <w:b/>
                <w:color w:val="0A2240"/>
                <w:sz w:val="21"/>
              </w:rPr>
              <w:t>Инициатива допускается к масштабу только тогда, когда её можно проследить сквозь все пять слоёв и восстановить цепочку оснований решения.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8. Двадцать два функциональных контура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600"/>
        <w:gridCol w:w="2280"/>
        <w:gridCol w:w="4020"/>
        <w:gridCol w:w="2460"/>
      </w:tblGrid>
      <w:tr>
        <w:trPr>
          <w:tblHeader w:val="true"/>
          <w:cantSplit w:val="true"/>
        </w:trPr>
        <w:tc>
          <w:tcPr>
            <w:tcW w:type="dxa" w:w="6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№</w:t>
            </w:r>
          </w:p>
        </w:tc>
        <w:tc>
          <w:tcPr>
            <w:tcW w:type="dxa" w:w="228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Функция</w:t>
            </w:r>
          </w:p>
        </w:tc>
        <w:tc>
          <w:tcPr>
            <w:tcW w:type="dxa" w:w="402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Назначение</w:t>
            </w:r>
          </w:p>
        </w:tc>
        <w:tc>
          <w:tcPr>
            <w:tcW w:type="dxa" w:w="24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Выход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Миссия и ценности</w:t>
            </w:r>
          </w:p>
        </w:tc>
        <w:tc>
          <w:tcPr>
            <w:tcW w:type="dxa" w:w="40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Фиксирует общественно значимую цель, адресатов и этические границы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Хартия проекта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2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Стратегические цели</w:t>
            </w:r>
          </w:p>
        </w:tc>
        <w:tc>
          <w:tcPr>
            <w:tcW w:type="dxa" w:w="40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Связывает инициативы с долгосрочными приоритетами и измеримыми задачами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Дерево целей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3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Угрозы и возможности</w:t>
            </w:r>
          </w:p>
        </w:tc>
        <w:tc>
          <w:tcPr>
            <w:tcW w:type="dxa" w:w="40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Выявляет риски, окна возможностей и межотраслевые зависимости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Карта рисков и возможностей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4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Реестры и идентификаторы</w:t>
            </w:r>
          </w:p>
        </w:tc>
        <w:tc>
          <w:tcPr>
            <w:tcW w:type="dxa" w:w="40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Обеспечивает однозначное описание объектов, прав, данных и субъектов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Сквозной паспорт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5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Семантическая связность</w:t>
            </w:r>
          </w:p>
        </w:tc>
        <w:tc>
          <w:tcPr>
            <w:tcW w:type="dxa" w:w="40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Строит граф понятий, причин, целей, проектов и результатов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Граф смыслов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6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Данные и интеграции</w:t>
            </w:r>
          </w:p>
        </w:tc>
        <w:tc>
          <w:tcPr>
            <w:tcW w:type="dxa" w:w="40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Определяет источники, качество, обмен, версии и происхождение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Каталог и паспорт данных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7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Цифровые двойники</w:t>
            </w:r>
          </w:p>
        </w:tc>
        <w:tc>
          <w:tcPr>
            <w:tcW w:type="dxa" w:w="40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Отражает состояние территории, объекта, системы и сценариев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Модель текущего состояния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8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Прогноз и сценарии</w:t>
            </w:r>
          </w:p>
        </w:tc>
        <w:tc>
          <w:tcPr>
            <w:tcW w:type="dxa" w:w="40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Сравнивает траектории, пороги, последствия и неопределённость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Сценарный доклад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9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Инициативы и команды</w:t>
            </w:r>
          </w:p>
        </w:tc>
        <w:tc>
          <w:tcPr>
            <w:tcW w:type="dxa" w:w="40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Регистрирует замысел, автора, проблему, команду и запрос на ресурс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Паспорт инициативы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10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Экспертиза и валидация</w:t>
            </w:r>
          </w:p>
        </w:tc>
        <w:tc>
          <w:tcPr>
            <w:tcW w:type="dxa" w:w="40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Проверяет научную, правовую, экологическую и социальную состоятельность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Заключение о допуске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11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Наука и НИОКР</w:t>
            </w:r>
          </w:p>
        </w:tc>
        <w:tc>
          <w:tcPr>
            <w:tcW w:type="dxa" w:w="40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Связывает гипотезу, испытания, права и технологическую готовность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Маршрут НИОКР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12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Производственная кооперация</w:t>
            </w:r>
          </w:p>
        </w:tc>
        <w:tc>
          <w:tcPr>
            <w:tcW w:type="dxa" w:w="40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Формирует цепочку поставок, серийность, сервис и ответственность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Карта кооперации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13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Финансы и ECO-PPA</w:t>
            </w:r>
          </w:p>
        </w:tc>
        <w:tc>
          <w:tcPr>
            <w:tcW w:type="dxa" w:w="40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Соединяет эффект, риск, этапы, капитал и контракт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Финансовая модель проекта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14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Право и стандарты</w:t>
            </w:r>
          </w:p>
        </w:tc>
        <w:tc>
          <w:tcPr>
            <w:tcW w:type="dxa" w:w="40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Определяет нормативные основания, режимы и критерии совместимости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Матрица требований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15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Территории и пилоты</w:t>
            </w:r>
          </w:p>
        </w:tc>
        <w:tc>
          <w:tcPr>
            <w:tcW w:type="dxa" w:w="40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Выбирает площадку, базовую линию, оператора и план внедрения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Паспорт пилота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16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Человеческий капитал</w:t>
            </w:r>
          </w:p>
        </w:tc>
        <w:tc>
          <w:tcPr>
            <w:tcW w:type="dxa" w:w="40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Формирует роли, компетенции, занятость, наставничество и обучение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Карта компетенций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17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Культура и образование</w:t>
            </w:r>
          </w:p>
        </w:tc>
        <w:tc>
          <w:tcPr>
            <w:tcW w:type="dxa" w:w="40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Связывает идентичность, знания, участие и межпоколенческую передачу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Культурно-образовательная программа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18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Природа и биоценозы</w:t>
            </w:r>
          </w:p>
        </w:tc>
        <w:tc>
          <w:tcPr>
            <w:tcW w:type="dxa" w:w="40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Измеряет состояние экосистем и направляет восстановительные меры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Индекс территории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19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Безопасность и устойчивость</w:t>
            </w:r>
          </w:p>
        </w:tc>
        <w:tc>
          <w:tcPr>
            <w:tcW w:type="dxa" w:w="40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Управляет отказами, кризисами, киберриском и резервированием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План непрерывности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20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Международная кооперация</w:t>
            </w:r>
          </w:p>
        </w:tc>
        <w:tc>
          <w:tcPr>
            <w:tcW w:type="dxa" w:w="40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Создаёт совместимые правила проектов, данных и взаимного признания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Контур партнёрства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21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Доказательность и отчётность</w:t>
            </w:r>
          </w:p>
        </w:tc>
        <w:tc>
          <w:tcPr>
            <w:tcW w:type="dxa" w:w="40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Фиксирует исходную линию, результат, дополнительные эффекты и вред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Проверенный отчёт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22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Память и масштабирование</w:t>
            </w:r>
          </w:p>
        </w:tc>
        <w:tc>
          <w:tcPr>
            <w:tcW w:type="dxa" w:w="40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Сохраняет версии, уроки, права и условия безопасного тиражирования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Пакет тиражирования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9. Двадцать два измеримых результата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600"/>
        <w:gridCol w:w="2400"/>
        <w:gridCol w:w="3900"/>
        <w:gridCol w:w="2460"/>
      </w:tblGrid>
      <w:tr>
        <w:trPr>
          <w:tblHeader w:val="true"/>
          <w:cantSplit w:val="true"/>
        </w:trPr>
        <w:tc>
          <w:tcPr>
            <w:tcW w:type="dxa" w:w="6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№</w:t>
            </w:r>
          </w:p>
        </w:tc>
        <w:tc>
          <w:tcPr>
            <w:tcW w:type="dxa" w:w="24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Результат</w:t>
            </w:r>
          </w:p>
        </w:tc>
        <w:tc>
          <w:tcPr>
            <w:tcW w:type="dxa" w:w="39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Показатель</w:t>
            </w:r>
          </w:p>
        </w:tc>
        <w:tc>
          <w:tcPr>
            <w:tcW w:type="dxa" w:w="24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Доказательство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Принята единая хартия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Доля участников, подписавших хартию; число неразрешённых ценностных конфликтов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Протокол и версии документа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2</w:t>
            </w:r>
          </w:p>
        </w:tc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Сформирован портфель целей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Доля инициатив с привязкой к цели, сроку, владельцу и показателю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Реестр целей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3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Работает раннее предупреждение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Охват рисков, среднее время обнаружения, доля отработанных сигналов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Журнал событий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4</w:t>
            </w:r>
          </w:p>
        </w:tc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Объекты имеют сквозной паспорт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Полнота обязательных полей, доля устранённых дублей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Аудит реестра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5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Связи прослеживаются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Доля объектов с проверенными причинными и правовыми связями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Контроль графа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6</w:t>
            </w:r>
          </w:p>
        </w:tc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Данные пригодны к решению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Полнота, актуальность, точность, происхождение, доступность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Паспорт качества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7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Цифровой двойник актуален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Охват ключевых параметров и задержка обновления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Сверка с наблюдениями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8</w:t>
            </w:r>
          </w:p>
        </w:tc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Прогноз проверяем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Горизонт упреждения, точность, интервалы неопределённости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Back-testing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9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Идеи переходят в паспорта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Конверсия заявки в паспорт, срок маршрутизации, качество комплектации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Реестр инициатив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10</w:t>
            </w:r>
          </w:p>
        </w:tc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Экспертиза своевременна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Срок заключения, доля устранённых замечаний, конфликт интересов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Экспертный след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11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Технология повышает зрелость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Переход между уровнями готовности, испытания и права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Протокол испытаний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12</w:t>
            </w:r>
          </w:p>
        </w:tc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Кооперация готова к серии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Доля подтверждённых мощностей, критические зависимости, сервис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Аудит цепочки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13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Финансирование связано с эффектом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Доля этапного финансирования и выполненных ковенантов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Финансовый мониторинг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14</w:t>
            </w:r>
          </w:p>
        </w:tc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Требования соблюдены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Полнота матрицы соответствия и число критических отклонений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Комплаенс-аудит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15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Пилот дал измеримый эффект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Изменение против базовой линии с учётом внешних факторов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Независимая верификация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16</w:t>
            </w:r>
          </w:p>
        </w:tc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Команда обладает компетенциями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Закрытие ролевых дефицитов, обучение, удержание и наставничество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Матрица компетенций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17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Люди участвуют осмысленно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Охват, качество обратной связи, доступность и межпоколенческое участие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Социальная оценка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18</w:t>
            </w:r>
          </w:p>
        </w:tc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Состояние биоценоза улучшается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Сводный индекс воды, воздуха, почвы, видов и нагрузки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Экологический мониторинг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19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Система устойчива к отказам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Время восстановления, резервирование, учения, критические инциденты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Отчёт устойчивости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20</w:t>
            </w:r>
          </w:p>
        </w:tc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Партнёрства совместимы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Число действующих соглашений, совместных пилотов и признанных методик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Реестр кооперации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21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Эффект доказан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Доля результатов с исходной линией, методикой, данными и независимым заключением</w:t>
            </w:r>
          </w:p>
        </w:tc>
        <w:tc>
          <w:tcPr>
            <w:tcW w:type="dxa" w:w="24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ESG-IR / отчёт воздействия</w:t>
            </w:r>
          </w:p>
        </w:tc>
      </w:tr>
      <w:tr>
        <w:trPr>
          <w:cantSplit w:val="true"/>
        </w:trPr>
        <w:tc>
          <w:tcPr>
            <w:tcW w:type="dxa" w:w="60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22</w:t>
            </w:r>
          </w:p>
        </w:tc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Решение тиражируется безопасно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Число повторных внедрений, стоимость адаптации, сохранённые уроки</w:t>
            </w:r>
          </w:p>
        </w:tc>
        <w:tc>
          <w:tcPr>
            <w:tcW w:type="dxa" w:w="24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6"/>
              </w:rPr>
              <w:t>Пакет масштабирования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10. Жизненный цикл инициативы</w:t>
      </w:r>
    </w:p>
    <w:p>
      <w:pPr/>
      <w:r>
        <w:rPr>
          <w:rFonts w:ascii="Calibri" w:hAnsi="Calibri" w:eastAsia="Calibri" w:cs="Calibri"/>
          <w:color w:val="1D2733"/>
        </w:rPr>
        <w:t>Единый маршрут исключает преждевременный переход к финансированию или публичному обещанию. На каждой стадии проверяется минимальный набор оснований; возврат на предыдущий шаг считается нормальным механизмом качества, а не провалом.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720"/>
        <w:gridCol w:w="2040"/>
        <w:gridCol w:w="4080"/>
        <w:gridCol w:w="2520"/>
      </w:tblGrid>
      <w:tr>
        <w:trPr>
          <w:tblHeader w:val="true"/>
          <w:cantSplit w:val="true"/>
        </w:trPr>
        <w:tc>
          <w:tcPr>
            <w:tcW w:type="dxa" w:w="72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Шаг</w:t>
            </w:r>
          </w:p>
        </w:tc>
        <w:tc>
          <w:tcPr>
            <w:tcW w:type="dxa" w:w="204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Стадия</w:t>
            </w:r>
          </w:p>
        </w:tc>
        <w:tc>
          <w:tcPr>
            <w:tcW w:type="dxa" w:w="408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Контрольный вопрос</w:t>
            </w:r>
          </w:p>
        </w:tc>
        <w:tc>
          <w:tcPr>
            <w:tcW w:type="dxa" w:w="252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Выход</w:t>
            </w:r>
          </w:p>
        </w:tc>
      </w:tr>
      <w:tr>
        <w:trPr>
          <w:cantSplit w:val="true"/>
        </w:trPr>
        <w:tc>
          <w:tcPr>
            <w:tcW w:type="dxa" w:w="72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1</w:t>
            </w:r>
          </w:p>
        </w:tc>
        <w:tc>
          <w:tcPr>
            <w:tcW w:type="dxa" w:w="20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Захват сигнала</w:t>
            </w:r>
          </w:p>
        </w:tc>
        <w:tc>
          <w:tcPr>
            <w:tcW w:type="dxa" w:w="40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Проблема, возможность, автор, источник, адресат</w:t>
            </w:r>
          </w:p>
        </w:tc>
        <w:tc>
          <w:tcPr>
            <w:tcW w:type="dxa" w:w="25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Карточка сигнала</w:t>
            </w:r>
          </w:p>
        </w:tc>
      </w:tr>
      <w:tr>
        <w:trPr>
          <w:cantSplit w:val="true"/>
        </w:trPr>
        <w:tc>
          <w:tcPr>
            <w:tcW w:type="dxa" w:w="72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2</w:t>
            </w:r>
          </w:p>
        </w:tc>
        <w:tc>
          <w:tcPr>
            <w:tcW w:type="dxa" w:w="20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Паспорт инициативы</w:t>
            </w:r>
          </w:p>
        </w:tc>
        <w:tc>
          <w:tcPr>
            <w:tcW w:type="dxa" w:w="40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Цель, объект, права, команда, данные, ограничения</w:t>
            </w:r>
          </w:p>
        </w:tc>
        <w:tc>
          <w:tcPr>
            <w:tcW w:type="dxa" w:w="25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Паспорт версии 0.1</w:t>
            </w:r>
          </w:p>
        </w:tc>
      </w:tr>
      <w:tr>
        <w:trPr>
          <w:cantSplit w:val="true"/>
        </w:trPr>
        <w:tc>
          <w:tcPr>
            <w:tcW w:type="dxa" w:w="72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3</w:t>
            </w:r>
          </w:p>
        </w:tc>
        <w:tc>
          <w:tcPr>
            <w:tcW w:type="dxa" w:w="20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Связывание</w:t>
            </w:r>
          </w:p>
        </w:tc>
        <w:tc>
          <w:tcPr>
            <w:tcW w:type="dxa" w:w="40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Цели, реестры, технологии, территории, партнёры</w:t>
            </w:r>
          </w:p>
        </w:tc>
        <w:tc>
          <w:tcPr>
            <w:tcW w:type="dxa" w:w="25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Граф связей</w:t>
            </w:r>
          </w:p>
        </w:tc>
      </w:tr>
      <w:tr>
        <w:trPr>
          <w:cantSplit w:val="true"/>
        </w:trPr>
        <w:tc>
          <w:tcPr>
            <w:tcW w:type="dxa" w:w="72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4</w:t>
            </w:r>
          </w:p>
        </w:tc>
        <w:tc>
          <w:tcPr>
            <w:tcW w:type="dxa" w:w="20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Оценка</w:t>
            </w:r>
          </w:p>
        </w:tc>
        <w:tc>
          <w:tcPr>
            <w:tcW w:type="dxa" w:w="40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Наука, право, экология, риск, экономика, общественный эффект</w:t>
            </w:r>
          </w:p>
        </w:tc>
        <w:tc>
          <w:tcPr>
            <w:tcW w:type="dxa" w:w="25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Заключение о маршруте</w:t>
            </w:r>
          </w:p>
        </w:tc>
      </w:tr>
      <w:tr>
        <w:trPr>
          <w:cantSplit w:val="true"/>
        </w:trPr>
        <w:tc>
          <w:tcPr>
            <w:tcW w:type="dxa" w:w="72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5</w:t>
            </w:r>
          </w:p>
        </w:tc>
        <w:tc>
          <w:tcPr>
            <w:tcW w:type="dxa" w:w="20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Сборка консорциума</w:t>
            </w:r>
          </w:p>
        </w:tc>
        <w:tc>
          <w:tcPr>
            <w:tcW w:type="dxa" w:w="40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Заказчик, оператор, производители, верификатор, финансирование</w:t>
            </w:r>
          </w:p>
        </w:tc>
        <w:tc>
          <w:tcPr>
            <w:tcW w:type="dxa" w:w="25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Ролевое соглашение</w:t>
            </w:r>
          </w:p>
        </w:tc>
      </w:tr>
      <w:tr>
        <w:trPr>
          <w:cantSplit w:val="true"/>
        </w:trPr>
        <w:tc>
          <w:tcPr>
            <w:tcW w:type="dxa" w:w="72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6</w:t>
            </w:r>
          </w:p>
        </w:tc>
        <w:tc>
          <w:tcPr>
            <w:tcW w:type="dxa" w:w="20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Пилот</w:t>
            </w:r>
          </w:p>
        </w:tc>
        <w:tc>
          <w:tcPr>
            <w:tcW w:type="dxa" w:w="40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Базовая линия, план, этапы, контроль, право остановки</w:t>
            </w:r>
          </w:p>
        </w:tc>
        <w:tc>
          <w:tcPr>
            <w:tcW w:type="dxa" w:w="25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Измеренный результат</w:t>
            </w:r>
          </w:p>
        </w:tc>
      </w:tr>
      <w:tr>
        <w:trPr>
          <w:cantSplit w:val="true"/>
        </w:trPr>
        <w:tc>
          <w:tcPr>
            <w:tcW w:type="dxa" w:w="72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7</w:t>
            </w:r>
          </w:p>
        </w:tc>
        <w:tc>
          <w:tcPr>
            <w:tcW w:type="dxa" w:w="20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Верификация</w:t>
            </w:r>
          </w:p>
        </w:tc>
        <w:tc>
          <w:tcPr>
            <w:tcW w:type="dxa" w:w="40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Причинность, дополнительность, вред, расходы, устойчивость</w:t>
            </w:r>
          </w:p>
        </w:tc>
        <w:tc>
          <w:tcPr>
            <w:tcW w:type="dxa" w:w="25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Независимое заключение</w:t>
            </w:r>
          </w:p>
        </w:tc>
      </w:tr>
      <w:tr>
        <w:trPr>
          <w:cantSplit w:val="true"/>
        </w:trPr>
        <w:tc>
          <w:tcPr>
            <w:tcW w:type="dxa" w:w="72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8</w:t>
            </w:r>
          </w:p>
        </w:tc>
        <w:tc>
          <w:tcPr>
            <w:tcW w:type="dxa" w:w="20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Масштабирование и память</w:t>
            </w:r>
          </w:p>
        </w:tc>
        <w:tc>
          <w:tcPr>
            <w:tcW w:type="dxa" w:w="40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Адаптация, стандартизация, тираж, уроки, версии</w:t>
            </w:r>
          </w:p>
        </w:tc>
        <w:tc>
          <w:tcPr>
            <w:tcW w:type="dxa" w:w="25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Пакет тиражирования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rFonts w:ascii="Calibri" w:hAnsi="Calibri" w:eastAsia="Calibri" w:cs="Calibri"/>
          <w:b/>
          <w:color w:val="2E74B5"/>
          <w:sz w:val="26"/>
        </w:rPr>
        <w:t>Минимальный паспорт инициативы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идентификатор, название, автор и история происхождения;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проблема, целевая группа, территория и объект воздействия;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измеримая цель, базовая линия, показатели и горизонт;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права на результаты, данные, технологии и материалы;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команда, дефициты компетенций и потенциальные партнёры;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риски, ограничения, недопустимые последствия и право остановки;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план пилота, ресурсы, источники финансирования и критерии масштабирования.</w:t>
      </w: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11. Цифровое ядро и архитектура данных</w:t>
      </w:r>
    </w:p>
    <w:p>
      <w:pPr/>
      <w:r>
        <w:rPr>
          <w:rFonts w:ascii="Calibri" w:hAnsi="Calibri" w:eastAsia="Calibri" w:cs="Calibri"/>
          <w:color w:val="1D2733"/>
        </w:rPr>
        <w:t>Цифровое ядро строится как федеративная среда. Данные остаются у законных владельцев, а ОРИОН хранит метаданные, связи, разрешённые представления и доказательства происхождения. Централизуются только те наборы, для которых это правомерно, безопасно и экономически оправдано.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2280"/>
        <w:gridCol w:w="3480"/>
        <w:gridCol w:w="3600"/>
      </w:tblGrid>
      <w:tr>
        <w:trPr>
          <w:tblHeader w:val="true"/>
          <w:cantSplit w:val="true"/>
        </w:trPr>
        <w:tc>
          <w:tcPr>
            <w:tcW w:type="dxa" w:w="228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Компонент</w:t>
            </w:r>
          </w:p>
        </w:tc>
        <w:tc>
          <w:tcPr>
            <w:tcW w:type="dxa" w:w="348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Функция</w:t>
            </w:r>
          </w:p>
        </w:tc>
        <w:tc>
          <w:tcPr>
            <w:tcW w:type="dxa" w:w="36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Ключевое правило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Федеративный каталог</w:t>
            </w:r>
          </w:p>
        </w:tc>
        <w:tc>
          <w:tcPr>
            <w:tcW w:type="dxa" w:w="34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Находит наборы, документы, модели и сервисы</w:t>
            </w:r>
          </w:p>
        </w:tc>
        <w:tc>
          <w:tcPr>
            <w:tcW w:type="dxa" w:w="36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Владелец и режим доступа указаны обязательно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Реестр идентификаторов</w:t>
            </w:r>
          </w:p>
        </w:tc>
        <w:tc>
          <w:tcPr>
            <w:tcW w:type="dxa" w:w="34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Связывает отраслевые и территориальные коды</w:t>
            </w:r>
          </w:p>
        </w:tc>
        <w:tc>
          <w:tcPr>
            <w:tcW w:type="dxa" w:w="36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Никакого молчаливого объединения сущностей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Граф знаний</w:t>
            </w:r>
          </w:p>
        </w:tc>
        <w:tc>
          <w:tcPr>
            <w:tcW w:type="dxa" w:w="34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Хранит понятия, связи, основания и версии</w:t>
            </w:r>
          </w:p>
        </w:tc>
        <w:tc>
          <w:tcPr>
            <w:tcW w:type="dxa" w:w="36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Факт, гипотеза и оценка различаются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Шина событий</w:t>
            </w:r>
          </w:p>
        </w:tc>
        <w:tc>
          <w:tcPr>
            <w:tcW w:type="dxa" w:w="34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Передаёт изменения и предупреждения между системами</w:t>
            </w:r>
          </w:p>
        </w:tc>
        <w:tc>
          <w:tcPr>
            <w:tcW w:type="dxa" w:w="36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Подписки, журналирование и контроль доставки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Хранилище доказательств</w:t>
            </w:r>
          </w:p>
        </w:tc>
        <w:tc>
          <w:tcPr>
            <w:tcW w:type="dxa" w:w="34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Фиксирует исходные данные, расчёты, протоколы и подписи</w:t>
            </w:r>
          </w:p>
        </w:tc>
        <w:tc>
          <w:tcPr>
            <w:tcW w:type="dxa" w:w="36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Неизменяемость версий и проверяемое происхождение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Цифровые двойники</w:t>
            </w:r>
          </w:p>
        </w:tc>
        <w:tc>
          <w:tcPr>
            <w:tcW w:type="dxa" w:w="34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Объединяют наблюдения, модели и сценарии</w:t>
            </w:r>
          </w:p>
        </w:tc>
        <w:tc>
          <w:tcPr>
            <w:tcW w:type="dxa" w:w="36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Модель всегда маркирует неопределённость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ИИ-ассистент</w:t>
            </w:r>
          </w:p>
        </w:tc>
        <w:tc>
          <w:tcPr>
            <w:tcW w:type="dxa" w:w="34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Поиск, сопоставление, прогноз, объяснение и подготовка вариантов</w:t>
            </w:r>
          </w:p>
        </w:tc>
        <w:tc>
          <w:tcPr>
            <w:tcW w:type="dxa" w:w="36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Человек утверждает критические решения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Портал СФЕРА</w:t>
            </w:r>
          </w:p>
        </w:tc>
        <w:tc>
          <w:tcPr>
            <w:tcW w:type="dxa" w:w="34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Предоставляет ролевые рабочие места и публичные представления</w:t>
            </w:r>
          </w:p>
        </w:tc>
        <w:tc>
          <w:tcPr>
            <w:tcW w:type="dxa" w:w="36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Минимизация данных и доступность интерфейса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D9EFF8" w:val="clear"/>
          </w:tcPr>
          <w:p>
            <w:pPr>
              <w:spacing w:before="40"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9"/>
              </w:rPr>
              <w:t xml:space="preserve">ДАННЫЕ  </w:t>
            </w:r>
            <w:r>
              <w:rPr>
                <w:rFonts w:ascii="Calibri" w:hAnsi="Calibri" w:eastAsia="Calibri" w:cs="Calibri"/>
                <w:b/>
                <w:color w:val="0A2240"/>
                <w:sz w:val="21"/>
              </w:rPr>
              <w:t>Каждый значимый показатель должен иметь паспорт: владелец, источник, период, метод, качество, правовое основание, версия, ограничения и история изменений.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12. Граф смыслов и КРИСТАЛЛ 741</w:t>
      </w:r>
    </w:p>
    <w:p>
      <w:pPr/>
      <w:r>
        <w:rPr>
          <w:rFonts w:ascii="Calibri" w:hAnsi="Calibri" w:eastAsia="Calibri" w:cs="Calibri"/>
          <w:color w:val="1D2733"/>
        </w:rPr>
        <w:t>Граф смыслов отвечает на вопрос «как всё связано», а КРИСТАЛЛ 741 — «как всё классифицировать и собирать модульно». Вместе они формируют навигационный скелет: граф хранит отношения и причинные цепочки, матрица 19×13 задаёт устойчивый адрес функции, объекта, показателя или технологии в общей системе.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1560"/>
        <w:gridCol w:w="2760"/>
        <w:gridCol w:w="2280"/>
        <w:gridCol w:w="2760"/>
      </w:tblGrid>
      <w:tr>
        <w:trPr>
          <w:tblHeader w:val="true"/>
          <w:cantSplit w:val="true"/>
        </w:trPr>
        <w:tc>
          <w:tcPr>
            <w:tcW w:type="dxa" w:w="15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Элемент</w:t>
            </w:r>
          </w:p>
        </w:tc>
        <w:tc>
          <w:tcPr>
            <w:tcW w:type="dxa" w:w="27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В графе</w:t>
            </w:r>
          </w:p>
        </w:tc>
        <w:tc>
          <w:tcPr>
            <w:tcW w:type="dxa" w:w="228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В КРИСТАЛЛЕ 741</w:t>
            </w:r>
          </w:p>
        </w:tc>
        <w:tc>
          <w:tcPr>
            <w:tcW w:type="dxa" w:w="27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Совместный эффект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Цель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Связи с проблемами, адресатами и последствиями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Код класса и уровень системы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Исключение дублирующих и конфликтующих целей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Проект</w:t>
            </w:r>
          </w:p>
        </w:tc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Команда, ресурсы, зависимости, результаты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Модуль и паспорт совместимости</w:t>
            </w:r>
          </w:p>
        </w:tc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Быстрая сборка портфеля и консорциума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Показатель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Причина, метод, источник и влияние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Код показателя и диапазон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Сопоставимость отчётности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Технология</w:t>
            </w:r>
          </w:p>
        </w:tc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Права, испытания, объекты применения</w:t>
            </w:r>
          </w:p>
        </w:tc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Функциональный модуль</w:t>
            </w:r>
          </w:p>
        </w:tc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Повторное использование без потери контекста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Риск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Триггеры, последствия, владельцы и меры</w:t>
            </w:r>
          </w:p>
        </w:tc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Класс угрозы и контур защиты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Раннее предупреждение и маршрут реакции</w:t>
            </w:r>
          </w:p>
        </w:tc>
      </w:tr>
    </w:tbl>
    <w:p>
      <w:pPr>
        <w:spacing w:after="20"/>
      </w:pPr>
    </w:p>
    <w:p>
      <w:pPr/>
      <w:r>
        <w:rPr>
          <w:rFonts w:ascii="Calibri" w:hAnsi="Calibri" w:eastAsia="Calibri" w:cs="Calibri"/>
          <w:color w:val="1D2733"/>
        </w:rPr>
        <w:t>Код не заменяет описание, а связь не заменяет доказательство. Любая автоматическая классификация должна быть объяснима, проверяема и допускает исправление человеком с сохранением истории версии.</w:t>
      </w: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13. Цифровой двойник территории и системы</w:t>
      </w:r>
    </w:p>
    <w:p>
      <w:pPr/>
      <w:r>
        <w:rPr>
          <w:rFonts w:ascii="Calibri" w:hAnsi="Calibri" w:eastAsia="Calibri" w:cs="Calibri"/>
          <w:color w:val="1D2733"/>
        </w:rPr>
        <w:t>Цифровой двойник ОРИОН отражает не только физические объекты, но и институциональные связи, ресурсы, обязательства, экологическое состояние и социальные последствия. Он предназначен для сценарного сравнения и раннего предупреждения, а не для подмены реальности моделью.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1920"/>
        <w:gridCol w:w="4320"/>
        <w:gridCol w:w="3120"/>
      </w:tblGrid>
      <w:tr>
        <w:trPr>
          <w:tblHeader w:val="true"/>
          <w:cantSplit w:val="true"/>
        </w:trPr>
        <w:tc>
          <w:tcPr>
            <w:tcW w:type="dxa" w:w="192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Контур двойника</w:t>
            </w:r>
          </w:p>
        </w:tc>
        <w:tc>
          <w:tcPr>
            <w:tcW w:type="dxa" w:w="432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Наблюдаемое состояние</w:t>
            </w:r>
          </w:p>
        </w:tc>
        <w:tc>
          <w:tcPr>
            <w:tcW w:type="dxa" w:w="312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Сценарный вопрос</w:t>
            </w:r>
          </w:p>
        </w:tc>
      </w:tr>
      <w:tr>
        <w:trPr>
          <w:cantSplit w:val="true"/>
        </w:trPr>
        <w:tc>
          <w:tcPr>
            <w:tcW w:type="dxa" w:w="192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Природа</w:t>
            </w:r>
          </w:p>
        </w:tc>
        <w:tc>
          <w:tcPr>
            <w:tcW w:type="dxa" w:w="43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Воздух, вода, почва, биоразнообразие, климатические и техногенные нагрузки</w:t>
            </w:r>
          </w:p>
        </w:tc>
        <w:tc>
          <w:tcPr>
            <w:tcW w:type="dxa" w:w="31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Какие меры уменьшают риск без переноса вреда?</w:t>
            </w:r>
          </w:p>
        </w:tc>
      </w:tr>
      <w:tr>
        <w:trPr>
          <w:cantSplit w:val="true"/>
        </w:trPr>
        <w:tc>
          <w:tcPr>
            <w:tcW w:type="dxa" w:w="192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Инфраструктура</w:t>
            </w:r>
          </w:p>
        </w:tc>
        <w:tc>
          <w:tcPr>
            <w:tcW w:type="dxa" w:w="43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Объекты, сети, мощности, износ, доступность и резервирование</w:t>
            </w:r>
          </w:p>
        </w:tc>
        <w:tc>
          <w:tcPr>
            <w:tcW w:type="dxa" w:w="31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Где возникает критическая зависимость?</w:t>
            </w:r>
          </w:p>
        </w:tc>
      </w:tr>
      <w:tr>
        <w:trPr>
          <w:cantSplit w:val="true"/>
        </w:trPr>
        <w:tc>
          <w:tcPr>
            <w:tcW w:type="dxa" w:w="192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Экономика</w:t>
            </w:r>
          </w:p>
        </w:tc>
        <w:tc>
          <w:tcPr>
            <w:tcW w:type="dxa" w:w="43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Потоки ресурсов, занятость, цепочки поставок, стоимость жизненного цикла</w:t>
            </w:r>
          </w:p>
        </w:tc>
        <w:tc>
          <w:tcPr>
            <w:tcW w:type="dxa" w:w="31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Какой сценарий устойчив при изменении условий?</w:t>
            </w:r>
          </w:p>
        </w:tc>
      </w:tr>
      <w:tr>
        <w:trPr>
          <w:cantSplit w:val="true"/>
        </w:trPr>
        <w:tc>
          <w:tcPr>
            <w:tcW w:type="dxa" w:w="192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Общество</w:t>
            </w:r>
          </w:p>
        </w:tc>
        <w:tc>
          <w:tcPr>
            <w:tcW w:type="dxa" w:w="43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Демография, доступность услуг, участие, доверие, компетенции</w:t>
            </w:r>
          </w:p>
        </w:tc>
        <w:tc>
          <w:tcPr>
            <w:tcW w:type="dxa" w:w="31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Кто выигрывает, кто несёт риск и как его компенсировать?</w:t>
            </w:r>
          </w:p>
        </w:tc>
      </w:tr>
      <w:tr>
        <w:trPr>
          <w:cantSplit w:val="true"/>
        </w:trPr>
        <w:tc>
          <w:tcPr>
            <w:tcW w:type="dxa" w:w="192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Управление</w:t>
            </w:r>
          </w:p>
        </w:tc>
        <w:tc>
          <w:tcPr>
            <w:tcW w:type="dxa" w:w="43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Полномочия, сроки, договоры, показатели, исполнение поручений</w:t>
            </w:r>
          </w:p>
        </w:tc>
        <w:tc>
          <w:tcPr>
            <w:tcW w:type="dxa" w:w="31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Где решение блокируется и какая роль отсутствует?</w:t>
            </w:r>
          </w:p>
        </w:tc>
      </w:tr>
    </w:tbl>
    <w:p>
      <w:pPr>
        <w:spacing w:after="20"/>
      </w:pP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Базовая линия фиксируется до вмешательства и включает диапазон естественной вариативности.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Модель показывает доверительные интервалы, допущения и качество входных данных.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После пилота прогноз сравнивается с фактом; ошибки возвращаются в модель и методику.</w:t>
      </w:r>
    </w:p>
    <w:p>
      <w:pPr>
        <w:pStyle w:val="Heading1"/>
        <w:keepNext/>
        <w:pageBreakBefore/>
      </w:pPr>
      <w:r>
        <w:rPr>
          <w:rFonts w:ascii="Calibri" w:hAnsi="Calibri" w:eastAsia="Calibri" w:cs="Calibri"/>
          <w:b/>
          <w:color w:val="2E74B5"/>
          <w:sz w:val="32"/>
        </w:rPr>
        <w:t>14. Модель управления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2280"/>
        <w:gridCol w:w="4560"/>
        <w:gridCol w:w="2520"/>
      </w:tblGrid>
      <w:tr>
        <w:trPr>
          <w:tblHeader w:val="true"/>
          <w:cantSplit w:val="true"/>
        </w:trPr>
        <w:tc>
          <w:tcPr>
            <w:tcW w:type="dxa" w:w="228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Орган / роль</w:t>
            </w:r>
          </w:p>
        </w:tc>
        <w:tc>
          <w:tcPr>
            <w:tcW w:type="dxa" w:w="45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Полномочия</w:t>
            </w:r>
          </w:p>
        </w:tc>
        <w:tc>
          <w:tcPr>
            <w:tcW w:type="dxa" w:w="252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Ключевой выход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Стратегический совет</w:t>
            </w:r>
          </w:p>
        </w:tc>
        <w:tc>
          <w:tcPr>
            <w:tcW w:type="dxa" w:w="45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Миссия, границы, приоритеты, допуск крупных программ</w:t>
            </w:r>
          </w:p>
        </w:tc>
        <w:tc>
          <w:tcPr>
            <w:tcW w:type="dxa" w:w="25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Утверждённый курс и портфель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ИАЦ ОРИОН</w:t>
            </w:r>
          </w:p>
        </w:tc>
        <w:tc>
          <w:tcPr>
            <w:tcW w:type="dxa" w:w="45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Ситуационный анализ, варианты решений, контроль поручений и обратной связи</w:t>
            </w:r>
          </w:p>
        </w:tc>
        <w:tc>
          <w:tcPr>
            <w:tcW w:type="dxa" w:w="25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Доклад и маршрут решения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Архитектурный офис</w:t>
            </w:r>
          </w:p>
        </w:tc>
        <w:tc>
          <w:tcPr>
            <w:tcW w:type="dxa" w:w="45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Онтология, паспорта, интеграции, правила версий и совместимости</w:t>
            </w:r>
          </w:p>
        </w:tc>
        <w:tc>
          <w:tcPr>
            <w:tcW w:type="dxa" w:w="25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Архитектурные стандарты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Совет данных</w:t>
            </w:r>
          </w:p>
        </w:tc>
        <w:tc>
          <w:tcPr>
            <w:tcW w:type="dxa" w:w="45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Качество, доступ, безопасность, происхождение и межсистемный обмен</w:t>
            </w:r>
          </w:p>
        </w:tc>
        <w:tc>
          <w:tcPr>
            <w:tcW w:type="dxa" w:w="25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Паспорт и разрешение данных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Научно-экспертный совет</w:t>
            </w:r>
          </w:p>
        </w:tc>
        <w:tc>
          <w:tcPr>
            <w:tcW w:type="dxa" w:w="45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Методики, гипотезы, испытания, независимость экспертизы</w:t>
            </w:r>
          </w:p>
        </w:tc>
        <w:tc>
          <w:tcPr>
            <w:tcW w:type="dxa" w:w="25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Заключение и условия допуска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Финансово-инвестиционный комитет</w:t>
            </w:r>
          </w:p>
        </w:tc>
        <w:tc>
          <w:tcPr>
            <w:tcW w:type="dxa" w:w="45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Риск, этапы, ковенанты, источники и структура сделки</w:t>
            </w:r>
          </w:p>
        </w:tc>
        <w:tc>
          <w:tcPr>
            <w:tcW w:type="dxa" w:w="25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Решение о финансировании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Оператор СПЕЦЗАЩИТА</w:t>
            </w:r>
          </w:p>
        </w:tc>
        <w:tc>
          <w:tcPr>
            <w:tcW w:type="dxa" w:w="45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Консорциум, производство, внедрение, сервис и охрана труда</w:t>
            </w:r>
          </w:p>
        </w:tc>
        <w:tc>
          <w:tcPr>
            <w:tcW w:type="dxa" w:w="25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Исполненный пилот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Независимый верификатор</w:t>
            </w:r>
          </w:p>
        </w:tc>
        <w:tc>
          <w:tcPr>
            <w:tcW w:type="dxa" w:w="45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Базовая линия, результат, дополнительность, вред и устойчивость</w:t>
            </w:r>
          </w:p>
        </w:tc>
        <w:tc>
          <w:tcPr>
            <w:tcW w:type="dxa" w:w="25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Верификационное заключение</w:t>
            </w:r>
          </w:p>
        </w:tc>
      </w:tr>
      <w:tr>
        <w:trPr>
          <w:cantSplit w:val="true"/>
        </w:trPr>
        <w:tc>
          <w:tcPr>
            <w:tcW w:type="dxa" w:w="22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Общественный и этический контур</w:t>
            </w:r>
          </w:p>
        </w:tc>
        <w:tc>
          <w:tcPr>
            <w:tcW w:type="dxa" w:w="45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Права, доступность, обратная связь, конфликт интересов</w:t>
            </w:r>
          </w:p>
        </w:tc>
        <w:tc>
          <w:tcPr>
            <w:tcW w:type="dxa" w:w="25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Рекомендации и сигналы остановки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CE8E8" w:val="clear"/>
          </w:tcPr>
          <w:p>
            <w:pPr>
              <w:spacing w:before="40"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9B1C1C"/>
                <w:sz w:val="19"/>
              </w:rPr>
              <w:t xml:space="preserve">ПРАВО ОСТАНОВКИ  </w:t>
            </w:r>
            <w:r>
              <w:rPr>
                <w:rFonts w:ascii="Calibri" w:hAnsi="Calibri" w:eastAsia="Calibri" w:cs="Calibri"/>
                <w:b/>
                <w:color w:val="0A2240"/>
                <w:sz w:val="21"/>
              </w:rPr>
              <w:t>Критический риск для жизни, прав человека, окружающей среды, безопасности данных или инфраструктуры автоматически переводит инициативу в режим приостановки до независимого рассмотрения.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15. Экономика и механизм ECO-PPA</w:t>
      </w:r>
    </w:p>
    <w:p>
      <w:pPr/>
      <w:r>
        <w:rPr>
          <w:rFonts w:ascii="Calibri" w:hAnsi="Calibri" w:eastAsia="Calibri" w:cs="Calibri"/>
          <w:color w:val="1D2733"/>
        </w:rPr>
        <w:t>Экономика ОРИОН отделяет стоимость платформы от стоимости проектов. Базовый контур финансирует архитектуру, данные, методики, интеграции и управление портфелем. Проектный контур собирает отдельные сделки и бюджеты под конкретные пилоты. Это предотвращает смешение общесистемных расходов с коммерческими и бюджетными обязательствами участников.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1560"/>
        <w:gridCol w:w="3360"/>
        <w:gridCol w:w="2640"/>
        <w:gridCol w:w="1800"/>
      </w:tblGrid>
      <w:tr>
        <w:trPr>
          <w:tblHeader w:val="true"/>
          <w:cantSplit w:val="true"/>
        </w:trPr>
        <w:tc>
          <w:tcPr>
            <w:tcW w:type="dxa" w:w="15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33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Что финансируется</w:t>
            </w:r>
          </w:p>
        </w:tc>
        <w:tc>
          <w:tcPr>
            <w:tcW w:type="dxa" w:w="264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Источник</w:t>
            </w:r>
          </w:p>
        </w:tc>
        <w:tc>
          <w:tcPr>
            <w:tcW w:type="dxa" w:w="18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Условие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Архитектура</w:t>
            </w:r>
          </w:p>
        </w:tc>
        <w:tc>
          <w:tcPr>
            <w:tcW w:type="dxa" w:w="33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Онтология, паспорта, интеграции, безопасность, методики</w:t>
            </w:r>
          </w:p>
        </w:tc>
        <w:tc>
          <w:tcPr>
            <w:tcW w:type="dxa" w:w="26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Бюджет, грант, институт развития, консорциум</w:t>
            </w:r>
          </w:p>
        </w:tc>
        <w:tc>
          <w:tcPr>
            <w:tcW w:type="dxa" w:w="18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Открытые правила и совместимость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Данные</w:t>
            </w:r>
          </w:p>
        </w:tc>
        <w:tc>
          <w:tcPr>
            <w:tcW w:type="dxa" w:w="33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Мониторинг, базовая линия, качество, хранение и обмен</w:t>
            </w:r>
          </w:p>
        </w:tc>
        <w:tc>
          <w:tcPr>
            <w:tcW w:type="dxa" w:w="26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Владелец данных, регион, проект, партнёры</w:t>
            </w:r>
          </w:p>
        </w:tc>
        <w:tc>
          <w:tcPr>
            <w:tcW w:type="dxa" w:w="18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Правовое основание и измеримая ценность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Пилот</w:t>
            </w:r>
          </w:p>
        </w:tc>
        <w:tc>
          <w:tcPr>
            <w:tcW w:type="dxa" w:w="33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Оборудование, работы, обучение, эксплуатация и проверка</w:t>
            </w:r>
          </w:p>
        </w:tc>
        <w:tc>
          <w:tcPr>
            <w:tcW w:type="dxa" w:w="26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ECO-PPA, ГЧП, контракт, инвестиции, целевые средства</w:t>
            </w:r>
          </w:p>
        </w:tc>
        <w:tc>
          <w:tcPr>
            <w:tcW w:type="dxa" w:w="18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Этапы, ковенанты и право остановки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Масштаб</w:t>
            </w:r>
          </w:p>
        </w:tc>
        <w:tc>
          <w:tcPr>
            <w:tcW w:type="dxa" w:w="33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Серия, локализация, сервис, тиражирование</w:t>
            </w:r>
          </w:p>
        </w:tc>
        <w:tc>
          <w:tcPr>
            <w:tcW w:type="dxa" w:w="26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Заказ, проектное финансирование, лицензия, франчайзинг</w:t>
            </w:r>
          </w:p>
        </w:tc>
        <w:tc>
          <w:tcPr>
            <w:tcW w:type="dxa" w:w="18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Подтверждённый эффект и серийная готовность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Память</w:t>
            </w:r>
          </w:p>
        </w:tc>
        <w:tc>
          <w:tcPr>
            <w:tcW w:type="dxa" w:w="33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Архив, стандарты, обучение, повторное использование</w:t>
            </w:r>
          </w:p>
        </w:tc>
        <w:tc>
          <w:tcPr>
            <w:tcW w:type="dxa" w:w="26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Часть портфельного бюджета и сервисная модель</w:t>
            </w:r>
          </w:p>
        </w:tc>
        <w:tc>
          <w:tcPr>
            <w:tcW w:type="dxa" w:w="18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Доступность уроков и сохранение прав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rFonts w:ascii="Calibri" w:hAnsi="Calibri" w:eastAsia="Calibri" w:cs="Calibri"/>
          <w:b/>
          <w:color w:val="2E74B5"/>
          <w:sz w:val="26"/>
        </w:rPr>
        <w:t>Принципы ECO-PPA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капитал предоставляется по этапам после достижения проверяемых условий;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денежный поток и общественно-экологический эффект учитываются раздельно, но связаны в одной модели;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нефинансовый показатель не превращается в деньги автоматически: необходимы законный объект сделки, контрагент, цена и расчётная инфраструктура;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риски, резервы, страхование и ответственность закрепляются до начала пилота;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отчёт о неудачах и побочных эффектах является обязательной частью доказательной среды.</w:t>
      </w: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16. Право, стандарты и совместимость</w:t>
      </w:r>
    </w:p>
    <w:p>
      <w:pPr/>
      <w:r>
        <w:rPr>
          <w:rFonts w:ascii="Calibri" w:hAnsi="Calibri" w:eastAsia="Calibri" w:cs="Calibri"/>
          <w:color w:val="1D2733"/>
        </w:rPr>
        <w:t>ОРИОН внедряется через пакет взаимосвязанных документов. Концепция не заменяет нормативные акты, договоры или отраслевые стандарты, а определяет минимальный общий каркас, чтобы решения разных участников были сопоставимы и проверяемы.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2760"/>
        <w:gridCol w:w="4560"/>
        <w:gridCol w:w="2040"/>
      </w:tblGrid>
      <w:tr>
        <w:trPr>
          <w:tblHeader w:val="true"/>
          <w:cantSplit w:val="true"/>
        </w:trPr>
        <w:tc>
          <w:tcPr>
            <w:tcW w:type="dxa" w:w="27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Документ</w:t>
            </w:r>
          </w:p>
        </w:tc>
        <w:tc>
          <w:tcPr>
            <w:tcW w:type="dxa" w:w="45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Назначение</w:t>
            </w:r>
          </w:p>
        </w:tc>
        <w:tc>
          <w:tcPr>
            <w:tcW w:type="dxa" w:w="204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Приоритет подготовки</w:t>
            </w:r>
          </w:p>
        </w:tc>
      </w:tr>
      <w:tr>
        <w:trPr>
          <w:cantSplit w:val="true"/>
        </w:trPr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Положение об ОРИОН 22:22</w:t>
            </w:r>
          </w:p>
        </w:tc>
        <w:tc>
          <w:tcPr>
            <w:tcW w:type="dxa" w:w="45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Статус, миссия, органы, полномочия и границы</w:t>
            </w:r>
          </w:p>
        </w:tc>
        <w:tc>
          <w:tcPr>
            <w:tcW w:type="dxa" w:w="20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Нулевой цикл</w:t>
            </w:r>
          </w:p>
        </w:tc>
      </w:tr>
      <w:tr>
        <w:trPr>
          <w:cantSplit w:val="true"/>
        </w:trPr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Регламент жизненного цикла инициативы</w:t>
            </w:r>
          </w:p>
        </w:tc>
        <w:tc>
          <w:tcPr>
            <w:tcW w:type="dxa" w:w="45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Стадии, допуски, возвраты, остановка и архивирование</w:t>
            </w:r>
          </w:p>
        </w:tc>
        <w:tc>
          <w:tcPr>
            <w:tcW w:type="dxa" w:w="20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Нулевой цикл</w:t>
            </w:r>
          </w:p>
        </w:tc>
      </w:tr>
      <w:tr>
        <w:trPr>
          <w:cantSplit w:val="true"/>
        </w:trPr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Единый паспорт инициативы</w:t>
            </w:r>
          </w:p>
        </w:tc>
        <w:tc>
          <w:tcPr>
            <w:tcW w:type="dxa" w:w="45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Поля, идентификаторы, версии, права и доказательства</w:t>
            </w:r>
          </w:p>
        </w:tc>
        <w:tc>
          <w:tcPr>
            <w:tcW w:type="dxa" w:w="20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Нулевой цикл</w:t>
            </w:r>
          </w:p>
        </w:tc>
      </w:tr>
      <w:tr>
        <w:trPr>
          <w:cantSplit w:val="true"/>
        </w:trPr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Политика данных</w:t>
            </w:r>
          </w:p>
        </w:tc>
        <w:tc>
          <w:tcPr>
            <w:tcW w:type="dxa" w:w="45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Владение, доступ, качество, происхождение, безопасность и сроки хранения</w:t>
            </w:r>
          </w:p>
        </w:tc>
        <w:tc>
          <w:tcPr>
            <w:tcW w:type="dxa" w:w="20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Пилот</w:t>
            </w:r>
          </w:p>
        </w:tc>
      </w:tr>
      <w:tr>
        <w:trPr>
          <w:cantSplit w:val="true"/>
        </w:trPr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Методика 22 показателей</w:t>
            </w:r>
          </w:p>
        </w:tc>
        <w:tc>
          <w:tcPr>
            <w:tcW w:type="dxa" w:w="45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Формулы, источники, пороги, периодичность и ответственность</w:t>
            </w:r>
          </w:p>
        </w:tc>
        <w:tc>
          <w:tcPr>
            <w:tcW w:type="dxa" w:w="20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Пилот</w:t>
            </w:r>
          </w:p>
        </w:tc>
      </w:tr>
      <w:tr>
        <w:trPr>
          <w:cantSplit w:val="true"/>
        </w:trPr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Стандарт валидации</w:t>
            </w:r>
          </w:p>
        </w:tc>
        <w:tc>
          <w:tcPr>
            <w:tcW w:type="dxa" w:w="45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Независимость, конфликт интересов, методы и форма заключения</w:t>
            </w:r>
          </w:p>
        </w:tc>
        <w:tc>
          <w:tcPr>
            <w:tcW w:type="dxa" w:w="20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Пилот</w:t>
            </w:r>
          </w:p>
        </w:tc>
      </w:tr>
      <w:tr>
        <w:trPr>
          <w:cantSplit w:val="true"/>
        </w:trPr>
        <w:tc>
          <w:tcPr>
            <w:tcW w:type="dxa" w:w="27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Типовое соглашение консорциума</w:t>
            </w:r>
          </w:p>
        </w:tc>
        <w:tc>
          <w:tcPr>
            <w:tcW w:type="dxa" w:w="45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Роли, права, ресурсы, ответственность, результаты и выход</w:t>
            </w:r>
          </w:p>
        </w:tc>
        <w:tc>
          <w:tcPr>
            <w:tcW w:type="dxa" w:w="20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Пилот</w:t>
            </w:r>
          </w:p>
        </w:tc>
      </w:tr>
      <w:tr>
        <w:trPr>
          <w:cantSplit w:val="true"/>
        </w:trPr>
        <w:tc>
          <w:tcPr>
            <w:tcW w:type="dxa" w:w="27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Пакет масштабирования</w:t>
            </w:r>
          </w:p>
        </w:tc>
        <w:tc>
          <w:tcPr>
            <w:tcW w:type="dxa" w:w="45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Критерии серии, адаптации, лицензирования, сервиса и обучения</w:t>
            </w:r>
          </w:p>
        </w:tc>
        <w:tc>
          <w:tcPr>
            <w:tcW w:type="dxa" w:w="20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После верификации</w:t>
            </w:r>
          </w:p>
        </w:tc>
      </w:tr>
    </w:tbl>
    <w:p>
      <w:pPr>
        <w:spacing w:after="20"/>
      </w:pP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Совместимость важнее тотальной унификации: отраслевые модели сохраняются, но должны иметь таблицу соответствий общему паспорту.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Доказательность важнее объёма отчёта: каждый вывод должен прослеживаться до источника, метода, версии и ответственного лица.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Международное применение требует отдельной правовой оценки передачи данных, санкционных, экспортных, налоговых и экологических режимов.</w:t>
      </w: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17. Человек, культура и образование</w:t>
      </w:r>
    </w:p>
    <w:p>
      <w:pPr/>
      <w:r>
        <w:rPr>
          <w:rFonts w:ascii="Calibri" w:hAnsi="Calibri" w:eastAsia="Calibri" w:cs="Calibri"/>
          <w:color w:val="1D2733"/>
        </w:rPr>
        <w:t>ОРИОН создаётся ради способности человека и общества осмысленно действовать в сложной среде. Поэтому человеческий капитал рассматривается не как обслуживающий ресурс платформы, а как самостоятельный результат: компетентность, субъектность, здоровье, безопасность, доступ к знаниям, участие и возможность передавать опыт.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1560"/>
        <w:gridCol w:w="3900"/>
        <w:gridCol w:w="3900"/>
      </w:tblGrid>
      <w:tr>
        <w:trPr>
          <w:tblHeader w:val="true"/>
          <w:cantSplit w:val="true"/>
        </w:trPr>
        <w:tc>
          <w:tcPr>
            <w:tcW w:type="dxa" w:w="15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Уровень</w:t>
            </w:r>
          </w:p>
        </w:tc>
        <w:tc>
          <w:tcPr>
            <w:tcW w:type="dxa" w:w="39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Задача</w:t>
            </w:r>
          </w:p>
        </w:tc>
        <w:tc>
          <w:tcPr>
            <w:tcW w:type="dxa" w:w="39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Инструменты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Человек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Понимать цель, роль, права, риски и следующий шаг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Личный кабинет, обучение, наставник, объяснимые рекомендации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Команда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Собрать взаимодополняющие компетенции и договориться об ответственности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Карта ролей, дефицитов, конфликтов и взаимных обязательств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Сообщество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Участвовать в выборе, наблюдении и обратной связи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СФЕРА, общественные панели, гражданская наука, инициативное бюджетирование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Институт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Сохранять знания и повышать качество решений</w:t>
            </w:r>
          </w:p>
        </w:tc>
        <w:tc>
          <w:tcPr>
            <w:tcW w:type="dxa" w:w="39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Академия, стандарты, архив, разборы практики и сертификация</w:t>
            </w:r>
          </w:p>
        </w:tc>
      </w:tr>
      <w:tr>
        <w:trPr>
          <w:cantSplit w:val="true"/>
        </w:trPr>
        <w:tc>
          <w:tcPr>
            <w:tcW w:type="dxa" w:w="15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Поколения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Передавать наследие, уроки и ответственность за будущее</w:t>
            </w:r>
          </w:p>
        </w:tc>
        <w:tc>
          <w:tcPr>
            <w:tcW w:type="dxa" w:w="39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Межпоколенческие проекты, экспедиции, семейные и территориальные архивы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FF8E8" w:val="clear"/>
          </w:tcPr>
          <w:p>
            <w:pPr>
              <w:spacing w:before="40"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B88A2B"/>
                <w:sz w:val="19"/>
              </w:rPr>
              <w:t xml:space="preserve">КУЛЬТУРНЫЙ ПРИНЦИП  </w:t>
            </w:r>
            <w:r>
              <w:rPr>
                <w:rFonts w:ascii="Calibri" w:hAnsi="Calibri" w:eastAsia="Calibri" w:cs="Calibri"/>
                <w:b/>
                <w:color w:val="0A2240"/>
                <w:sz w:val="21"/>
              </w:rPr>
              <w:t>Технология усиливает человека, но не отменяет его достоинство, свободу выбора, ответственность и право на понятное объяснение решения.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18. Безопасность, этика и красные линии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2040"/>
        <w:gridCol w:w="4080"/>
        <w:gridCol w:w="3240"/>
      </w:tblGrid>
      <w:tr>
        <w:trPr>
          <w:tblHeader w:val="true"/>
          <w:cantSplit w:val="true"/>
        </w:trPr>
        <w:tc>
          <w:tcPr>
            <w:tcW w:type="dxa" w:w="204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Риск</w:t>
            </w:r>
          </w:p>
        </w:tc>
        <w:tc>
          <w:tcPr>
            <w:tcW w:type="dxa" w:w="408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Обязательное ограничение</w:t>
            </w:r>
          </w:p>
        </w:tc>
        <w:tc>
          <w:tcPr>
            <w:tcW w:type="dxa" w:w="324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204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Концентрация власти</w:t>
            </w:r>
          </w:p>
        </w:tc>
        <w:tc>
          <w:tcPr>
            <w:tcW w:type="dxa" w:w="40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Разделение ролей, журнал решений, независимый надзор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Аудит полномочий и конфликтов интересов</w:t>
            </w:r>
          </w:p>
        </w:tc>
      </w:tr>
      <w:tr>
        <w:trPr>
          <w:cantSplit w:val="true"/>
        </w:trPr>
        <w:tc>
          <w:tcPr>
            <w:tcW w:type="dxa" w:w="204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Непрозрачный ИИ</w:t>
            </w:r>
          </w:p>
        </w:tc>
        <w:tc>
          <w:tcPr>
            <w:tcW w:type="dxa" w:w="40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Запрет автономных критических решений; объяснение и апелляция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Модельный аудит и человеческое утверждение</w:t>
            </w:r>
          </w:p>
        </w:tc>
      </w:tr>
      <w:tr>
        <w:trPr>
          <w:cantSplit w:val="true"/>
        </w:trPr>
        <w:tc>
          <w:tcPr>
            <w:tcW w:type="dxa" w:w="204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Утечка или злоупотребление данными</w:t>
            </w:r>
          </w:p>
        </w:tc>
        <w:tc>
          <w:tcPr>
            <w:tcW w:type="dxa" w:w="40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Минимизация, шифрование, ролевой доступ и локализация по закону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Журнал доступа и тестирование защиты</w:t>
            </w:r>
          </w:p>
        </w:tc>
      </w:tr>
      <w:tr>
        <w:trPr>
          <w:cantSplit w:val="true"/>
        </w:trPr>
        <w:tc>
          <w:tcPr>
            <w:tcW w:type="dxa" w:w="204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Манипуляция обществом</w:t>
            </w:r>
          </w:p>
        </w:tc>
        <w:tc>
          <w:tcPr>
            <w:tcW w:type="dxa" w:w="40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Запрет скрытого воздействия и профилирования вне правовых оснований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Этическая экспертиза и общественный контроль</w:t>
            </w:r>
          </w:p>
        </w:tc>
      </w:tr>
      <w:tr>
        <w:trPr>
          <w:cantSplit w:val="true"/>
        </w:trPr>
        <w:tc>
          <w:tcPr>
            <w:tcW w:type="dxa" w:w="204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Экологический вред</w:t>
            </w:r>
          </w:p>
        </w:tc>
        <w:tc>
          <w:tcPr>
            <w:tcW w:type="dxa" w:w="40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Оценка воздействия, принцип непричинения существенного вреда, остановка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Независимый мониторинг и базовая линия</w:t>
            </w:r>
          </w:p>
        </w:tc>
      </w:tr>
      <w:tr>
        <w:trPr>
          <w:cantSplit w:val="true"/>
        </w:trPr>
        <w:tc>
          <w:tcPr>
            <w:tcW w:type="dxa" w:w="204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Технологическая зависимость</w:t>
            </w:r>
          </w:p>
        </w:tc>
        <w:tc>
          <w:tcPr>
            <w:tcW w:type="dxa" w:w="40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Открытые интерфейсы, переносимость данных, резервные поставщики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План выхода и тест восстановления</w:t>
            </w:r>
          </w:p>
        </w:tc>
      </w:tr>
      <w:tr>
        <w:trPr>
          <w:cantSplit w:val="true"/>
        </w:trPr>
        <w:tc>
          <w:tcPr>
            <w:tcW w:type="dxa" w:w="204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Ложная доказательность</w:t>
            </w:r>
          </w:p>
        </w:tc>
        <w:tc>
          <w:tcPr>
            <w:tcW w:type="dxa" w:w="40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Разделение факта, гипотезы, оценки и прогноза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Воспроизводимость расчётов и верификация</w:t>
            </w:r>
          </w:p>
        </w:tc>
      </w:tr>
      <w:tr>
        <w:trPr>
          <w:cantSplit w:val="true"/>
        </w:trPr>
        <w:tc>
          <w:tcPr>
            <w:tcW w:type="dxa" w:w="204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Символическая подмена науки</w:t>
            </w:r>
          </w:p>
        </w:tc>
        <w:tc>
          <w:tcPr>
            <w:tcW w:type="dxa" w:w="40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Чёткая маркировка метафор, авторских моделей и научно подтверждённых закономерностей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Редакционный и научный контроль</w:t>
            </w:r>
          </w:p>
        </w:tc>
      </w:tr>
    </w:tbl>
    <w:p>
      <w:pPr>
        <w:spacing w:after="20"/>
      </w:pPr>
    </w:p>
    <w:p>
      <w:pPr/>
      <w:r>
        <w:rPr>
          <w:rFonts w:ascii="Calibri" w:hAnsi="Calibri" w:eastAsia="Calibri" w:cs="Calibri"/>
          <w:color w:val="1D2733"/>
        </w:rPr>
        <w:t>Безопасность проектируется до интеграции, а не добавляется после запуска. Для каждой категории данных и решения устанавливаются режим, минимальный состав, срок хранения, владелец риска, сценарий инцидента и процедура восстановления.</w:t>
      </w: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19. Портфель первых пилотов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2880"/>
        <w:gridCol w:w="3240"/>
        <w:gridCol w:w="3240"/>
      </w:tblGrid>
      <w:tr>
        <w:trPr>
          <w:tblHeader w:val="true"/>
          <w:cantSplit w:val="true"/>
        </w:trPr>
        <w:tc>
          <w:tcPr>
            <w:tcW w:type="dxa" w:w="288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Пилот</w:t>
            </w:r>
          </w:p>
        </w:tc>
        <w:tc>
          <w:tcPr>
            <w:tcW w:type="dxa" w:w="324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Назначение</w:t>
            </w:r>
          </w:p>
        </w:tc>
        <w:tc>
          <w:tcPr>
            <w:tcW w:type="dxa" w:w="324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Первый доказуемый результат</w:t>
            </w:r>
          </w:p>
        </w:tc>
      </w:tr>
      <w:tr>
        <w:trPr>
          <w:cantSplit w:val="true"/>
        </w:trPr>
        <w:tc>
          <w:tcPr>
            <w:tcW w:type="dxa" w:w="28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ГАСМП «ЭКВИЛИБРИУМ»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Аэрокосмический мониторинг и раннее предупреждение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Карта угроз и подтверждённый регламент реагирования</w:t>
            </w:r>
          </w:p>
        </w:tc>
      </w:tr>
      <w:tr>
        <w:trPr>
          <w:cantSplit w:val="true"/>
        </w:trPr>
        <w:tc>
          <w:tcPr>
            <w:tcW w:type="dxa" w:w="28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Биоценозная точка мониторинга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Цифровой орган чувств территории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Базовая линия и индекс состояния экосистемы</w:t>
            </w:r>
          </w:p>
        </w:tc>
      </w:tr>
      <w:tr>
        <w:trPr>
          <w:cantSplit w:val="true"/>
        </w:trPr>
        <w:tc>
          <w:tcPr>
            <w:tcW w:type="dxa" w:w="28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Экомодули и малая генерация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Локальная устойчивость инфраструктуры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Измеренные ресурсоэффективность и надёжность</w:t>
            </w:r>
          </w:p>
        </w:tc>
      </w:tr>
      <w:tr>
        <w:trPr>
          <w:cantSplit w:val="true"/>
        </w:trPr>
        <w:tc>
          <w:tcPr>
            <w:tcW w:type="dxa" w:w="28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Материаловедение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6N алюмооксид, стабилизация грунтов и низкоуглеродные решения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Испытания, права, серийный маршрут и заказчик</w:t>
            </w:r>
          </w:p>
        </w:tc>
      </w:tr>
      <w:tr>
        <w:trPr>
          <w:cantSplit w:val="true"/>
        </w:trPr>
        <w:tc>
          <w:tcPr>
            <w:tcW w:type="dxa" w:w="28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Транспортно-промышленный контур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Связь материалов, производства, логистики и новых скоростных систем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Паспорт межотраслевого пилота</w:t>
            </w:r>
          </w:p>
        </w:tc>
      </w:tr>
      <w:tr>
        <w:trPr>
          <w:cantSplit w:val="true"/>
        </w:trPr>
        <w:tc>
          <w:tcPr>
            <w:tcW w:type="dxa" w:w="28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Архив сохранения наследия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Происхождение, права, сохранность и доступ к ценностям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Доказательная цепочка и режим хранения</w:t>
            </w:r>
          </w:p>
        </w:tc>
      </w:tr>
      <w:tr>
        <w:trPr>
          <w:cantSplit w:val="true"/>
        </w:trPr>
        <w:tc>
          <w:tcPr>
            <w:tcW w:type="dxa" w:w="28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Культура нового уклада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Межпоколенческое участие, знания и созидательная практика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Портфель культурных инициатив с эффектом</w:t>
            </w:r>
          </w:p>
        </w:tc>
      </w:tr>
      <w:tr>
        <w:trPr>
          <w:cantSplit w:val="true"/>
        </w:trPr>
        <w:tc>
          <w:tcPr>
            <w:tcW w:type="dxa" w:w="28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Социальный маркетплейс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Сопоставление потребностей, инициатив, фондов и исполнителей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Прозрачная маршрутизация социальной помощи</w:t>
            </w:r>
          </w:p>
        </w:tc>
      </w:tr>
      <w:tr>
        <w:trPr>
          <w:cantSplit w:val="true"/>
        </w:trPr>
        <w:tc>
          <w:tcPr>
            <w:tcW w:type="dxa" w:w="28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Город Знания / Город Событий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Территория образования, науки, культуры и туризма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Интегрированный мастер-план и модель оператора</w:t>
            </w:r>
          </w:p>
        </w:tc>
      </w:tr>
      <w:tr>
        <w:trPr>
          <w:cantSplit w:val="true"/>
        </w:trPr>
        <w:tc>
          <w:tcPr>
            <w:tcW w:type="dxa" w:w="28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Управление стихиями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Мониторинг, адаптация и восстановление Земли, Воды, Воздуха, Огня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Проверяемая система природной безопасности</w:t>
            </w:r>
          </w:p>
        </w:tc>
      </w:tr>
      <w:tr>
        <w:trPr>
          <w:cantSplit w:val="true"/>
        </w:trPr>
        <w:tc>
          <w:tcPr>
            <w:tcW w:type="dxa" w:w="28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Реабилитация и кадры «Суперкласс»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Возврат человека к здоровью, труду и общественной роли</w:t>
            </w:r>
          </w:p>
        </w:tc>
        <w:tc>
          <w:tcPr>
            <w:tcW w:type="dxa" w:w="32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Индивидуальная траектория и подтверждённый результат</w:t>
            </w:r>
          </w:p>
        </w:tc>
      </w:tr>
      <w:tr>
        <w:trPr>
          <w:cantSplit w:val="true"/>
        </w:trPr>
        <w:tc>
          <w:tcPr>
            <w:tcW w:type="dxa" w:w="28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Международная кооперация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Совместные стандарты, проекты и обмен доказательствами</w:t>
            </w:r>
          </w:p>
        </w:tc>
        <w:tc>
          <w:tcPr>
            <w:tcW w:type="dxa" w:w="32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Пилот взаимного признания методик</w:t>
            </w:r>
          </w:p>
        </w:tc>
      </w:tr>
    </w:tbl>
    <w:p>
      <w:pPr>
        <w:spacing w:after="20"/>
      </w:pPr>
    </w:p>
    <w:p>
      <w:pPr/>
      <w:r>
        <w:rPr>
          <w:rFonts w:ascii="Calibri" w:hAnsi="Calibri" w:eastAsia="Calibri" w:cs="Calibri"/>
          <w:color w:val="1D2733"/>
        </w:rPr>
        <w:t>Портфель не запускается одновременно. Первые 3–5 пилотов выбираются по готовности данных, команды, площадки, прав, финансирования и независимой проверки. ОРИОН должен доказать собственную полезность на ограниченном числе реальных задач.</w:t>
      </w:r>
    </w:p>
    <w:p>
      <w:pPr>
        <w:pStyle w:val="Heading1"/>
        <w:keepNext/>
        <w:pageBreakBefore/>
      </w:pPr>
      <w:r>
        <w:rPr>
          <w:rFonts w:ascii="Calibri" w:hAnsi="Calibri" w:eastAsia="Calibri" w:cs="Calibri"/>
          <w:b/>
          <w:color w:val="2E74B5"/>
          <w:sz w:val="32"/>
        </w:rPr>
        <w:t>20. Пилот и дорожная карта</w:t>
      </w:r>
    </w:p>
    <w:p>
      <w:pPr>
        <w:pStyle w:val="Heading2"/>
        <w:keepNext/>
      </w:pPr>
      <w:r>
        <w:rPr>
          <w:rFonts w:ascii="Calibri" w:hAnsi="Calibri" w:eastAsia="Calibri" w:cs="Calibri"/>
          <w:b/>
          <w:color w:val="2E74B5"/>
          <w:sz w:val="26"/>
        </w:rPr>
        <w:t>Нулевой цикл: первые 100 дней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1440"/>
        <w:gridCol w:w="3300"/>
        <w:gridCol w:w="2400"/>
        <w:gridCol w:w="2220"/>
      </w:tblGrid>
      <w:tr>
        <w:trPr>
          <w:tblHeader w:val="true"/>
          <w:cantSplit w:val="true"/>
        </w:trPr>
        <w:tc>
          <w:tcPr>
            <w:tcW w:type="dxa" w:w="144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Период</w:t>
            </w:r>
          </w:p>
        </w:tc>
        <w:tc>
          <w:tcPr>
            <w:tcW w:type="dxa" w:w="33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Действие</w:t>
            </w:r>
          </w:p>
        </w:tc>
        <w:tc>
          <w:tcPr>
            <w:tcW w:type="dxa" w:w="24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Выход</w:t>
            </w:r>
          </w:p>
        </w:tc>
        <w:tc>
          <w:tcPr>
            <w:tcW w:type="dxa" w:w="222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Критерий завершения</w:t>
            </w:r>
          </w:p>
        </w:tc>
      </w:tr>
      <w:tr>
        <w:trPr>
          <w:cantSplit w:val="true"/>
        </w:trPr>
        <w:tc>
          <w:tcPr>
            <w:tcW w:type="dxa" w:w="144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Дни 1–20</w:t>
            </w:r>
          </w:p>
        </w:tc>
        <w:tc>
          <w:tcPr>
            <w:tcW w:type="dxa" w:w="33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Утвердить мандат, архитектурную группу, пилотную тему и территорию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Решение о запуске</w:t>
            </w:r>
          </w:p>
        </w:tc>
        <w:tc>
          <w:tcPr>
            <w:tcW w:type="dxa" w:w="22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Назначены владельцы и границы</w:t>
            </w:r>
          </w:p>
        </w:tc>
      </w:tr>
      <w:tr>
        <w:trPr>
          <w:cantSplit w:val="true"/>
        </w:trPr>
        <w:tc>
          <w:tcPr>
            <w:tcW w:type="dxa" w:w="144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Дни 21–45</w:t>
            </w:r>
          </w:p>
        </w:tc>
        <w:tc>
          <w:tcPr>
            <w:tcW w:type="dxa" w:w="33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Собрать реестры, паспорта, базовую линию, права и карту участников</w:t>
            </w:r>
          </w:p>
        </w:tc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Пакет исходных данных</w:t>
            </w:r>
          </w:p>
        </w:tc>
        <w:tc>
          <w:tcPr>
            <w:tcW w:type="dxa" w:w="22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Критические пробелы известны</w:t>
            </w:r>
          </w:p>
        </w:tc>
      </w:tr>
      <w:tr>
        <w:trPr>
          <w:cantSplit w:val="true"/>
        </w:trPr>
        <w:tc>
          <w:tcPr>
            <w:tcW w:type="dxa" w:w="144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Дни 46–70</w:t>
            </w:r>
          </w:p>
        </w:tc>
        <w:tc>
          <w:tcPr>
            <w:tcW w:type="dxa" w:w="33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Построить граф, прототип рабочего места и маршрут инициативы</w:t>
            </w:r>
          </w:p>
        </w:tc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MVP навигации</w:t>
            </w:r>
          </w:p>
        </w:tc>
        <w:tc>
          <w:tcPr>
            <w:tcW w:type="dxa" w:w="222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Одна инициатива проходит полный цифровой маршрут</w:t>
            </w:r>
          </w:p>
        </w:tc>
      </w:tr>
      <w:tr>
        <w:trPr>
          <w:cantSplit w:val="true"/>
        </w:trPr>
        <w:tc>
          <w:tcPr>
            <w:tcW w:type="dxa" w:w="144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Дни 71–100</w:t>
            </w:r>
          </w:p>
        </w:tc>
        <w:tc>
          <w:tcPr>
            <w:tcW w:type="dxa" w:w="33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Сформировать консорциум, план пилота, бюджет, риски и верификацию</w:t>
            </w:r>
          </w:p>
        </w:tc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Паспорт пилота 1.0</w:t>
            </w:r>
          </w:p>
        </w:tc>
        <w:tc>
          <w:tcPr>
            <w:tcW w:type="dxa" w:w="222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7"/>
              </w:rPr>
              <w:t>Готовность к решению о финансировании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rFonts w:ascii="Calibri" w:hAnsi="Calibri" w:eastAsia="Calibri" w:cs="Calibri"/>
          <w:b/>
          <w:color w:val="2E74B5"/>
          <w:sz w:val="26"/>
        </w:rPr>
        <w:t>Дорожная карта 36 месяцев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2160"/>
        <w:gridCol w:w="1440"/>
        <w:gridCol w:w="3600"/>
        <w:gridCol w:w="2160"/>
      </w:tblGrid>
      <w:tr>
        <w:trPr>
          <w:tblHeader w:val="true"/>
          <w:cantSplit w:val="true"/>
        </w:trPr>
        <w:tc>
          <w:tcPr>
            <w:tcW w:type="dxa" w:w="21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144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Срок</w:t>
            </w:r>
          </w:p>
        </w:tc>
        <w:tc>
          <w:tcPr>
            <w:tcW w:type="dxa" w:w="36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Результат</w:t>
            </w:r>
          </w:p>
        </w:tc>
        <w:tc>
          <w:tcPr>
            <w:tcW w:type="dxa" w:w="21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Контрольная точка</w:t>
            </w:r>
          </w:p>
        </w:tc>
      </w:tr>
      <w:tr>
        <w:trPr>
          <w:cantSplit w:val="true"/>
        </w:trPr>
        <w:tc>
          <w:tcPr>
            <w:tcW w:type="dxa" w:w="21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0. Проектирование</w:t>
            </w:r>
          </w:p>
        </w:tc>
        <w:tc>
          <w:tcPr>
            <w:tcW w:type="dxa" w:w="14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0–3 мес.</w:t>
            </w:r>
          </w:p>
        </w:tc>
        <w:tc>
          <w:tcPr>
            <w:tcW w:type="dxa" w:w="36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Положение, архитектура, паспорта, пилот и команда</w:t>
            </w:r>
          </w:p>
        </w:tc>
        <w:tc>
          <w:tcPr>
            <w:tcW w:type="dxa" w:w="21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Решение о запуске</w:t>
            </w:r>
          </w:p>
        </w:tc>
      </w:tr>
      <w:tr>
        <w:trPr>
          <w:cantSplit w:val="true"/>
        </w:trPr>
        <w:tc>
          <w:tcPr>
            <w:tcW w:type="dxa" w:w="21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1. MVP</w:t>
            </w:r>
          </w:p>
        </w:tc>
        <w:tc>
          <w:tcPr>
            <w:tcW w:type="dxa" w:w="14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3–6 мес.</w:t>
            </w:r>
          </w:p>
        </w:tc>
        <w:tc>
          <w:tcPr>
            <w:tcW w:type="dxa" w:w="36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Каталог, граф, рабочие места, данные и первый маршрут</w:t>
            </w:r>
          </w:p>
        </w:tc>
        <w:tc>
          <w:tcPr>
            <w:tcW w:type="dxa" w:w="21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Демонстрация полного цикла</w:t>
            </w:r>
          </w:p>
        </w:tc>
      </w:tr>
      <w:tr>
        <w:trPr>
          <w:cantSplit w:val="true"/>
        </w:trPr>
        <w:tc>
          <w:tcPr>
            <w:tcW w:type="dxa" w:w="21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2. Пилот</w:t>
            </w:r>
          </w:p>
        </w:tc>
        <w:tc>
          <w:tcPr>
            <w:tcW w:type="dxa" w:w="14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6–12 мес.</w:t>
            </w:r>
          </w:p>
        </w:tc>
        <w:tc>
          <w:tcPr>
            <w:tcW w:type="dxa" w:w="36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Реальное внедрение и измерение на территории</w:t>
            </w:r>
          </w:p>
        </w:tc>
        <w:tc>
          <w:tcPr>
            <w:tcW w:type="dxa" w:w="21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Независимый отчёт</w:t>
            </w:r>
          </w:p>
        </w:tc>
      </w:tr>
      <w:tr>
        <w:trPr>
          <w:cantSplit w:val="true"/>
        </w:trPr>
        <w:tc>
          <w:tcPr>
            <w:tcW w:type="dxa" w:w="216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3. Портфель</w:t>
            </w:r>
          </w:p>
        </w:tc>
        <w:tc>
          <w:tcPr>
            <w:tcW w:type="dxa" w:w="14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12–24 мес.</w:t>
            </w:r>
          </w:p>
        </w:tc>
        <w:tc>
          <w:tcPr>
            <w:tcW w:type="dxa" w:w="36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3–5 связанных пилотов, стандарты и финансовая модель</w:t>
            </w:r>
          </w:p>
        </w:tc>
        <w:tc>
          <w:tcPr>
            <w:tcW w:type="dxa" w:w="21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Портфельное решение</w:t>
            </w:r>
          </w:p>
        </w:tc>
      </w:tr>
      <w:tr>
        <w:trPr>
          <w:cantSplit w:val="true"/>
        </w:trPr>
        <w:tc>
          <w:tcPr>
            <w:tcW w:type="dxa" w:w="216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4. Масштаб</w:t>
            </w:r>
          </w:p>
        </w:tc>
        <w:tc>
          <w:tcPr>
            <w:tcW w:type="dxa" w:w="14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24–36 мес.</w:t>
            </w:r>
          </w:p>
        </w:tc>
        <w:tc>
          <w:tcPr>
            <w:tcW w:type="dxa" w:w="36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Тиражирование по территориям и отраслям</w:t>
            </w:r>
          </w:p>
        </w:tc>
        <w:tc>
          <w:tcPr>
            <w:tcW w:type="dxa" w:w="21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Пакет национального внедрения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D9EFF8" w:val="clear"/>
          </w:tcPr>
          <w:p>
            <w:pPr>
              <w:spacing w:before="40"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9"/>
              </w:rPr>
              <w:t xml:space="preserve">ПРАВИЛО ЗАПУСКА  </w:t>
            </w:r>
            <w:r>
              <w:rPr>
                <w:rFonts w:ascii="Calibri" w:hAnsi="Calibri" w:eastAsia="Calibri" w:cs="Calibri"/>
                <w:b/>
                <w:color w:val="0A2240"/>
                <w:sz w:val="21"/>
              </w:rPr>
              <w:t>Сначала доказать один полный маршрут и один измеримый территориальный результат; затем расширять число модулей, интеграций и участников.</w:t>
            </w:r>
          </w:p>
        </w:tc>
      </w:tr>
    </w:tbl>
    <w:p>
      <w:pPr>
        <w:spacing w:after="20"/>
      </w:pPr>
    </w:p>
    <w:p>
      <w:pPr>
        <w:pStyle w:val="Heading1"/>
        <w:keepNext/>
        <w:pageBreakBefore/>
      </w:pPr>
      <w:r>
        <w:rPr>
          <w:rFonts w:ascii="Calibri" w:hAnsi="Calibri" w:eastAsia="Calibri" w:cs="Calibri"/>
          <w:b/>
          <w:color w:val="2E74B5"/>
          <w:sz w:val="32"/>
        </w:rPr>
        <w:t>21. Валидация, зрелость и допуск к масштабу</w:t>
      </w:r>
    </w:p>
    <w:p>
      <w:pPr/>
      <w:r>
        <w:rPr>
          <w:rFonts w:ascii="Calibri" w:hAnsi="Calibri" w:eastAsia="Calibri" w:cs="Calibri"/>
          <w:color w:val="1D2733"/>
        </w:rPr>
        <w:t>Зрелость оценивается по пяти уровням. Итоговый высокий балл не перекрывает критическое нарушение прав, безопасности, экологии или доказательности. Для масштабирования необходимы как минимум уровень 3 по ключевым функциям и отсутствие красных ограничений.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1080"/>
        <w:gridCol w:w="1680"/>
        <w:gridCol w:w="3960"/>
        <w:gridCol w:w="2640"/>
      </w:tblGrid>
      <w:tr>
        <w:trPr>
          <w:tblHeader w:val="true"/>
          <w:cantSplit w:val="true"/>
        </w:trPr>
        <w:tc>
          <w:tcPr>
            <w:tcW w:type="dxa" w:w="108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Уровень</w:t>
            </w:r>
          </w:p>
        </w:tc>
        <w:tc>
          <w:tcPr>
            <w:tcW w:type="dxa" w:w="168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Состояние</w:t>
            </w:r>
          </w:p>
        </w:tc>
        <w:tc>
          <w:tcPr>
            <w:tcW w:type="dxa" w:w="39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Признак</w:t>
            </w:r>
          </w:p>
        </w:tc>
        <w:tc>
          <w:tcPr>
            <w:tcW w:type="dxa" w:w="264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Допустимое действие</w:t>
            </w:r>
          </w:p>
        </w:tc>
      </w:tr>
      <w:tr>
        <w:trPr>
          <w:cantSplit w:val="true"/>
        </w:trPr>
        <w:tc>
          <w:tcPr>
            <w:tcW w:type="dxa" w:w="10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0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Не заявлено</w:t>
            </w:r>
          </w:p>
        </w:tc>
        <w:tc>
          <w:tcPr>
            <w:tcW w:type="dxa" w:w="39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Нет владельца, данных и механизма</w:t>
            </w:r>
          </w:p>
        </w:tc>
        <w:tc>
          <w:tcPr>
            <w:tcW w:type="dxa" w:w="26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Исследование проблемы</w:t>
            </w:r>
          </w:p>
        </w:tc>
      </w:tr>
      <w:tr>
        <w:trPr>
          <w:cantSplit w:val="true"/>
        </w:trPr>
        <w:tc>
          <w:tcPr>
            <w:tcW w:type="dxa" w:w="10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1</w:t>
            </w:r>
          </w:p>
        </w:tc>
        <w:tc>
          <w:tcPr>
            <w:tcW w:type="dxa" w:w="16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Описано</w:t>
            </w:r>
          </w:p>
        </w:tc>
        <w:tc>
          <w:tcPr>
            <w:tcW w:type="dxa" w:w="39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Есть концепция и ответственные, но нет проверяемой практики</w:t>
            </w:r>
          </w:p>
        </w:tc>
        <w:tc>
          <w:tcPr>
            <w:tcW w:type="dxa" w:w="26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Проектирование и сбор данных</w:t>
            </w:r>
          </w:p>
        </w:tc>
      </w:tr>
      <w:tr>
        <w:trPr>
          <w:cantSplit w:val="true"/>
        </w:trPr>
        <w:tc>
          <w:tcPr>
            <w:tcW w:type="dxa" w:w="10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2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Собрано</w:t>
            </w:r>
          </w:p>
        </w:tc>
        <w:tc>
          <w:tcPr>
            <w:tcW w:type="dxa" w:w="39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Есть паспорт, модель, команда, права и план пилота</w:t>
            </w:r>
          </w:p>
        </w:tc>
        <w:tc>
          <w:tcPr>
            <w:tcW w:type="dxa" w:w="26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Ограниченный пилот</w:t>
            </w:r>
          </w:p>
        </w:tc>
      </w:tr>
      <w:tr>
        <w:trPr>
          <w:cantSplit w:val="true"/>
        </w:trPr>
        <w:tc>
          <w:tcPr>
            <w:tcW w:type="dxa" w:w="1080"/>
            <w:vAlign w:val="center"/>
            <w:shd w:fill="F7F9FB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3</w:t>
            </w:r>
          </w:p>
        </w:tc>
        <w:tc>
          <w:tcPr>
            <w:tcW w:type="dxa" w:w="168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Подтверждено</w:t>
            </w:r>
          </w:p>
        </w:tc>
        <w:tc>
          <w:tcPr>
            <w:tcW w:type="dxa" w:w="39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Пилот завершён, результат и риски независимо проверены</w:t>
            </w:r>
          </w:p>
        </w:tc>
        <w:tc>
          <w:tcPr>
            <w:tcW w:type="dxa" w:w="264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Управляемое тиражирование</w:t>
            </w:r>
          </w:p>
        </w:tc>
      </w:tr>
      <w:tr>
        <w:trPr>
          <w:cantSplit w:val="true"/>
        </w:trPr>
        <w:tc>
          <w:tcPr>
            <w:tcW w:type="dxa" w:w="1080"/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4</w:t>
            </w:r>
          </w:p>
        </w:tc>
        <w:tc>
          <w:tcPr>
            <w:tcW w:type="dxa" w:w="168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Институционализировано</w:t>
            </w:r>
          </w:p>
        </w:tc>
        <w:tc>
          <w:tcPr>
            <w:tcW w:type="dxa" w:w="39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Решение повторяется, стандартизировано и обучает систему</w:t>
            </w:r>
          </w:p>
        </w:tc>
        <w:tc>
          <w:tcPr>
            <w:tcW w:type="dxa" w:w="264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Масштаб и международная совместимость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rFonts w:ascii="Calibri" w:hAnsi="Calibri" w:eastAsia="Calibri" w:cs="Calibri"/>
          <w:b/>
          <w:color w:val="2E74B5"/>
          <w:sz w:val="26"/>
        </w:rPr>
        <w:t>Вопросы независимого верификатора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Была ли базовая линия определена до вмешательства?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Можно ли связать изменение с действиями проекта, а не только с внешними факторами?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Является ли эффект дополнительным относительно обычного сценария?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Не перенесён ли ущерб на другую территорию, группу, период или компонент природы?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Соответствуют ли расходы, права, закупки и данные утверждённому паспорту?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Сохраняется ли эффект после завершения финансирования и при изменении условий?</w:t>
      </w:r>
    </w:p>
    <w:p>
      <w:pPr>
        <w:pStyle w:val="Heading1"/>
        <w:keepNext/>
      </w:pPr>
      <w:r>
        <w:rPr>
          <w:rFonts w:ascii="Calibri" w:hAnsi="Calibri" w:eastAsia="Calibri" w:cs="Calibri"/>
          <w:b/>
          <w:color w:val="2E74B5"/>
          <w:sz w:val="32"/>
        </w:rPr>
        <w:t>22. Решение и манифест запуска</w:t>
      </w:r>
    </w:p>
    <w:p>
      <w:pPr/>
      <w:r>
        <w:rPr>
          <w:rFonts w:ascii="Calibri" w:hAnsi="Calibri" w:eastAsia="Calibri" w:cs="Calibri"/>
          <w:color w:val="1D2733"/>
        </w:rPr>
        <w:t>Для перехода от концепции к действию предлагается утвердить ограниченный нулевой цикл без преждевременного развёртывания национальной платформы. Его задача — доказать работоспособность принципа 22:22 на одном полном маршруте инициативы и подготовить пакет решений для пилота.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FF8E8" w:val="clear"/>
          </w:tcPr>
          <w:p>
            <w:pPr>
              <w:spacing w:before="40"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B88A2B"/>
                <w:sz w:val="19"/>
              </w:rPr>
              <w:t xml:space="preserve">ПРЕДЛАГАЕМОЕ РЕШЕНИЕ  </w:t>
            </w:r>
            <w:r>
              <w:rPr>
                <w:rFonts w:ascii="Calibri" w:hAnsi="Calibri" w:eastAsia="Calibri" w:cs="Calibri"/>
                <w:b/>
                <w:color w:val="0A2240"/>
                <w:sz w:val="21"/>
              </w:rPr>
              <w:t>Создать междисциплинарную архитектурную группу ОРИОН 22:22, назначить ИАЦ координационным центром нулевого цикла, выбрать пилотную территорию и утвердить единый паспорт инициативы.</w:t>
            </w:r>
          </w:p>
        </w:tc>
      </w:tr>
    </w:tbl>
    <w:p>
      <w:pPr>
        <w:spacing w:after="20"/>
      </w:pPr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утвердить концепцию как рабочую основу обсуждения;</w:t>
      </w:r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назначить заказчика результата, координатора и архитектурный офис;</w:t>
      </w:r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выбрать одну пилотную территорию и одну приоритетную инициативу;</w:t>
      </w:r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согласовать владельцев данных, независимого верификатора и правовые границы;</w:t>
      </w:r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подготовить смету нулевого цикла и проектное финансирование пилота;</w:t>
      </w:r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 w:cs="Calibri"/>
          <w:color w:val="1D2733"/>
        </w:rPr>
        <w:t>через 100 дней представить демонстрацию полного маршрута и решение о следующем этапе.</w:t>
      </w:r>
    </w:p>
    <w:p>
      <w:pPr>
        <w:pStyle w:val="ORIONDecision"/>
        <w:spacing w:before="360" w:after="240"/>
      </w:pPr>
      <w:r>
        <w:rPr>
          <w:rFonts w:ascii="Calibri" w:hAnsi="Calibri" w:eastAsia="Calibri" w:cs="Calibri"/>
          <w:b/>
          <w:color w:val="0A2240"/>
          <w:sz w:val="30"/>
        </w:rPr>
        <w:t>Манифест</w:t>
      </w:r>
    </w:p>
    <w:p>
      <w:pPr>
        <w:pStyle w:val="ORIONLead"/>
        <w:jc w:val="left"/>
      </w:pPr>
      <w:r>
        <w:rPr>
          <w:rFonts w:ascii="Calibri" w:hAnsi="Calibri" w:eastAsia="Calibri" w:cs="Calibri"/>
          <w:b/>
          <w:color w:val="1F4D78"/>
          <w:sz w:val="25"/>
        </w:rPr>
        <w:t>Мы соединяем смысл с доказательством, данные — с ответственностью, ресурсы — с результатом.</w:t>
      </w:r>
    </w:p>
    <w:p>
      <w:pPr>
        <w:pStyle w:val="ORIONLead"/>
        <w:jc w:val="left"/>
      </w:pPr>
      <w:r>
        <w:rPr>
          <w:rFonts w:ascii="Calibri" w:hAnsi="Calibri" w:eastAsia="Calibri" w:cs="Calibri"/>
          <w:b/>
          <w:color w:val="1F4D78"/>
          <w:sz w:val="25"/>
        </w:rPr>
        <w:t>Мы не строим центр, который подменяет всех; мы создаём общий язык, позволяющий всем действовать согласованно.</w:t>
      </w:r>
    </w:p>
    <w:p>
      <w:pPr>
        <w:pStyle w:val="ORIONLead"/>
        <w:jc w:val="left"/>
      </w:pPr>
      <w:r>
        <w:rPr>
          <w:rFonts w:ascii="Calibri" w:hAnsi="Calibri" w:eastAsia="Calibri" w:cs="Calibri"/>
          <w:b/>
          <w:color w:val="1F4D78"/>
          <w:sz w:val="25"/>
        </w:rPr>
        <w:t>Мы признаём неопределённость, сохраняем право остановки и считаем ошибки источником развития, если они честно зафиксированы.</w:t>
      </w:r>
    </w:p>
    <w:p>
      <w:pPr>
        <w:pStyle w:val="ORIONLead"/>
        <w:jc w:val="left"/>
      </w:pPr>
      <w:r>
        <w:rPr>
          <w:rFonts w:ascii="Calibri" w:hAnsi="Calibri" w:eastAsia="Calibri" w:cs="Calibri"/>
          <w:b/>
          <w:color w:val="1F4D78"/>
          <w:sz w:val="25"/>
        </w:rPr>
        <w:t>Мы защищаем достоинство человека, живые системы Земли, культурное наследие и свободу будущих поколений.</w:t>
      </w:r>
    </w:p>
    <w:p>
      <w:pPr>
        <w:pStyle w:val="ORIONLead"/>
        <w:jc w:val="left"/>
      </w:pPr>
      <w:r>
        <w:rPr>
          <w:rFonts w:ascii="Calibri" w:hAnsi="Calibri" w:eastAsia="Calibri" w:cs="Calibri"/>
          <w:b/>
          <w:color w:val="1F4D78"/>
          <w:sz w:val="25"/>
        </w:rPr>
        <w:t>Мы масштабируем только то, что прошло реальную проверку и может быть понято, повторено и улучшено.</w:t>
      </w:r>
    </w:p>
    <w:p>
      <w:pPr>
        <w:spacing w:after="360"/>
      </w:pPr>
    </w:p>
    <w:p>
      <w:pPr>
        <w:jc w:val="right"/>
      </w:pPr>
      <w:r>
        <w:rPr>
          <w:rFonts w:ascii="Calibri" w:hAnsi="Calibri" w:eastAsia="Calibri" w:cs="Calibri"/>
          <w:b/>
          <w:color w:val="0A2240"/>
          <w:sz w:val="22"/>
        </w:rPr>
        <w:t>Соколов Сергей Леонидович</w:t>
      </w:r>
    </w:p>
    <w:p>
      <w:pPr>
        <w:jc w:val="right"/>
      </w:pPr>
      <w:r>
        <w:rPr>
          <w:rFonts w:ascii="Calibri" w:hAnsi="Calibri" w:eastAsia="Calibri" w:cs="Calibri"/>
          <w:color w:val="B88A2B"/>
          <w:sz w:val="19"/>
        </w:rPr>
        <w:t>SOKOL EQUILIBRIS • ОРИОН 22:22</w:t>
      </w:r>
    </w:p>
    <w:p>
      <w:pPr>
        <w:pStyle w:val="Heading1"/>
        <w:keepNext/>
        <w:pageBreakBefore/>
      </w:pPr>
      <w:r>
        <w:rPr>
          <w:rFonts w:ascii="Calibri" w:hAnsi="Calibri" w:eastAsia="Calibri" w:cs="Calibri"/>
          <w:b/>
          <w:color w:val="2E74B5"/>
          <w:sz w:val="32"/>
        </w:rPr>
        <w:t>Приложение. Ключевые термины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space="0" w:color="CCD3DA"/>
          <w:left w:val="single" w:sz="4" w:space="0" w:color="CCD3DA"/>
          <w:bottom w:val="single" w:sz="4" w:space="0" w:color="CCD3DA"/>
          <w:right w:val="single" w:sz="4" w:space="0" w:color="CCD3DA"/>
          <w:insideH w:val="single" w:sz="4" w:space="0" w:color="CCD3DA"/>
          <w:insideV w:val="single" w:sz="4" w:space="0" w:color="CCD3DA"/>
        </w:tblBorders>
      </w:tblPr>
      <w:tblGrid>
        <w:gridCol w:w="2400"/>
        <w:gridCol w:w="6960"/>
      </w:tblGrid>
      <w:tr>
        <w:trPr>
          <w:tblHeader w:val="true"/>
          <w:cantSplit w:val="true"/>
        </w:trPr>
        <w:tc>
          <w:tcPr>
            <w:tcW w:type="dxa" w:w="240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Термин</w:t>
            </w:r>
          </w:p>
        </w:tc>
        <w:tc>
          <w:tcPr>
            <w:tcW w:type="dxa" w:w="6960"/>
            <w:vAlign w:val="center"/>
            <w:shd w:fill="0A2240" w:val="clea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 w:cs="Calibri"/>
                <w:b/>
                <w:color w:val="FFFFFF"/>
                <w:sz w:val="18"/>
              </w:rPr>
              <w:t>Определение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Базовая линия</w:t>
            </w:r>
          </w:p>
        </w:tc>
        <w:tc>
          <w:tcPr>
            <w:tcW w:type="dxa" w:w="69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Зафиксированное состояние до вмешательства, с учётом естественной вариативности.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Верификация</w:t>
            </w:r>
          </w:p>
        </w:tc>
        <w:tc>
          <w:tcPr>
            <w:tcW w:type="dxa" w:w="69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Независимая проверка данных, метода, результата и существенных побочных эффектов.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Граф смыслов</w:t>
            </w:r>
          </w:p>
        </w:tc>
        <w:tc>
          <w:tcPr>
            <w:tcW w:type="dxa" w:w="69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Связанная модель понятий, целей, причин, субъектов, проектов, рисков и результатов.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Дополнительность</w:t>
            </w:r>
          </w:p>
        </w:tc>
        <w:tc>
          <w:tcPr>
            <w:tcW w:type="dxa" w:w="69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Часть эффекта, которая не возникла бы в обычном сценарии без проекта.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КРИСТАЛЛ 741</w:t>
            </w:r>
          </w:p>
        </w:tc>
        <w:tc>
          <w:tcPr>
            <w:tcW w:type="dxa" w:w="69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Авторское классификационно-модульное ядро 19×13 для адресации элементов системы.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Паспорт инициативы</w:t>
            </w:r>
          </w:p>
        </w:tc>
        <w:tc>
          <w:tcPr>
            <w:tcW w:type="dxa" w:w="69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Структурированная запись происхождения, цели, прав, данных, команды, ресурсов, рисков и критериев результата.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Пакет тиражирования</w:t>
            </w:r>
          </w:p>
        </w:tc>
        <w:tc>
          <w:tcPr>
            <w:tcW w:type="dxa" w:w="69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Набор стандартов, прав, инструкций, моделей, обучения и условий адаптации проверенного решения.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Сквозной идентификатор</w:t>
            </w:r>
          </w:p>
        </w:tc>
        <w:tc>
          <w:tcPr>
            <w:tcW w:type="dxa" w:w="69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Устойчивый код, связывающий представления одного объекта в разных системах.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Цифровой двойник</w:t>
            </w:r>
          </w:p>
        </w:tc>
        <w:tc>
          <w:tcPr>
            <w:tcW w:type="dxa" w:w="69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Обновляемая модель объекта или территории, соединяющая наблюдения, правила и сценарии.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ECO-PPA</w:t>
            </w:r>
          </w:p>
        </w:tc>
        <w:tc>
          <w:tcPr>
            <w:tcW w:type="dxa" w:w="69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Механизм объединения ресурсов и обязательств под измеримый общественно-экологический результат.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ESG-IR</w:t>
            </w:r>
          </w:p>
        </w:tc>
        <w:tc>
          <w:tcPr>
            <w:tcW w:type="dxa" w:w="6960"/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Контур доказательности, отчётности, валидации и оценки воздействия в экосистеме проекта.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Красная линия</w:t>
            </w:r>
          </w:p>
        </w:tc>
        <w:tc>
          <w:tcPr>
            <w:tcW w:type="dxa" w:w="6960"/>
            <w:vAlign w:val="center"/>
            <w:shd w:fill="F7F9FB" w:val="clea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D2733"/>
                <w:sz w:val="18"/>
              </w:rPr>
              <w:t>Условие, при котором инициатива не допускается к продолжению до устранения критического риска.</w:t>
            </w:r>
          </w:p>
        </w:tc>
      </w:tr>
    </w:tbl>
    <w:p>
      <w:pPr>
        <w:spacing w:after="20"/>
      </w:pPr>
    </w:p>
    <w:p>
      <w:pPr>
        <w:jc w:val="left"/>
      </w:pPr>
      <w:r>
        <w:rPr>
          <w:rFonts w:ascii="Calibri" w:hAnsi="Calibri" w:eastAsia="Calibri" w:cs="Calibri"/>
          <w:color w:val="1D2733"/>
        </w:rPr>
        <w:t>Настоящий документ является проектом стратегической концепции и не создаёт сам по себе юридических, финансовых или бюджетных обязательств. Все пилоты подлежат отдельной правовой, финансовой, научной, экологической и технической экспертизе.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after="0"/>
    </w:pPr>
    <w:r>
      <w:rPr>
        <w:rFonts w:ascii="Calibri" w:hAnsi="Calibri" w:eastAsia="Calibri" w:cs="Calibri"/>
        <w:color w:val="5E6A76"/>
        <w:sz w:val="17"/>
      </w:rPr>
      <w:t>Соколов Сергей Леонидович</w:t>
    </w:r>
    <w:r>
      <w:rPr>
        <w:rFonts w:ascii="Calibri" w:hAnsi="Calibri" w:eastAsia="Calibri" w:cs="Calibri"/>
        <w:color w:val="5E6A76"/>
        <w:sz w:val="17"/>
      </w:rPr>
      <w:tab/>
    </w:r>
    <w:r>
      <w:rPr>
        <w:rFonts w:ascii="Calibri" w:hAnsi="Calibri" w:eastAsia="Calibri" w:cs="Calibri"/>
        <w:color w:val="5E6A76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</w:pPr>
    <w:r>
      <w:rPr>
        <w:rFonts w:ascii="Calibri" w:hAnsi="Calibri" w:eastAsia="Calibri" w:cs="Calibri"/>
        <w:b/>
        <w:color w:val="0A2240"/>
        <w:sz w:val="17"/>
      </w:rPr>
      <w:t>ОРИОН 22:22</w:t>
    </w:r>
    <w:r>
      <w:rPr>
        <w:rFonts w:ascii="Calibri" w:hAnsi="Calibri" w:eastAsia="Calibri" w:cs="Calibri"/>
        <w:color w:val="5E6A76"/>
        <w:sz w:val="17"/>
      </w:rPr>
      <w:tab/>
      <w:t>Стратегическая концепция • Версия 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80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80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80"/>
      </w:pPr>
      <w:rPr>
        <w:rFonts w:ascii="Calibri" w:hAnsi="Calibri"/>
      </w:r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80"/>
      </w:pPr>
      <w:rPr>
        <w:rFonts w:ascii="Calibri" w:hAnsi="Calibri"/>
      </w:rPr>
    </w:lvl>
  </w:abstract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  <w:jc w:val="both"/>
    </w:pPr>
    <w:rPr>
      <w:rFonts w:ascii="Calibri" w:hAnsi="Calibri" w:eastAsia="Calibri"/>
      <w:color w:val="1D27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ORIONLead">
    <w:name w:val="ORION Lead"/>
    <w:pPr>
      <w:spacing w:after="200" w:line="283" w:lineRule="auto"/>
      <w:jc w:val="left"/>
    </w:pPr>
    <w:rPr>
      <w:rFonts w:ascii="Calibri" w:hAnsi="Calibri"/>
      <w:b/>
      <w:color w:val="0A2240"/>
      <w:sz w:val="27"/>
    </w:rPr>
  </w:style>
  <w:style w:type="paragraph" w:customStyle="1" w:styleId="ORIONNote">
    <w:name w:val="ORION Note"/>
    <w:pPr>
      <w:spacing w:after="200" w:line="283" w:lineRule="auto"/>
      <w:jc w:val="left"/>
    </w:pPr>
    <w:rPr>
      <w:rFonts w:ascii="Calibri" w:hAnsi="Calibri"/>
      <w:b w:val="0"/>
      <w:color w:val="5E6A76"/>
      <w:sz w:val="18"/>
    </w:rPr>
  </w:style>
  <w:style w:type="paragraph" w:customStyle="1" w:styleId="ORIONDecision">
    <w:name w:val="ORION Decision"/>
    <w:pPr>
      <w:spacing w:after="200" w:line="283" w:lineRule="auto"/>
      <w:jc w:val="left"/>
    </w:pPr>
    <w:rPr>
      <w:rFonts w:ascii="Calibri" w:hAnsi="Calibri"/>
      <w:b/>
      <w:color w:val="0A2240"/>
      <w:sz w:val="2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ОРИОН 22:22 — стратегическая концепция</dc:title>
  <dc:subject>Метаархитектура проекта: 22 функции и 22 измеримых результата</dc:subject>
  <dc:creator>Соколов Сергей Леонидович / SOKOL EQUILIBRIS</dc:creator>
  <cp:keywords>ОРИОН 22:22, ЭКВИЛИБРИУМ, СФЕРА, ECO-PPA, СПЕЦЗАЩИТА, КРИСТАЛЛ 741</cp:keywords>
  <dc:description>Проект концепции для обсуждения и официального согласования.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