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0"/>
        <w:jc w:val="center"/>
      </w:pPr>
      <w:r>
        <w:rPr>
          <w:b/>
          <w:color w:val="16324F"/>
          <w:sz w:val="68"/>
        </w:rPr>
        <w:t>ЭКВИЛИБРИУМ</w:t>
      </w:r>
    </w:p>
    <w:p>
      <w:pPr>
        <w:jc w:val="center"/>
      </w:pPr>
      <w:r>
        <w:rPr>
          <w:b/>
          <w:color w:val="2E5D7B"/>
          <w:sz w:val="48"/>
        </w:rPr>
        <w:t>КАК СОБРАТЬ В ЕДИНОЕ</w:t>
      </w:r>
    </w:p>
    <w:p>
      <w:pPr>
        <w:spacing w:before="360"/>
        <w:jc w:val="center"/>
      </w:pPr>
      <w:r>
        <w:rPr>
          <w:color w:val="3C6E71"/>
          <w:sz w:val="26"/>
        </w:rPr>
        <w:t>Архитектура надсистемы: ОКО → Аналитика → Балансировка → Решение → Исполнение → Обратная связь</w:t>
      </w:r>
    </w:p>
    <w:p>
      <w:pPr>
        <w:spacing w:before="40" w:after="160"/>
        <w:pBdr>
          <w:bottom w:val="single" w:sz="12" w:space="1" w:color="9FB8C8"/>
        </w:pBdr>
      </w:pPr>
    </w:p>
    <w:p>
      <w:pPr>
        <w:spacing w:before="400"/>
        <w:jc w:val="center"/>
      </w:pPr>
      <w:r>
        <w:rPr>
          <w:i/>
          <w:color w:val="5B6770"/>
          <w:sz w:val="24"/>
        </w:rPr>
        <w:t>От множества инициатив — к единому контуру управления реальностью</w:t>
      </w:r>
    </w:p>
    <w:p>
      <w:pPr>
        <w:spacing w:before="2200"/>
        <w:jc w:val="center"/>
      </w:pPr>
      <w:r>
        <w:rPr>
          <w:color w:val="7B8790"/>
          <w:sz w:val="20"/>
        </w:rPr>
        <w:t>Версия 1.0 • 24 августа 2026</w:t>
      </w:r>
    </w:p>
    <w:p>
      <w:r>
        <w:br w:type="page"/>
      </w:r>
    </w:p>
    <w:p>
      <w:pPr>
        <w:pStyle w:val="Heading1"/>
      </w:pPr>
      <w:r>
        <w:t>1. Главная идея: Единое — это архитектура, а не организация</w:t>
      </w:r>
    </w:p>
    <w:p>
      <w:pPr>
        <w:pStyle w:val="Lead"/>
      </w:pPr>
      <w:r>
        <w:t>Собрать всё в Единое означает перестать рассматривать отдельные проекты, институты и платформы как конкурирующие центры. Каждый элемент сохраняет собственную функцию, но начинает работать через общие протоколы идентичности, данных, доверия, проектирования, исполнения и обратной связи.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</w:tcPr>
          <w:p>
            <w:pPr>
              <w:spacing w:after="40"/>
            </w:pPr>
            <w:r>
              <w:rPr>
                <w:b/>
                <w:color w:val="16324F"/>
                <w:sz w:val="22"/>
              </w:rPr>
              <w:t>Формула Единого</w:t>
            </w:r>
          </w:p>
          <w:p>
            <w:pPr>
              <w:spacing w:after="0"/>
            </w:pPr>
            <w:r>
              <w:rPr>
                <w:sz w:val="20"/>
              </w:rPr>
              <w:t>Единое = общее смысловое ядро + единая модель данных + единые реестры + единый контур принятия решений + распределённое исполнение + непрерывная обратная связь.</w:t>
            </w:r>
          </w:p>
        </w:tc>
      </w:tr>
    </w:tbl>
    <w:p>
      <w:pPr>
        <w:spacing w:after="20"/>
      </w:pPr>
    </w:p>
    <w:p>
      <w:pPr>
        <w:pStyle w:val="Callout"/>
      </w:pPr>
      <w:r>
        <w:t>Ключевое различие:</w:t>
      </w:r>
    </w:p>
    <w:p>
      <w:pPr>
        <w:pStyle w:val="ListBullet"/>
        <w:spacing w:after="40"/>
      </w:pPr>
      <w:r>
        <w:t>Централизация — когда всё подчинено одному органу.</w:t>
      </w:r>
    </w:p>
    <w:p>
      <w:pPr>
        <w:pStyle w:val="ListBullet"/>
        <w:spacing w:after="40"/>
      </w:pPr>
      <w:r>
        <w:t>Единство — когда разные органы действуют по совместимым правилам и видят одну картину состояния системы.</w:t>
      </w:r>
    </w:p>
    <w:p>
      <w:pPr>
        <w:pStyle w:val="ListBullet"/>
        <w:spacing w:after="40"/>
      </w:pPr>
      <w:r>
        <w:t>ЭКВИЛИБРИУМ должен быть не «ещё одним ведомством», а операционной системой согласования.</w:t>
      </w:r>
    </w:p>
    <w:p>
      <w:pPr>
        <w:pStyle w:val="Heading1"/>
      </w:pPr>
      <w:r>
        <w:t>2. Роли ключевых контуров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1814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3969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Роль в Едином</w:t>
            </w:r>
          </w:p>
        </w:tc>
        <w:tc>
          <w:tcPr>
            <w:tcW w:type="dxa" w:w="3005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Главный результат</w:t>
            </w:r>
          </w:p>
        </w:tc>
      </w:tr>
      <w:tr>
        <w:tc>
          <w:tcPr>
            <w:tcW w:type="dxa" w:w="1814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ОКО</w:t>
            </w:r>
          </w:p>
        </w:tc>
        <w:tc>
          <w:tcPr>
            <w:tcW w:type="dxa" w:w="396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Наблюдение, сбор сигналов, выявление отклонений</w:t>
            </w:r>
          </w:p>
        </w:tc>
        <w:tc>
          <w:tcPr>
            <w:tcW w:type="dxa" w:w="300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Единая картина состояния</w:t>
            </w:r>
          </w:p>
        </w:tc>
      </w:tr>
      <w:tr>
        <w:tc>
          <w:tcPr>
            <w:tcW w:type="dxa" w:w="181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ЭКВИЛИБРИУМ</w:t>
            </w:r>
          </w:p>
        </w:tc>
        <w:tc>
          <w:tcPr>
            <w:tcW w:type="dxa" w:w="3969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Аналитика, прогноз, балансировка, сценарии</w:t>
            </w:r>
          </w:p>
        </w:tc>
        <w:tc>
          <w:tcPr>
            <w:tcW w:type="dxa" w:w="300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Решения и рекомендации</w:t>
            </w:r>
          </w:p>
        </w:tc>
      </w:tr>
      <w:tr>
        <w:tc>
          <w:tcPr>
            <w:tcW w:type="dxa" w:w="1814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СФЕРА</w:t>
            </w:r>
          </w:p>
        </w:tc>
        <w:tc>
          <w:tcPr>
            <w:tcW w:type="dxa" w:w="396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Среда участия людей, организаций, инициатив и событий</w:t>
            </w:r>
          </w:p>
        </w:tc>
        <w:tc>
          <w:tcPr>
            <w:tcW w:type="dxa" w:w="300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Связность участников</w:t>
            </w:r>
          </w:p>
        </w:tc>
      </w:tr>
      <w:tr>
        <w:tc>
          <w:tcPr>
            <w:tcW w:type="dxa" w:w="181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ECO-PPA</w:t>
            </w:r>
          </w:p>
        </w:tc>
        <w:tc>
          <w:tcPr>
            <w:tcW w:type="dxa" w:w="3969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Механизм упаковки угроз и задач в проектные программы</w:t>
            </w:r>
          </w:p>
        </w:tc>
        <w:tc>
          <w:tcPr>
            <w:tcW w:type="dxa" w:w="300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Портфель измеримых воздействий</w:t>
            </w:r>
          </w:p>
        </w:tc>
      </w:tr>
      <w:tr>
        <w:tc>
          <w:tcPr>
            <w:tcW w:type="dxa" w:w="1814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СПЕЦЗАЩИТА</w:t>
            </w:r>
          </w:p>
        </w:tc>
        <w:tc>
          <w:tcPr>
            <w:tcW w:type="dxa" w:w="396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Кооперация, консорциумы, пилоты, производство, внедрение</w:t>
            </w:r>
          </w:p>
        </w:tc>
        <w:tc>
          <w:tcPr>
            <w:tcW w:type="dxa" w:w="300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Исполнение решений</w:t>
            </w:r>
          </w:p>
        </w:tc>
      </w:tr>
      <w:tr>
        <w:tc>
          <w:tcPr>
            <w:tcW w:type="dxa" w:w="181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ИАЦ</w:t>
            </w:r>
          </w:p>
        </w:tc>
        <w:tc>
          <w:tcPr>
            <w:tcW w:type="dxa" w:w="3969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Экспертно-аналитический и ситуационный контур</w:t>
            </w:r>
          </w:p>
        </w:tc>
        <w:tc>
          <w:tcPr>
            <w:tcW w:type="dxa" w:w="300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Верифицированная аналитика</w:t>
            </w:r>
          </w:p>
        </w:tc>
      </w:tr>
      <w:tr>
        <w:tc>
          <w:tcPr>
            <w:tcW w:type="dxa" w:w="1814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Реестры</w:t>
            </w:r>
          </w:p>
        </w:tc>
        <w:tc>
          <w:tcPr>
            <w:tcW w:type="dxa" w:w="396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Память системы: объекты, права, проекты, показатели, доказательства</w:t>
            </w:r>
          </w:p>
        </w:tc>
        <w:tc>
          <w:tcPr>
            <w:tcW w:type="dxa" w:w="300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Доверенная инфраструктура данных</w:t>
            </w:r>
          </w:p>
        </w:tc>
      </w:tr>
      <w:tr>
        <w:tc>
          <w:tcPr>
            <w:tcW w:type="dxa" w:w="181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Финансовый контур</w:t>
            </w:r>
          </w:p>
        </w:tc>
        <w:tc>
          <w:tcPr>
            <w:tcW w:type="dxa" w:w="3969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Капитализация, расчёты, бюджеты, инвестиционные механизмы</w:t>
            </w:r>
          </w:p>
        </w:tc>
        <w:tc>
          <w:tcPr>
            <w:tcW w:type="dxa" w:w="300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Ресурсное обеспечение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3. Архитектура Единого: семь слоёв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1701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Слой</w:t>
            </w:r>
          </w:p>
        </w:tc>
        <w:tc>
          <w:tcPr>
            <w:tcW w:type="dxa" w:w="4535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Содержание</w:t>
            </w:r>
          </w:p>
        </w:tc>
        <w:tc>
          <w:tcPr>
            <w:tcW w:type="dxa" w:w="2438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Контрольный вопрос</w:t>
            </w:r>
          </w:p>
        </w:tc>
      </w:tr>
      <w:tr>
        <w:tc>
          <w:tcPr>
            <w:tcW w:type="dxa" w:w="170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1. Смысловой</w:t>
            </w:r>
          </w:p>
        </w:tc>
        <w:tc>
          <w:tcPr>
            <w:tcW w:type="dxa" w:w="45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Цели, ценности, ограничения, универсальные принципы</w:t>
            </w:r>
          </w:p>
        </w:tc>
        <w:tc>
          <w:tcPr>
            <w:tcW w:type="dxa" w:w="2438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Зачем существует система?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2. Идентичность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Люди, организации, территории, проекты, активы</w:t>
            </w:r>
          </w:p>
        </w:tc>
        <w:tc>
          <w:tcPr>
            <w:tcW w:type="dxa" w:w="2438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Кто и что участвует?</w:t>
            </w:r>
          </w:p>
        </w:tc>
      </w:tr>
      <w:tr>
        <w:tc>
          <w:tcPr>
            <w:tcW w:type="dxa" w:w="170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3. Данные</w:t>
            </w:r>
          </w:p>
        </w:tc>
        <w:tc>
          <w:tcPr>
            <w:tcW w:type="dxa" w:w="45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Сенсоры, документы, отчётность, события, внешние источники</w:t>
            </w:r>
          </w:p>
        </w:tc>
        <w:tc>
          <w:tcPr>
            <w:tcW w:type="dxa" w:w="2438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Что происходит?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4. Знание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Онтологии, реестры, классификаторы, графы связей</w:t>
            </w:r>
          </w:p>
        </w:tc>
        <w:tc>
          <w:tcPr>
            <w:tcW w:type="dxa" w:w="2438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Что это значит?</w:t>
            </w:r>
          </w:p>
        </w:tc>
      </w:tr>
      <w:tr>
        <w:tc>
          <w:tcPr>
            <w:tcW w:type="dxa" w:w="170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5. Интеллект</w:t>
            </w:r>
          </w:p>
        </w:tc>
        <w:tc>
          <w:tcPr>
            <w:tcW w:type="dxa" w:w="45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ОКО, ИАЦ, ИИ-модели, прогноз, риск-анализ</w:t>
            </w:r>
          </w:p>
        </w:tc>
        <w:tc>
          <w:tcPr>
            <w:tcW w:type="dxa" w:w="2438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Что вероятно произойдёт?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6. Управление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Приоритеты, сценарии, протоколы, права решений</w:t>
            </w:r>
          </w:p>
        </w:tc>
        <w:tc>
          <w:tcPr>
            <w:tcW w:type="dxa" w:w="2438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Что нужно сделать?</w:t>
            </w:r>
          </w:p>
        </w:tc>
      </w:tr>
      <w:tr>
        <w:tc>
          <w:tcPr>
            <w:tcW w:type="dxa" w:w="170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7. Исполнение</w:t>
            </w:r>
          </w:p>
        </w:tc>
        <w:tc>
          <w:tcPr>
            <w:tcW w:type="dxa" w:w="45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СПЕЦЗАЩИТА, партнёры, проекты, финансы, логистика</w:t>
            </w:r>
          </w:p>
        </w:tc>
        <w:tc>
          <w:tcPr>
            <w:tcW w:type="dxa" w:w="2438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Кто, когда и чем реализует?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8F4EE"/>
          </w:tcPr>
          <w:p>
            <w:pPr>
              <w:spacing w:after="40"/>
            </w:pPr>
            <w:r>
              <w:rPr>
                <w:b/>
                <w:color w:val="16324F"/>
                <w:sz w:val="22"/>
              </w:rPr>
              <w:t>Принцип сквозного цикла</w:t>
            </w:r>
          </w:p>
          <w:p>
            <w:pPr>
              <w:spacing w:after="0"/>
            </w:pPr>
            <w:r>
              <w:rPr>
                <w:sz w:val="20"/>
              </w:rPr>
              <w:t>Ни один проект не существует отдельно: каждый объект проходит путь «сигнал → верификация → модель → решение → ресурс → исполнение → измерение эффекта → обновление модели».</w:t>
            </w:r>
          </w:p>
        </w:tc>
      </w:tr>
    </w:tbl>
    <w:p>
      <w:pPr>
        <w:spacing w:after="20"/>
      </w:pPr>
    </w:p>
    <w:p>
      <w:pPr>
        <w:pStyle w:val="Heading1"/>
      </w:pPr>
      <w:r>
        <w:t>4. ОКО как орган чувств Единого</w:t>
      </w:r>
    </w:p>
    <w:p>
      <w:pPr>
        <w:pStyle w:val="Lead"/>
      </w:pPr>
      <w:r>
        <w:t>ОКО должно видеть не всё подряд, а только то, что необходимо для управления отклонениями. Его задача — превращать разрозненные сигналы в наблюдаемую модель состояния.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1701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Канал ОКО</w:t>
            </w:r>
          </w:p>
        </w:tc>
        <w:tc>
          <w:tcPr>
            <w:tcW w:type="dxa" w:w="4535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Что наблюдает</w:t>
            </w:r>
          </w:p>
        </w:tc>
        <w:tc>
          <w:tcPr>
            <w:tcW w:type="dxa" w:w="2438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Выход</w:t>
            </w:r>
          </w:p>
        </w:tc>
      </w:tr>
      <w:tr>
        <w:tc>
          <w:tcPr>
            <w:tcW w:type="dxa" w:w="170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Природа</w:t>
            </w:r>
          </w:p>
        </w:tc>
        <w:tc>
          <w:tcPr>
            <w:tcW w:type="dxa" w:w="45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воздух, вода, почва, биоценоз, климатические и техногенные факторы</w:t>
            </w:r>
          </w:p>
        </w:tc>
        <w:tc>
          <w:tcPr>
            <w:tcW w:type="dxa" w:w="2438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экологические индексы и угрозы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Человек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качество жизни, участие, компетенции, доступ к сервисам</w:t>
            </w:r>
          </w:p>
        </w:tc>
        <w:tc>
          <w:tcPr>
            <w:tcW w:type="dxa" w:w="2438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социальные показатели</w:t>
            </w:r>
          </w:p>
        </w:tc>
      </w:tr>
      <w:tr>
        <w:tc>
          <w:tcPr>
            <w:tcW w:type="dxa" w:w="170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Экономика</w:t>
            </w:r>
          </w:p>
        </w:tc>
        <w:tc>
          <w:tcPr>
            <w:tcW w:type="dxa" w:w="45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производство, ресурсы, занятость, логистика, инвестиции</w:t>
            </w:r>
          </w:p>
        </w:tc>
        <w:tc>
          <w:tcPr>
            <w:tcW w:type="dxa" w:w="2438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экономические балансы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Инфраструктура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энергия, транспорт, связь, ЖКХ, критические объекты</w:t>
            </w:r>
          </w:p>
        </w:tc>
        <w:tc>
          <w:tcPr>
            <w:tcW w:type="dxa" w:w="2438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устойчивость инфраструктуры</w:t>
            </w:r>
          </w:p>
        </w:tc>
      </w:tr>
      <w:tr>
        <w:tc>
          <w:tcPr>
            <w:tcW w:type="dxa" w:w="170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Управление</w:t>
            </w:r>
          </w:p>
        </w:tc>
        <w:tc>
          <w:tcPr>
            <w:tcW w:type="dxa" w:w="45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сроки, поручения, проекты, бюджеты, нормативные ограничения</w:t>
            </w:r>
          </w:p>
        </w:tc>
        <w:tc>
          <w:tcPr>
            <w:tcW w:type="dxa" w:w="2438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исполнительская дисциплина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Смыслы и события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информационные тренды, культурные процессы, общественные сигналы</w:t>
            </w:r>
          </w:p>
        </w:tc>
        <w:tc>
          <w:tcPr>
            <w:tcW w:type="dxa" w:w="2438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карта изменений и напряжений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5. ЭКВИЛИБРИУМ как ядро балансировки</w:t>
      </w:r>
    </w:p>
    <w:p>
      <w:pPr>
        <w:pStyle w:val="Lead"/>
      </w:pPr>
      <w:r>
        <w:t>ЭКВИЛИБРИУМ получает данные ОКА и не просто показывает проблему, а строит карту причин, последствий, дефицитов, конфликтующих интересов и возможных вариантов действия.</w:t>
      </w:r>
    </w:p>
    <w:p>
      <w:pPr>
        <w:pStyle w:val="ListNumber"/>
        <w:spacing w:after="60"/>
      </w:pPr>
      <w:r>
        <w:t>Зафиксировать факт и уровень доверия к данным.</w:t>
      </w:r>
    </w:p>
    <w:p>
      <w:pPr>
        <w:pStyle w:val="ListNumber"/>
        <w:spacing w:after="60"/>
      </w:pPr>
      <w:r>
        <w:t>Определить отклонение от целевого состояния.</w:t>
      </w:r>
    </w:p>
    <w:p>
      <w:pPr>
        <w:pStyle w:val="ListNumber"/>
        <w:spacing w:after="60"/>
      </w:pPr>
      <w:r>
        <w:t>Построить причинно-следственный граф.</w:t>
      </w:r>
    </w:p>
    <w:p>
      <w:pPr>
        <w:pStyle w:val="ListNumber"/>
        <w:spacing w:after="60"/>
      </w:pPr>
      <w:r>
        <w:t>Оценить сценарии: ничего не делать / локально вмешаться / системно перестроить.</w:t>
      </w:r>
    </w:p>
    <w:p>
      <w:pPr>
        <w:pStyle w:val="ListNumber"/>
        <w:spacing w:after="60"/>
      </w:pPr>
      <w:r>
        <w:t>Рассчитать ресурсную цену сценариев.</w:t>
      </w:r>
    </w:p>
    <w:p>
      <w:pPr>
        <w:pStyle w:val="ListNumber"/>
        <w:spacing w:after="60"/>
      </w:pPr>
      <w:r>
        <w:t>Выбрать вариант с наилучшим отношением эффекта, риска и стоимости.</w:t>
      </w:r>
    </w:p>
    <w:p>
      <w:pPr>
        <w:pStyle w:val="ListNumber"/>
        <w:spacing w:after="60"/>
      </w:pPr>
      <w:r>
        <w:t>Передать решение в исполнительный контур и определить измеримые критерии результата.</w:t>
      </w:r>
    </w:p>
    <w:p>
      <w:pPr>
        <w:pStyle w:val="ListNumber"/>
        <w:spacing w:after="60"/>
      </w:pPr>
      <w:r>
        <w:t>Получить обратную связь и обновить модель.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4E5"/>
          </w:tcPr>
          <w:p>
            <w:pPr>
              <w:spacing w:after="40"/>
            </w:pPr>
            <w:r>
              <w:rPr>
                <w:b/>
                <w:color w:val="16324F"/>
                <w:sz w:val="22"/>
              </w:rPr>
              <w:t>Главный критерий</w:t>
            </w:r>
          </w:p>
          <w:p>
            <w:pPr>
              <w:spacing w:after="0"/>
            </w:pPr>
            <w:r>
              <w:rPr>
                <w:sz w:val="20"/>
              </w:rPr>
              <w:t>Решение считается правильным не потому, что его одобрил центр, а потому, что после исполнения измеряемые показатели системы устойчиво улучшились.</w:t>
            </w:r>
          </w:p>
        </w:tc>
      </w:tr>
    </w:tbl>
    <w:p>
      <w:pPr>
        <w:spacing w:after="20"/>
      </w:pPr>
    </w:p>
    <w:p>
      <w:pPr>
        <w:pStyle w:val="Heading1"/>
      </w:pPr>
      <w:r>
        <w:t>6. Единая модель данных и реестров</w:t>
      </w:r>
    </w:p>
    <w:p>
      <w:pPr>
        <w:pStyle w:val="Lead"/>
      </w:pPr>
      <w:r>
        <w:t>Без общей модели данных Единое невозможно. Необходимо договориться о базовых сущностях, которые одинаково понимаются во всех модулях.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1814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Базовая сущность</w:t>
            </w:r>
          </w:p>
        </w:tc>
        <w:tc>
          <w:tcPr>
            <w:tcW w:type="dxa" w:w="3969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Примеры</w:t>
            </w:r>
          </w:p>
        </w:tc>
        <w:tc>
          <w:tcPr>
            <w:tcW w:type="dxa" w:w="2891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Обязательные связи</w:t>
            </w:r>
          </w:p>
        </w:tc>
      </w:tr>
      <w:tr>
        <w:tc>
          <w:tcPr>
            <w:tcW w:type="dxa" w:w="1814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Субъект</w:t>
            </w:r>
          </w:p>
        </w:tc>
        <w:tc>
          <w:tcPr>
            <w:tcW w:type="dxa" w:w="396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человек, организация, орган власти, сообщество</w:t>
            </w:r>
          </w:p>
        </w:tc>
        <w:tc>
          <w:tcPr>
            <w:tcW w:type="dxa" w:w="289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роль, права, компетенции, ответственность</w:t>
            </w:r>
          </w:p>
        </w:tc>
      </w:tr>
      <w:tr>
        <w:tc>
          <w:tcPr>
            <w:tcW w:type="dxa" w:w="181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Объект</w:t>
            </w:r>
          </w:p>
        </w:tc>
        <w:tc>
          <w:tcPr>
            <w:tcW w:type="dxa" w:w="3969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земля, предприятие, технология, культурная ценность, инфраструктура</w:t>
            </w:r>
          </w:p>
        </w:tc>
        <w:tc>
          <w:tcPr>
            <w:tcW w:type="dxa" w:w="289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владелец, состояние, география, документы</w:t>
            </w:r>
          </w:p>
        </w:tc>
      </w:tr>
      <w:tr>
        <w:tc>
          <w:tcPr>
            <w:tcW w:type="dxa" w:w="1814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Событие</w:t>
            </w:r>
          </w:p>
        </w:tc>
        <w:tc>
          <w:tcPr>
            <w:tcW w:type="dxa" w:w="396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авария, заявка, сделка, измерение, решение, поручение</w:t>
            </w:r>
          </w:p>
        </w:tc>
        <w:tc>
          <w:tcPr>
            <w:tcW w:type="dxa" w:w="289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время, источник, достоверность, последствия</w:t>
            </w:r>
          </w:p>
        </w:tc>
      </w:tr>
      <w:tr>
        <w:tc>
          <w:tcPr>
            <w:tcW w:type="dxa" w:w="181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Проект</w:t>
            </w:r>
          </w:p>
        </w:tc>
        <w:tc>
          <w:tcPr>
            <w:tcW w:type="dxa" w:w="3969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пилот, программа, концессия, PPA, НИОКР</w:t>
            </w:r>
          </w:p>
        </w:tc>
        <w:tc>
          <w:tcPr>
            <w:tcW w:type="dxa" w:w="289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цель, бюджет, участники, KPI, риски</w:t>
            </w:r>
          </w:p>
        </w:tc>
      </w:tr>
      <w:tr>
        <w:tc>
          <w:tcPr>
            <w:tcW w:type="dxa" w:w="1814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Ресурс</w:t>
            </w:r>
          </w:p>
        </w:tc>
        <w:tc>
          <w:tcPr>
            <w:tcW w:type="dxa" w:w="396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деньги, материалы, энергия, труд, данные, права</w:t>
            </w:r>
          </w:p>
        </w:tc>
        <w:tc>
          <w:tcPr>
            <w:tcW w:type="dxa" w:w="289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источник, доступность, ограничения</w:t>
            </w:r>
          </w:p>
        </w:tc>
      </w:tr>
      <w:tr>
        <w:tc>
          <w:tcPr>
            <w:tcW w:type="dxa" w:w="181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Показатель</w:t>
            </w:r>
          </w:p>
        </w:tc>
        <w:tc>
          <w:tcPr>
            <w:tcW w:type="dxa" w:w="3969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социальный, экологический, экономический, технологический</w:t>
            </w:r>
          </w:p>
        </w:tc>
        <w:tc>
          <w:tcPr>
            <w:tcW w:type="dxa" w:w="289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методика, период, базовое и целевое значение</w:t>
            </w:r>
          </w:p>
        </w:tc>
      </w:tr>
      <w:tr>
        <w:tc>
          <w:tcPr>
            <w:tcW w:type="dxa" w:w="1814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Доказательство</w:t>
            </w:r>
          </w:p>
        </w:tc>
        <w:tc>
          <w:tcPr>
            <w:tcW w:type="dxa" w:w="396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акт, сенсорное измерение, отчёт, фото, аудит, транзакция</w:t>
            </w:r>
          </w:p>
        </w:tc>
        <w:tc>
          <w:tcPr>
            <w:tcW w:type="dxa" w:w="289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автор, время, неизменность, статус верификации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7. Как связать всё технически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1814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Уровень</w:t>
            </w:r>
          </w:p>
        </w:tc>
        <w:tc>
          <w:tcPr>
            <w:tcW w:type="dxa" w:w="4025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Что необходимо</w:t>
            </w:r>
          </w:p>
        </w:tc>
        <w:tc>
          <w:tcPr>
            <w:tcW w:type="dxa" w:w="2835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Практический результат</w:t>
            </w:r>
          </w:p>
        </w:tc>
      </w:tr>
      <w:tr>
        <w:tc>
          <w:tcPr>
            <w:tcW w:type="dxa" w:w="1814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Единый ID</w:t>
            </w:r>
          </w:p>
        </w:tc>
        <w:tc>
          <w:tcPr>
            <w:tcW w:type="dxa" w:w="402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единые идентификаторы субъектов, объектов, проектов и документов</w:t>
            </w:r>
          </w:p>
        </w:tc>
        <w:tc>
          <w:tcPr>
            <w:tcW w:type="dxa" w:w="28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системы понимают, что говорят об одном и том же</w:t>
            </w:r>
          </w:p>
        </w:tc>
      </w:tr>
      <w:tr>
        <w:tc>
          <w:tcPr>
            <w:tcW w:type="dxa" w:w="181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API-шина</w:t>
            </w:r>
          </w:p>
        </w:tc>
        <w:tc>
          <w:tcPr>
            <w:tcW w:type="dxa" w:w="402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стандарт обмена между модулями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данные не копируются вручную</w:t>
            </w:r>
          </w:p>
        </w:tc>
      </w:tr>
      <w:tr>
        <w:tc>
          <w:tcPr>
            <w:tcW w:type="dxa" w:w="1814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Событийная шина</w:t>
            </w:r>
          </w:p>
        </w:tc>
        <w:tc>
          <w:tcPr>
            <w:tcW w:type="dxa" w:w="402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регистрация значимых событий</w:t>
            </w:r>
          </w:p>
        </w:tc>
        <w:tc>
          <w:tcPr>
            <w:tcW w:type="dxa" w:w="28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ОКО видит изменения в реальном времени</w:t>
            </w:r>
          </w:p>
        </w:tc>
      </w:tr>
      <w:tr>
        <w:tc>
          <w:tcPr>
            <w:tcW w:type="dxa" w:w="181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Граф знаний</w:t>
            </w:r>
          </w:p>
        </w:tc>
        <w:tc>
          <w:tcPr>
            <w:tcW w:type="dxa" w:w="402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связи между сущностями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видны причины, зависимости, влияние и конфликты</w:t>
            </w:r>
          </w:p>
        </w:tc>
      </w:tr>
      <w:tr>
        <w:tc>
          <w:tcPr>
            <w:tcW w:type="dxa" w:w="1814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Реестр правил</w:t>
            </w:r>
          </w:p>
        </w:tc>
        <w:tc>
          <w:tcPr>
            <w:tcW w:type="dxa" w:w="402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машиночитаемые регламенты и пороги</w:t>
            </w:r>
          </w:p>
        </w:tc>
        <w:tc>
          <w:tcPr>
            <w:tcW w:type="dxa" w:w="28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решения становятся воспроизводимыми</w:t>
            </w:r>
          </w:p>
        </w:tc>
      </w:tr>
      <w:tr>
        <w:tc>
          <w:tcPr>
            <w:tcW w:type="dxa" w:w="181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Ролевой доступ</w:t>
            </w:r>
          </w:p>
        </w:tc>
        <w:tc>
          <w:tcPr>
            <w:tcW w:type="dxa" w:w="402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разделение прав просмотра, изменения и утверждения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безопасность и ответственность</w:t>
            </w:r>
          </w:p>
        </w:tc>
      </w:tr>
      <w:tr>
        <w:tc>
          <w:tcPr>
            <w:tcW w:type="dxa" w:w="1814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Журнал решений</w:t>
            </w:r>
          </w:p>
        </w:tc>
        <w:tc>
          <w:tcPr>
            <w:tcW w:type="dxa" w:w="402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кто, на основании чего и что решил</w:t>
            </w:r>
          </w:p>
        </w:tc>
        <w:tc>
          <w:tcPr>
            <w:tcW w:type="dxa" w:w="28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аудит и доверие</w:t>
            </w:r>
          </w:p>
        </w:tc>
      </w:tr>
      <w:tr>
        <w:tc>
          <w:tcPr>
            <w:tcW w:type="dxa" w:w="181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Контур доказательств</w:t>
            </w:r>
          </w:p>
        </w:tc>
        <w:tc>
          <w:tcPr>
            <w:tcW w:type="dxa" w:w="402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верификация результата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борьба с отчётностью ради отчётности</w:t>
            </w:r>
          </w:p>
        </w:tc>
      </w:tr>
    </w:tbl>
    <w:p>
      <w:pPr>
        <w:spacing w:after="40"/>
      </w:pPr>
    </w:p>
    <w:p>
      <w:pPr>
        <w:pStyle w:val="Heading1"/>
      </w:pPr>
      <w:r>
        <w:t>8. Единый цикл управления</w:t>
      </w:r>
    </w:p>
    <w:p>
      <w:pPr>
        <w:pStyle w:val="ListNumber"/>
        <w:spacing w:after="60"/>
      </w:pPr>
      <w:r>
        <w:t>НАБЛЮДАТЬ — ОКО собирает сигналы и фиксирует отклонения.</w:t>
      </w:r>
    </w:p>
    <w:p>
      <w:pPr>
        <w:pStyle w:val="ListNumber"/>
        <w:spacing w:after="60"/>
      </w:pPr>
      <w:r>
        <w:t>ПОНИМАТЬ — ИАЦ и ЭКВИЛИБРИУМ верифицируют данные и строят модель.</w:t>
      </w:r>
    </w:p>
    <w:p>
      <w:pPr>
        <w:pStyle w:val="ListNumber"/>
        <w:spacing w:after="60"/>
      </w:pPr>
      <w:r>
        <w:t>ПРОГНОЗИРОВАТЬ — оцениваются сценарии и будущие состояния.</w:t>
      </w:r>
    </w:p>
    <w:p>
      <w:pPr>
        <w:pStyle w:val="ListNumber"/>
        <w:spacing w:after="60"/>
      </w:pPr>
      <w:r>
        <w:t>РЕШАТЬ — выбирается приоритет и назначается ответственная коалиция.</w:t>
      </w:r>
    </w:p>
    <w:p>
      <w:pPr>
        <w:pStyle w:val="ListNumber"/>
        <w:spacing w:after="60"/>
      </w:pPr>
      <w:r>
        <w:t>РЕСУРСИРОВАТЬ — закрепляются бюджет, финансирование, технологии и исполнители.</w:t>
      </w:r>
    </w:p>
    <w:p>
      <w:pPr>
        <w:pStyle w:val="ListNumber"/>
        <w:spacing w:after="60"/>
      </w:pPr>
      <w:r>
        <w:t>ИСПОЛНЯТЬ — СПЕЦЗАЩИТА и партнёры проводят пилот или программу.</w:t>
      </w:r>
    </w:p>
    <w:p>
      <w:pPr>
        <w:pStyle w:val="ListNumber"/>
        <w:spacing w:after="60"/>
      </w:pPr>
      <w:r>
        <w:t>ИЗМЕРЯТЬ — результат подтверждается показателями и доказательствами.</w:t>
      </w:r>
    </w:p>
    <w:p>
      <w:pPr>
        <w:pStyle w:val="ListNumber"/>
        <w:spacing w:after="60"/>
      </w:pPr>
      <w:r>
        <w:t>ОБУЧАТЬСЯ — модель, правила и приоритеты обновляются.</w:t>
      </w:r>
    </w:p>
    <w:p>
      <w:r>
        <w:br w:type="page"/>
      </w:r>
    </w:p>
    <w:p>
      <w:pPr>
        <w:pStyle w:val="Heading1"/>
      </w:pPr>
      <w:r>
        <w:t>9. Управление: не пирамида, а федерация контуров</w:t>
      </w:r>
    </w:p>
    <w:p>
      <w:pPr>
        <w:pStyle w:val="Lead"/>
      </w:pPr>
      <w:r>
        <w:t>Для Единого нужна архитектура полномочий, в которой стратегический уровень не забирает операционную работу, а устанавливает рамки, приоритеты и правила совместимости.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1701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Уровень</w:t>
            </w:r>
          </w:p>
        </w:tc>
        <w:tc>
          <w:tcPr>
            <w:tcW w:type="dxa" w:w="4139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Решает</w:t>
            </w:r>
          </w:p>
        </w:tc>
        <w:tc>
          <w:tcPr>
            <w:tcW w:type="dxa" w:w="2835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Не должен делать</w:t>
            </w:r>
          </w:p>
        </w:tc>
      </w:tr>
      <w:tr>
        <w:tc>
          <w:tcPr>
            <w:tcW w:type="dxa" w:w="170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Стратегический</w:t>
            </w:r>
          </w:p>
        </w:tc>
        <w:tc>
          <w:tcPr>
            <w:tcW w:type="dxa" w:w="413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цели, ограничения, долгосрочные приоритеты, критические риски</w:t>
            </w:r>
          </w:p>
        </w:tc>
        <w:tc>
          <w:tcPr>
            <w:tcW w:type="dxa" w:w="28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ручное управление каждой задачей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Системный</w:t>
            </w:r>
          </w:p>
        </w:tc>
        <w:tc>
          <w:tcPr>
            <w:tcW w:type="dxa" w:w="4139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архитектура, стандарты, реестры, методики, балансы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подменять отраслевых экспертов</w:t>
            </w:r>
          </w:p>
        </w:tc>
      </w:tr>
      <w:tr>
        <w:tc>
          <w:tcPr>
            <w:tcW w:type="dxa" w:w="170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Программный</w:t>
            </w:r>
          </w:p>
        </w:tc>
        <w:tc>
          <w:tcPr>
            <w:tcW w:type="dxa" w:w="413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портфели проектов, бюджеты, KPI, коалиции</w:t>
            </w:r>
          </w:p>
        </w:tc>
        <w:tc>
          <w:tcPr>
            <w:tcW w:type="dxa" w:w="28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размывать ответственность между участниками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Исполнительный</w:t>
            </w:r>
          </w:p>
        </w:tc>
        <w:tc>
          <w:tcPr>
            <w:tcW w:type="dxa" w:w="4139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контракты, производство, логистика, внедрение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менять стратегические правила по ходу исполнения</w:t>
            </w:r>
          </w:p>
        </w:tc>
      </w:tr>
      <w:tr>
        <w:tc>
          <w:tcPr>
            <w:tcW w:type="dxa" w:w="170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Контрольный</w:t>
            </w:r>
          </w:p>
        </w:tc>
        <w:tc>
          <w:tcPr>
            <w:tcW w:type="dxa" w:w="413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верификация, аудит, доказательства, обратная связь</w:t>
            </w:r>
          </w:p>
        </w:tc>
        <w:tc>
          <w:tcPr>
            <w:tcW w:type="dxa" w:w="28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становиться отдельным центром власти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EF3FA"/>
          </w:tcPr>
          <w:p>
            <w:pPr>
              <w:spacing w:after="40"/>
            </w:pPr>
            <w:r>
              <w:rPr>
                <w:b/>
                <w:color w:val="16324F"/>
                <w:sz w:val="22"/>
              </w:rPr>
              <w:t>Принцип субсидиарности</w:t>
            </w:r>
          </w:p>
          <w:p>
            <w:pPr>
              <w:spacing w:after="0"/>
            </w:pPr>
            <w:r>
              <w:rPr>
                <w:sz w:val="20"/>
              </w:rPr>
              <w:t>Решение принимается на минимальном уровне, который способен его качественно принять. Наверх поднимаются только конфликты, межконтурные зависимости и системные риски.</w:t>
            </w:r>
          </w:p>
        </w:tc>
      </w:tr>
    </w:tbl>
    <w:p>
      <w:pPr>
        <w:spacing w:after="20"/>
      </w:pPr>
    </w:p>
    <w:p>
      <w:pPr>
        <w:pStyle w:val="Heading1"/>
      </w:pPr>
      <w:r>
        <w:t>10. Что объединять, а что сохранять раздельным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4365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Объединять обязательно</w:t>
            </w:r>
          </w:p>
        </w:tc>
        <w:tc>
          <w:tcPr>
            <w:tcW w:type="dxa" w:w="4365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Сохранять автономным</w:t>
            </w:r>
          </w:p>
        </w:tc>
      </w:tr>
      <w:tr>
        <w:tc>
          <w:tcPr>
            <w:tcW w:type="dxa" w:w="436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идентификаторы и справочники</w:t>
            </w:r>
          </w:p>
        </w:tc>
        <w:tc>
          <w:tcPr>
            <w:tcW w:type="dxa" w:w="436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бренды и публичные роли проектов</w:t>
            </w:r>
          </w:p>
        </w:tc>
      </w:tr>
      <w:tr>
        <w:tc>
          <w:tcPr>
            <w:tcW w:type="dxa" w:w="436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модель данных и граф связей</w:t>
            </w:r>
          </w:p>
        </w:tc>
        <w:tc>
          <w:tcPr>
            <w:tcW w:type="dxa" w:w="436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отраслевые методики и экспертные школы</w:t>
            </w:r>
          </w:p>
        </w:tc>
      </w:tr>
      <w:tr>
        <w:tc>
          <w:tcPr>
            <w:tcW w:type="dxa" w:w="436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правила доверия и верификации</w:t>
            </w:r>
          </w:p>
        </w:tc>
        <w:tc>
          <w:tcPr>
            <w:tcW w:type="dxa" w:w="436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операционные команды</w:t>
            </w:r>
          </w:p>
        </w:tc>
      </w:tr>
      <w:tr>
        <w:tc>
          <w:tcPr>
            <w:tcW w:type="dxa" w:w="436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портфель проектов и показатели</w:t>
            </w:r>
          </w:p>
        </w:tc>
        <w:tc>
          <w:tcPr>
            <w:tcW w:type="dxa" w:w="436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юридические лица и договорные контуры</w:t>
            </w:r>
          </w:p>
        </w:tc>
      </w:tr>
      <w:tr>
        <w:tc>
          <w:tcPr>
            <w:tcW w:type="dxa" w:w="436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контур решений и обратной связи</w:t>
            </w:r>
          </w:p>
        </w:tc>
        <w:tc>
          <w:tcPr>
            <w:tcW w:type="dxa" w:w="436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частные технологические стеки, если они совместимы по API</w:t>
            </w:r>
          </w:p>
        </w:tc>
      </w:tr>
      <w:tr>
        <w:tc>
          <w:tcPr>
            <w:tcW w:type="dxa" w:w="436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архив и журнал доказательств</w:t>
            </w:r>
          </w:p>
        </w:tc>
        <w:tc>
          <w:tcPr>
            <w:tcW w:type="dxa" w:w="436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локальные интерфейсы для разных аудиторий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11. MVP Единого: минимальная рабочая версия</w:t>
      </w:r>
    </w:p>
    <w:p>
      <w:pPr>
        <w:pStyle w:val="Lead"/>
      </w:pPr>
      <w:r>
        <w:t>Начинать нужно не с глобальной платформы, а с одного замкнутого контура, где можно доказать принцип на практике.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2268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Компонент MVP</w:t>
            </w:r>
          </w:p>
        </w:tc>
        <w:tc>
          <w:tcPr>
            <w:tcW w:type="dxa" w:w="6463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Минимум</w:t>
            </w:r>
          </w:p>
        </w:tc>
      </w:tr>
      <w:tr>
        <w:tc>
          <w:tcPr>
            <w:tcW w:type="dxa" w:w="2268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Единый каталог</w:t>
            </w:r>
          </w:p>
        </w:tc>
        <w:tc>
          <w:tcPr>
            <w:tcW w:type="dxa" w:w="6463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20–50 объектов/проектов, 30–100 участников, единые ID</w:t>
            </w:r>
          </w:p>
        </w:tc>
      </w:tr>
      <w:tr>
        <w:tc>
          <w:tcPr>
            <w:tcW w:type="dxa" w:w="2268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ОКО</w:t>
            </w:r>
          </w:p>
        </w:tc>
        <w:tc>
          <w:tcPr>
            <w:tcW w:type="dxa" w:w="646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10–20 ключевых показателей и карта событий</w:t>
            </w:r>
          </w:p>
        </w:tc>
      </w:tr>
      <w:tr>
        <w:tc>
          <w:tcPr>
            <w:tcW w:type="dxa" w:w="2268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ЭКВИЛИБРИУМ</w:t>
            </w:r>
          </w:p>
        </w:tc>
        <w:tc>
          <w:tcPr>
            <w:tcW w:type="dxa" w:w="6463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3–5 правил выявления дисбаланса и сценарный анализ</w:t>
            </w:r>
          </w:p>
        </w:tc>
      </w:tr>
      <w:tr>
        <w:tc>
          <w:tcPr>
            <w:tcW w:type="dxa" w:w="2268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Граф связей</w:t>
            </w:r>
          </w:p>
        </w:tc>
        <w:tc>
          <w:tcPr>
            <w:tcW w:type="dxa" w:w="646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субъект ↔ объект ↔ проект ↔ ресурс ↔ показатель ↔ доказательство</w:t>
            </w:r>
          </w:p>
        </w:tc>
      </w:tr>
      <w:tr>
        <w:tc>
          <w:tcPr>
            <w:tcW w:type="dxa" w:w="2268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Панель решений</w:t>
            </w:r>
          </w:p>
        </w:tc>
        <w:tc>
          <w:tcPr>
            <w:tcW w:type="dxa" w:w="6463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проблема, причина, сценарии, решение, ответственный, срок</w:t>
            </w:r>
          </w:p>
        </w:tc>
      </w:tr>
      <w:tr>
        <w:tc>
          <w:tcPr>
            <w:tcW w:type="dxa" w:w="2268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Исполнение</w:t>
            </w:r>
          </w:p>
        </w:tc>
        <w:tc>
          <w:tcPr>
            <w:tcW w:type="dxa" w:w="646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1–3 пилота с реальными ресурсами и исполнителями</w:t>
            </w:r>
          </w:p>
        </w:tc>
      </w:tr>
      <w:tr>
        <w:tc>
          <w:tcPr>
            <w:tcW w:type="dxa" w:w="2268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Верификация</w:t>
            </w:r>
          </w:p>
        </w:tc>
        <w:tc>
          <w:tcPr>
            <w:tcW w:type="dxa" w:w="6463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до/после, доказательства результата, независимая проверка</w:t>
            </w:r>
          </w:p>
        </w:tc>
      </w:tr>
    </w:tbl>
    <w:p>
      <w:pPr>
        <w:spacing w:after="40"/>
      </w:pPr>
    </w:p>
    <w:p>
      <w:pPr>
        <w:pStyle w:val="Heading1"/>
      </w:pPr>
      <w:r>
        <w:t>12. 90-дневная дорожная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1701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Период</w:t>
            </w:r>
          </w:p>
        </w:tc>
        <w:tc>
          <w:tcPr>
            <w:tcW w:type="dxa" w:w="4195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Задача</w:t>
            </w:r>
          </w:p>
        </w:tc>
        <w:tc>
          <w:tcPr>
            <w:tcW w:type="dxa" w:w="2835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170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Дни 1–15</w:t>
            </w:r>
          </w:p>
        </w:tc>
        <w:tc>
          <w:tcPr>
            <w:tcW w:type="dxa" w:w="419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утвердить ядро понятий, границы системы, 7 базовых сущностей, роли контуров</w:t>
            </w:r>
          </w:p>
        </w:tc>
        <w:tc>
          <w:tcPr>
            <w:tcW w:type="dxa" w:w="28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Архитектурная конституция v1.0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Дни 16–30</w:t>
            </w:r>
          </w:p>
        </w:tc>
        <w:tc>
          <w:tcPr>
            <w:tcW w:type="dxa" w:w="419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собрать единые справочники, прототип графа, карточку объекта и проекта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Единая модель данных v1.0</w:t>
            </w:r>
          </w:p>
        </w:tc>
      </w:tr>
      <w:tr>
        <w:tc>
          <w:tcPr>
            <w:tcW w:type="dxa" w:w="170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Дни 31–45</w:t>
            </w:r>
          </w:p>
        </w:tc>
        <w:tc>
          <w:tcPr>
            <w:tcW w:type="dxa" w:w="419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создать ОКО: дашборд сигналов и 10–20 показателей</w:t>
            </w:r>
          </w:p>
        </w:tc>
        <w:tc>
          <w:tcPr>
            <w:tcW w:type="dxa" w:w="28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Наблюдаемая модель пилота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Дни 46–60</w:t>
            </w:r>
          </w:p>
        </w:tc>
        <w:tc>
          <w:tcPr>
            <w:tcW w:type="dxa" w:w="419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включить сценарный модуль ЭКВИЛИБРИУМ и журнал решений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Контур анализа и решений</w:t>
            </w:r>
          </w:p>
        </w:tc>
      </w:tr>
      <w:tr>
        <w:tc>
          <w:tcPr>
            <w:tcW w:type="dxa" w:w="170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Дни 61–75</w:t>
            </w:r>
          </w:p>
        </w:tc>
        <w:tc>
          <w:tcPr>
            <w:tcW w:type="dxa" w:w="419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подключить СПЕЦЗАЩИТУ/исполнителей, ресурсы и проектный трекер</w:t>
            </w:r>
          </w:p>
        </w:tc>
        <w:tc>
          <w:tcPr>
            <w:tcW w:type="dxa" w:w="2835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Контур исполнения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Дни 76–90</w:t>
            </w:r>
          </w:p>
        </w:tc>
        <w:tc>
          <w:tcPr>
            <w:tcW w:type="dxa" w:w="419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верифицировать эффект, исправить архитектуру, выбрать масштабирование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Рабочий замкнутый цикл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13. Конституция Единого: 12 принципов</w:t>
      </w:r>
    </w:p>
    <w:p>
      <w:pPr>
        <w:spacing w:after="80"/>
      </w:pPr>
      <w:r>
        <w:rPr>
          <w:b/>
          <w:color w:val="2E5D7B"/>
        </w:rPr>
        <w:t xml:space="preserve">1. Целостность. </w:t>
      </w:r>
      <w:r>
        <w:t>частное решение не должно разрушать систему в целом.</w:t>
      </w:r>
    </w:p>
    <w:p>
      <w:pPr>
        <w:spacing w:after="80"/>
      </w:pPr>
      <w:r>
        <w:rPr>
          <w:b/>
          <w:color w:val="2E5D7B"/>
        </w:rPr>
        <w:t xml:space="preserve">2. Доказательность. </w:t>
      </w:r>
      <w:r>
        <w:t>утверждение, показатель и результат должны иметь проверяемое основание.</w:t>
      </w:r>
    </w:p>
    <w:p>
      <w:pPr>
        <w:spacing w:after="80"/>
      </w:pPr>
      <w:r>
        <w:rPr>
          <w:b/>
          <w:color w:val="2E5D7B"/>
        </w:rPr>
        <w:t xml:space="preserve">3. Наблюдаемость. </w:t>
      </w:r>
      <w:r>
        <w:t>критические процессы должны оставлять цифровой след.</w:t>
      </w:r>
    </w:p>
    <w:p>
      <w:pPr>
        <w:spacing w:after="80"/>
      </w:pPr>
      <w:r>
        <w:rPr>
          <w:b/>
          <w:color w:val="2E5D7B"/>
        </w:rPr>
        <w:t xml:space="preserve">4. Ответственность. </w:t>
      </w:r>
      <w:r>
        <w:t>у каждого решения есть субъект, основание, срок и критерий результата.</w:t>
      </w:r>
    </w:p>
    <w:p>
      <w:pPr>
        <w:spacing w:after="80"/>
      </w:pPr>
      <w:r>
        <w:rPr>
          <w:b/>
          <w:color w:val="2E5D7B"/>
        </w:rPr>
        <w:t xml:space="preserve">5. Субсидиарность. </w:t>
      </w:r>
      <w:r>
        <w:t>решение принимается максимально близко к месту действия.</w:t>
      </w:r>
    </w:p>
    <w:p>
      <w:pPr>
        <w:spacing w:after="80"/>
      </w:pPr>
      <w:r>
        <w:rPr>
          <w:b/>
          <w:color w:val="2E5D7B"/>
        </w:rPr>
        <w:t xml:space="preserve">6. Совместимость. </w:t>
      </w:r>
      <w:r>
        <w:t>любой новый модуль обязан работать через общие протоколы.</w:t>
      </w:r>
    </w:p>
    <w:p>
      <w:pPr>
        <w:spacing w:after="80"/>
      </w:pPr>
      <w:r>
        <w:rPr>
          <w:b/>
          <w:color w:val="2E5D7B"/>
        </w:rPr>
        <w:t xml:space="preserve">7. Обратимость. </w:t>
      </w:r>
      <w:r>
        <w:t>критические изменения должны иметь план возврата или компенсации.</w:t>
      </w:r>
    </w:p>
    <w:p>
      <w:pPr>
        <w:spacing w:after="80"/>
      </w:pPr>
      <w:r>
        <w:rPr>
          <w:b/>
          <w:color w:val="2E5D7B"/>
        </w:rPr>
        <w:t xml:space="preserve">8. Безопасность. </w:t>
      </w:r>
      <w:r>
        <w:t>доступ к данным определяется необходимостью, а не любопытством.</w:t>
      </w:r>
    </w:p>
    <w:p>
      <w:pPr>
        <w:spacing w:after="80"/>
      </w:pPr>
      <w:r>
        <w:rPr>
          <w:b/>
          <w:color w:val="2E5D7B"/>
        </w:rPr>
        <w:t xml:space="preserve">9. Пропорциональность. </w:t>
      </w:r>
      <w:r>
        <w:t>масштаб вмешательства соответствует масштабу угрозы.</w:t>
      </w:r>
    </w:p>
    <w:p>
      <w:pPr>
        <w:spacing w:after="80"/>
      </w:pPr>
      <w:r>
        <w:rPr>
          <w:b/>
          <w:color w:val="2E5D7B"/>
        </w:rPr>
        <w:t xml:space="preserve">10. Разнообразие. </w:t>
      </w:r>
      <w:r>
        <w:t>Единое сохраняет различия, если они не нарушают совместимость.</w:t>
      </w:r>
    </w:p>
    <w:p>
      <w:pPr>
        <w:spacing w:after="80"/>
      </w:pPr>
      <w:r>
        <w:rPr>
          <w:b/>
          <w:color w:val="2E5D7B"/>
        </w:rPr>
        <w:t xml:space="preserve">11. Измеримость. </w:t>
      </w:r>
      <w:r>
        <w:t>каждая программа имеет исходное, целевое и фактическое состояние.</w:t>
      </w:r>
    </w:p>
    <w:p>
      <w:pPr>
        <w:spacing w:after="80"/>
      </w:pPr>
      <w:r>
        <w:rPr>
          <w:b/>
          <w:color w:val="2E5D7B"/>
        </w:rPr>
        <w:t xml:space="preserve">12. Обучаемость. </w:t>
      </w:r>
      <w:r>
        <w:t>ошибка меняет правило системы, а не только отчёт о событии.</w:t>
      </w:r>
    </w:p>
    <w:p>
      <w:pPr>
        <w:pStyle w:val="Heading1"/>
      </w:pPr>
      <w:r>
        <w:t>14. Показатели того, что Единое реально возникло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2891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Показатель</w:t>
            </w:r>
          </w:p>
        </w:tc>
        <w:tc>
          <w:tcPr>
            <w:tcW w:type="dxa" w:w="5839"/>
            <w:vAlign w:val="center"/>
            <w:shd w:fill="2E5D7B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Признак зрелости</w:t>
            </w:r>
          </w:p>
        </w:tc>
      </w:tr>
      <w:tr>
        <w:tc>
          <w:tcPr>
            <w:tcW w:type="dxa" w:w="289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Связность</w:t>
            </w:r>
          </w:p>
        </w:tc>
        <w:tc>
          <w:tcPr>
            <w:tcW w:type="dxa" w:w="583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ключевые объекты и проекты имеют единые идентификаторы и связи</w:t>
            </w:r>
          </w:p>
        </w:tc>
      </w:tr>
      <w:tr>
        <w:tc>
          <w:tcPr>
            <w:tcW w:type="dxa" w:w="289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Скорость обнаружения</w:t>
            </w:r>
          </w:p>
        </w:tc>
        <w:tc>
          <w:tcPr>
            <w:tcW w:type="dxa" w:w="5839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отклонение попадает в ОКО без ручного сбора по ведомствам</w:t>
            </w:r>
          </w:p>
        </w:tc>
      </w:tr>
      <w:tr>
        <w:tc>
          <w:tcPr>
            <w:tcW w:type="dxa" w:w="289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Скорость решения</w:t>
            </w:r>
          </w:p>
        </w:tc>
        <w:tc>
          <w:tcPr>
            <w:tcW w:type="dxa" w:w="583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от сигнала до назначенного сценария и ответственного проходит измеримое время</w:t>
            </w:r>
          </w:p>
        </w:tc>
      </w:tr>
      <w:tr>
        <w:tc>
          <w:tcPr>
            <w:tcW w:type="dxa" w:w="289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Доля доказанных результатов</w:t>
            </w:r>
          </w:p>
        </w:tc>
        <w:tc>
          <w:tcPr>
            <w:tcW w:type="dxa" w:w="5839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эффект подтверждается независимыми данными</w:t>
            </w:r>
          </w:p>
        </w:tc>
      </w:tr>
      <w:tr>
        <w:tc>
          <w:tcPr>
            <w:tcW w:type="dxa" w:w="289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Повторное использование данных</w:t>
            </w:r>
          </w:p>
        </w:tc>
        <w:tc>
          <w:tcPr>
            <w:tcW w:type="dxa" w:w="583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одни и те же данные не вводятся многократно</w:t>
            </w:r>
          </w:p>
        </w:tc>
      </w:tr>
      <w:tr>
        <w:tc>
          <w:tcPr>
            <w:tcW w:type="dxa" w:w="289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Межконтурная совместимость</w:t>
            </w:r>
          </w:p>
        </w:tc>
        <w:tc>
          <w:tcPr>
            <w:tcW w:type="dxa" w:w="5839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новый проект подключается по стандартному протоколу</w:t>
            </w:r>
          </w:p>
        </w:tc>
      </w:tr>
      <w:tr>
        <w:tc>
          <w:tcPr>
            <w:tcW w:type="dxa" w:w="2891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Обучаемость</w:t>
            </w:r>
          </w:p>
        </w:tc>
        <w:tc>
          <w:tcPr>
            <w:tcW w:type="dxa" w:w="5839"/>
            <w:vAlign w:val="center"/>
            <w:shd w:fill="F6F9FB"/>
          </w:tcPr>
          <w:p>
            <w:r/>
            <w:r>
              <w:rPr>
                <w:rFonts w:ascii="Aptos" w:hAnsi="Aptos"/>
                <w:b w:val="0"/>
                <w:sz w:val="18"/>
              </w:rPr>
              <w:t>после инцидента изменяются правила, модели или пороги</w:t>
            </w:r>
          </w:p>
        </w:tc>
      </w:tr>
      <w:tr>
        <w:tc>
          <w:tcPr>
            <w:tcW w:type="dxa" w:w="2891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Баланс</w:t>
            </w:r>
          </w:p>
        </w:tc>
        <w:tc>
          <w:tcPr>
            <w:tcW w:type="dxa" w:w="5839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снижаются системные дефициты, конфликты и неуправляемые риски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15. Целевая картина</w:t>
      </w:r>
    </w:p>
    <w:p>
      <w:pPr>
        <w:pStyle w:val="Lead"/>
      </w:pPr>
      <w:r>
        <w:t>В зрелом состоянии Единое работает как нервная система сложного организма. ОКО чувствует изменения. Реестры помнят. Граф знаний понимает связи. ЭКВИЛИБРИУМ сравнивает фактическое состояние с желаемым, прогнозирует последствия и предлагает варианты. Контур управления принимает решение. Финансы и ресурсы обеспечивают действие. Исполнительные организации реализуют. Система измеряет эффект и учится.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8F4EE"/>
          </w:tcPr>
          <w:p>
            <w:pPr>
              <w:spacing w:after="40"/>
            </w:pPr>
            <w:r>
              <w:rPr>
                <w:b/>
                <w:color w:val="16324F"/>
                <w:sz w:val="22"/>
              </w:rPr>
              <w:t>Короткая формула</w:t>
            </w:r>
          </w:p>
          <w:p>
            <w:pPr>
              <w:spacing w:after="0"/>
            </w:pPr>
            <w:r>
              <w:rPr>
                <w:sz w:val="20"/>
              </w:rPr>
              <w:t>ОКО видит → ЭКВИЛИБРИУМ понимает и балансирует → Единое принимает согласованное решение → СФЕРА соединяет участников → ECO‑PPA упаковывает воздействие → СПЕЦЗАЩИТА исполняет → реестры и ИАЦ подтверждают результат.</w:t>
            </w:r>
          </w:p>
        </w:tc>
      </w:tr>
    </w:tbl>
    <w:p>
      <w:pPr>
        <w:spacing w:after="20"/>
      </w:pPr>
    </w:p>
    <w:p>
      <w:pPr>
        <w:pStyle w:val="Heading1"/>
      </w:pPr>
      <w:r>
        <w:t>16. Первый практический шаг</w:t>
      </w:r>
    </w:p>
    <w:p>
      <w:pPr>
        <w:pStyle w:val="Lead"/>
      </w:pPr>
      <w:r>
        <w:t>Не объединять сразу все проекты. Выбрать один реальный пилот и через него собрать общий протокол. Успешным считается не красивый интерфейс, а полный цикл от сигнала до доказанного изменения состояния.</w:t>
      </w:r>
    </w:p>
    <w:p>
      <w:pPr>
        <w:pStyle w:val="ListNumber"/>
        <w:spacing w:after="60"/>
      </w:pPr>
      <w:r>
        <w:t>Выбрать один объект или территорию.</w:t>
      </w:r>
    </w:p>
    <w:p>
      <w:pPr>
        <w:pStyle w:val="ListNumber"/>
        <w:spacing w:after="60"/>
      </w:pPr>
      <w:r>
        <w:t>Назначить 10–20 показателей ОКА.</w:t>
      </w:r>
    </w:p>
    <w:p>
      <w:pPr>
        <w:pStyle w:val="ListNumber"/>
        <w:spacing w:after="60"/>
      </w:pPr>
      <w:r>
        <w:t>Создать карточки субъектов, объектов, ресурсов и проектов.</w:t>
      </w:r>
    </w:p>
    <w:p>
      <w:pPr>
        <w:pStyle w:val="ListNumber"/>
        <w:spacing w:after="60"/>
      </w:pPr>
      <w:r>
        <w:t>Построить граф причин и зависимостей.</w:t>
      </w:r>
    </w:p>
    <w:p>
      <w:pPr>
        <w:pStyle w:val="ListNumber"/>
        <w:spacing w:after="60"/>
      </w:pPr>
      <w:r>
        <w:t>Определить 3–5 правил балансировки ЭКВИЛИБРИУМ.</w:t>
      </w:r>
    </w:p>
    <w:p>
      <w:pPr>
        <w:pStyle w:val="ListNumber"/>
        <w:spacing w:after="60"/>
      </w:pPr>
      <w:r>
        <w:t>Запустить один ECO-PPA/проектный контур.</w:t>
      </w:r>
    </w:p>
    <w:p>
      <w:pPr>
        <w:pStyle w:val="ListNumber"/>
        <w:spacing w:after="60"/>
      </w:pPr>
      <w:r>
        <w:t>Передать исполнение кооперации/консорциуму.</w:t>
      </w:r>
    </w:p>
    <w:p>
      <w:pPr>
        <w:pStyle w:val="ListNumber"/>
        <w:spacing w:after="60"/>
      </w:pPr>
      <w:r>
        <w:t>Измерить результат, зафиксировать доказательства и обновить правила.</w:t>
      </w:r>
    </w:p>
    <w:p>
      <w:pPr>
        <w:spacing w:before="400"/>
        <w:jc w:val="center"/>
      </w:pPr>
      <w:r>
        <w:rPr>
          <w:b/>
          <w:color w:val="16324F"/>
          <w:sz w:val="28"/>
        </w:rPr>
        <w:t>ЕДИНОЕ — ЭТО НЕ СЛИЯНИЕ. ЭТО СОВМЕСТИМОСТЬ, СВЯЗНОСТЬ И ОБЩИЙ ЦИКЛ УПРАВЛЕНИЯ.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69E"/>
        <w:sz w:val="16"/>
      </w:rPr>
      <w:t>Концептуальный системный документ •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B7C87"/>
        <w:sz w:val="16"/>
      </w:rPr>
      <w:t>ЭКВИЛИБРИУМ • АРХИТЕКТУРА ЕДИНОГО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24F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E5D7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3C6E7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6324F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200"/>
    </w:pPr>
    <w:rPr>
      <w:rFonts w:ascii="Aptos" w:hAnsi="Aptos"/>
      <w:b w:val="0"/>
      <w:color w:val="34495E"/>
      <w:sz w:val="28"/>
    </w:rPr>
  </w:style>
  <w:style w:type="paragraph" w:customStyle="1" w:styleId="Callout">
    <w:name w:val="Callout"/>
    <w:pPr>
      <w:spacing w:after="120"/>
    </w:pPr>
    <w:rPr>
      <w:rFonts w:ascii="Aptos" w:hAnsi="Aptos"/>
      <w:b/>
      <w:color w:val="16324F"/>
      <w:sz w:val="22"/>
    </w:rPr>
  </w:style>
  <w:style w:type="paragraph" w:customStyle="1" w:styleId="Small">
    <w:name w:val="Small"/>
    <w:pPr>
      <w:spacing w:after="40"/>
    </w:pPr>
    <w:rPr>
      <w:rFonts w:ascii="Aptos" w:hAnsi="Aptos"/>
      <w:b w:val="0"/>
      <w:color w:val="5B6770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ЭКВИЛИБРИУМ — Как собрать в Единое</dc:title>
  <dc:subject>Архитектура единой надсистемы управления</dc:subject>
  <dc:creator>python-docx</dc:creator>
  <cp:keywords>ЭКВИЛИБРИУМ, ОКО, Единое, СФЕРА, ECO-PPA, СПЕЦЗАЩИТА, ИАЦ</cp:keywords>
  <dc:description>Концептуальная версия 1.0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