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pPr>
        <w:jc w:val="center"/>
      </w:pPr>
      <w:r>
        <w:rPr>
          <w:rFonts w:ascii="Aptos" w:hAnsi="Aptos" w:eastAsia="Aptos"/>
          <w:b/>
          <w:i w:val="0"/>
          <w:color w:val="0F7C80"/>
          <w:sz w:val="24"/>
        </w:rPr>
        <w:t>НАУЧНО-ПРОИЗВОДСТВЕННАЯ ПРОГРАММА</w:t>
      </w:r>
    </w:p>
    <w:p>
      <w:pPr>
        <w:spacing w:before="160"/>
        <w:jc w:val="center"/>
      </w:pPr>
      <w:r>
        <w:rPr>
          <w:rFonts w:ascii="Aptos Display" w:hAnsi="Aptos Display" w:eastAsia="Aptos Display"/>
          <w:b/>
          <w:i w:val="0"/>
          <w:color w:val="17365D"/>
          <w:sz w:val="60"/>
        </w:rPr>
        <w:t>НПП АСИ</w:t>
      </w:r>
    </w:p>
    <w:p>
      <w:pPr>
        <w:spacing w:after="120"/>
        <w:jc w:val="center"/>
      </w:pPr>
      <w:r>
        <w:rPr>
          <w:rFonts w:ascii="Aptos Display" w:hAnsi="Aptos Display" w:eastAsia="Aptos Display"/>
          <w:b/>
          <w:i w:val="0"/>
          <w:color w:val="0F7C80"/>
          <w:sz w:val="60"/>
        </w:rPr>
        <w:t>«ЭКВИЛИБРИУМ»</w:t>
      </w:r>
    </w:p>
    <w:p>
      <w:pPr>
        <w:spacing w:before="160"/>
        <w:jc w:val="center"/>
      </w:pPr>
      <w:r>
        <w:rPr>
          <w:rFonts w:ascii="Aptos" w:hAnsi="Aptos" w:eastAsia="Aptos"/>
          <w:b w:val="0"/>
          <w:i w:val="0"/>
          <w:color w:val="1F4E78"/>
          <w:sz w:val="28"/>
        </w:rPr>
        <w:t>От научной инициативы — к серийному производству,</w:t>
        <w:br/>
        <w:t>устойчивому спросу и масштабируемому результату</w:t>
      </w:r>
    </w:p>
    <w:p/>
    <w:p/>
    <w:p/>
    <w:p/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 w:val="true"/>
        </w:trPr>
        <w:tc>
          <w:tcPr>
            <w:tcW w:type="dxa" w:w="9524"/>
            <w:tcMar>
              <w:top w:w="100" w:type="dxa"/>
              <w:start w:w="120" w:type="dxa"/>
              <w:bottom w:w="100" w:type="dxa"/>
              <w:end w:w="120" w:type="dxa"/>
            </w:tcMar>
            <w:shd w:fill="DDEBF7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0F7C80"/>
                <w:sz w:val="21"/>
              </w:rPr>
              <w:t xml:space="preserve">СТАТУС ДОКУМЕНТА </w:t>
            </w:r>
            <w:r>
              <w:rPr>
                <w:rFonts w:ascii="Aptos" w:hAnsi="Aptos" w:eastAsia="Aptos"/>
                <w:b w:val="0"/>
                <w:i w:val="0"/>
                <w:color w:val="17365D"/>
                <w:sz w:val="21"/>
              </w:rPr>
              <w:t>Проект концепции для обсуждения с АСИ, органами государственной власти, научными организациями, институтами развития, промышленными партнёрами и регионами.</w:t>
            </w:r>
          </w:p>
        </w:tc>
      </w:tr>
    </w:tbl>
    <w:p>
      <w:pPr>
        <w:spacing w:after="0"/>
      </w:pPr>
    </w:p>
    <w:p/>
    <w:p/>
    <w:p/>
    <w:p>
      <w:pPr>
        <w:jc w:val="center"/>
      </w:pPr>
      <w:r>
        <w:rPr>
          <w:rFonts w:ascii="Aptos" w:hAnsi="Aptos" w:eastAsia="Aptos"/>
          <w:b/>
          <w:i w:val="0"/>
          <w:color w:val="667085"/>
          <w:sz w:val="20"/>
        </w:rPr>
        <w:t>Версия 1.0  ·  22 августа 2026 года</w:t>
      </w:r>
    </w:p>
    <w:p>
      <w:pPr>
        <w:jc w:val="center"/>
      </w:pPr>
      <w:r>
        <w:rPr>
          <w:rFonts w:ascii="Aptos" w:hAnsi="Aptos" w:eastAsia="Aptos"/>
          <w:b w:val="0"/>
          <w:i w:val="0"/>
          <w:color w:val="667085"/>
          <w:sz w:val="20"/>
        </w:rPr>
        <w:t>Москва</w:t>
      </w:r>
    </w:p>
    <w:p>
      <w:r>
        <w:br w:type="page"/>
      </w:r>
    </w:p>
    <w:p>
      <w:pPr>
        <w:pStyle w:val="Heading1"/>
        <w:keepNext/>
      </w:pPr>
      <w:r>
        <w:t>О статусе и назначении документа</w:t>
      </w:r>
    </w:p>
    <w:p>
      <w:r>
        <w:t>Настоящий документ является проектом концепции. Он не означает утверждения программы Агентством стратегических инициатив и не устанавливает обязательств для перечисленных организаций. Участие АСИ, федеральных органов, институтов развития и иных партнёров подлежит официальному согласованию, правовой, финансовой и технической верификации.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 w:val="true"/>
        </w:trPr>
        <w:tc>
          <w:tcPr>
            <w:tcW w:type="dxa" w:w="9524"/>
            <w:tcMar>
              <w:top w:w="100" w:type="dxa"/>
              <w:start w:w="120" w:type="dxa"/>
              <w:bottom w:w="100" w:type="dxa"/>
              <w:end w:w="120" w:type="dxa"/>
            </w:tcMar>
            <w:shd w:fill="DDEFE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0F7C80"/>
                <w:sz w:val="21"/>
              </w:rPr>
              <w:t xml:space="preserve">ПРЕДЛОЖЕНИЕ </w:t>
            </w:r>
            <w:r>
              <w:rPr>
                <w:rFonts w:ascii="Aptos" w:hAnsi="Aptos" w:eastAsia="Aptos"/>
                <w:b w:val="0"/>
                <w:i w:val="0"/>
                <w:color w:val="17365D"/>
                <w:sz w:val="21"/>
              </w:rPr>
              <w:t>Рассмотреть НПП АСИ «ЭКВИЛИБРИУМ» как межотраслевой проектный механизм, который объединяет инициативы, экспертизу, производственную кооперацию, финансирование, пилотирование и тиражирование решений.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Резюме для принятия решения</w:t>
      </w:r>
    </w:p>
    <w:p>
      <w:pPr>
        <w:pStyle w:val="Lead"/>
      </w:pPr>
      <w:r>
        <w:t>НПП АСИ «ЭКВИЛИБРИУМ» — предлагаемая научно-производственная программа полного цикла. Её задача — устранить разрыв между научной разработкой и серийным внедрением, сформировав единую траекторию от инициативы до подтверждённого общественного, экологического и экономического результата.</w:t>
      </w:r>
    </w:p>
    <w:p>
      <w:r>
        <w:t>Программа строится вокруг семи взаимосвязанных контуров: стратегического, инициативного, научного, производственного, финансово-контрактного, территориального и цифрового. Особая роль отводится модели ECO‑PPA — системе долгосрочных контрактов на измеримый результат, способной формировать прогнозируемый спрос и основу для проектного финансирования.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700"/>
        <w:gridCol w:w="3514"/>
        <w:gridCol w:w="4308"/>
      </w:tblGrid>
      <w:tr>
        <w:trPr>
          <w:tblHeader w:val="true"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Контур</w:t>
            </w:r>
          </w:p>
        </w:tc>
        <w:tc>
          <w:tcPr>
            <w:tcW w:type="dxa" w:w="3514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Функция</w:t>
            </w:r>
          </w:p>
        </w:tc>
        <w:tc>
          <w:tcPr>
            <w:tcW w:type="dxa" w:w="4308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Предлагаемый результат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АСИ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Отбор инициатив, устранение барьеров, работа с регионами и масштабирование</w:t>
            </w:r>
          </w:p>
        </w:tc>
        <w:tc>
          <w:tcPr>
            <w:tcW w:type="dxa" w:w="430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Портфель решений федерального и регионального значения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ЭКВИЛИБРИУМ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Наблюдение, моделирование, балансировка ресурсов и результатов</w:t>
            </w:r>
          </w:p>
        </w:tc>
        <w:tc>
          <w:tcPr>
            <w:tcW w:type="dxa" w:w="430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Единая цифровая картина программы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ECO‑PPA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Долгосрочный заказ на энергию, ресурсный, экологический или социальный эффект</w:t>
            </w:r>
          </w:p>
        </w:tc>
        <w:tc>
          <w:tcPr>
            <w:tcW w:type="dxa" w:w="430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Предсказуемая выручка и инвестиционная база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СПЕЦЗАЩИТА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Кооперационная организация исполнения и сборка консорциумов</w:t>
            </w:r>
          </w:p>
        </w:tc>
        <w:tc>
          <w:tcPr>
            <w:tcW w:type="dxa" w:w="430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Производственные цепочки и проектные команды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Наука и образование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Исследования, экспертиза, кадры, испытания</w:t>
            </w:r>
          </w:p>
        </w:tc>
        <w:tc>
          <w:tcPr>
            <w:tcW w:type="dxa" w:w="430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Подтверждённая технология и компетенции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Бизнес и регионы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Производство, площадки, эксплуатация, закупка результата</w:t>
            </w:r>
          </w:p>
        </w:tc>
        <w:tc>
          <w:tcPr>
            <w:tcW w:type="dxa" w:w="430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Пилоты, серийные объекты и рабочие места</w:t>
            </w:r>
          </w:p>
        </w:tc>
      </w:tr>
    </w:tbl>
    <w:p>
      <w:pPr>
        <w:pStyle w:val="Heading2"/>
        <w:keepNext/>
      </w:pPr>
      <w:r>
        <w:t>Предлагаемое решение</w:t>
      </w:r>
    </w:p>
    <w:p>
      <w:pPr>
        <w:pStyle w:val="ListNumber"/>
        <w:spacing w:after="80"/>
        <w:ind w:left="408" w:hanging="215"/>
        <w:numPr>
          <w:ilvl w:val="0"/>
          <w:numId w:val="10"/>
        </w:numPr>
      </w:pPr>
      <w:r>
        <w:t>Согласовать разработку паспорта программы и создание организационного комитета.</w:t>
      </w:r>
    </w:p>
    <w:p>
      <w:pPr>
        <w:pStyle w:val="ListNumber"/>
        <w:spacing w:after="80"/>
        <w:ind w:left="408" w:hanging="215"/>
        <w:numPr>
          <w:ilvl w:val="0"/>
          <w:numId w:val="10"/>
        </w:numPr>
      </w:pPr>
      <w:r>
        <w:t>Определить 3–5 пилотных регионов и не менее 10 первых технологических проектов.</w:t>
      </w:r>
    </w:p>
    <w:p>
      <w:pPr>
        <w:pStyle w:val="ListNumber"/>
        <w:spacing w:after="80"/>
        <w:ind w:left="408" w:hanging="215"/>
        <w:numPr>
          <w:ilvl w:val="0"/>
          <w:numId w:val="10"/>
        </w:numPr>
      </w:pPr>
      <w:r>
        <w:t>Разработать типовые регламенты отбора, экспертизы, пилотирования и ECO‑PPA.</w:t>
      </w:r>
    </w:p>
    <w:p>
      <w:pPr>
        <w:pStyle w:val="ListNumber"/>
        <w:spacing w:after="80"/>
        <w:ind w:left="408" w:hanging="215"/>
        <w:numPr>
          <w:ilvl w:val="0"/>
          <w:numId w:val="10"/>
        </w:numPr>
      </w:pPr>
      <w:r>
        <w:t>Сформировать научно-технический совет, промышленный совет и инвестиционный комитет.</w:t>
      </w:r>
    </w:p>
    <w:p>
      <w:pPr>
        <w:pStyle w:val="ListNumber"/>
        <w:spacing w:after="80"/>
        <w:ind w:left="408" w:hanging="215"/>
        <w:numPr>
          <w:ilvl w:val="0"/>
          <w:numId w:val="10"/>
        </w:numPr>
      </w:pPr>
      <w:r>
        <w:t>Запустить цифровой реестр инициатив, проектов, показателей и подтверждённых результатов.</w:t>
      </w:r>
    </w:p>
    <w:p>
      <w:pPr>
        <w:pStyle w:val="ListNumber"/>
        <w:spacing w:after="80"/>
        <w:ind w:left="408" w:hanging="215"/>
        <w:numPr>
          <w:ilvl w:val="0"/>
          <w:numId w:val="10"/>
        </w:numPr>
      </w:pPr>
      <w:r>
        <w:t>По итогам пилотного цикла подготовить предложение о федеральном масштабировании.</w:t>
      </w:r>
    </w:p>
    <w:p>
      <w:r>
        <w:br w:type="page"/>
      </w:r>
    </w:p>
    <w:p>
      <w:pPr>
        <w:pStyle w:val="Heading1"/>
        <w:keepNext/>
      </w:pPr>
      <w:r>
        <w:t>Содержание</w:t>
      </w:r>
    </w:p>
    <w:p>
      <w:pPr>
        <w:pStyle w:val="ListNumber"/>
      </w:pPr>
      <w:r>
        <w:t>1. Паспорт программы</w:t>
      </w:r>
    </w:p>
    <w:p>
      <w:pPr>
        <w:pStyle w:val="ListNumber"/>
      </w:pPr>
      <w:r>
        <w:t>2. Стратегический контекст и проблематика</w:t>
      </w:r>
    </w:p>
    <w:p>
      <w:pPr>
        <w:pStyle w:val="ListNumber"/>
      </w:pPr>
      <w:r>
        <w:t>3. Миссия, цель и принципы</w:t>
      </w:r>
    </w:p>
    <w:p>
      <w:pPr>
        <w:pStyle w:val="ListNumber"/>
      </w:pPr>
      <w:r>
        <w:t>4. Целевая модель и архитектура</w:t>
      </w:r>
    </w:p>
    <w:p>
      <w:pPr>
        <w:pStyle w:val="ListNumber"/>
      </w:pPr>
      <w:r>
        <w:t>5. 19 научно-производственных направлений</w:t>
      </w:r>
    </w:p>
    <w:p>
      <w:pPr>
        <w:pStyle w:val="ListNumber"/>
      </w:pPr>
      <w:r>
        <w:t>6. Проектный конвейер полного цикла</w:t>
      </w:r>
    </w:p>
    <w:p>
      <w:pPr>
        <w:pStyle w:val="ListNumber"/>
      </w:pPr>
      <w:r>
        <w:t>7. Механизм ECO‑PPA</w:t>
      </w:r>
    </w:p>
    <w:p>
      <w:pPr>
        <w:pStyle w:val="ListNumber"/>
      </w:pPr>
      <w:r>
        <w:t>8. Система управления и роли участников</w:t>
      </w:r>
    </w:p>
    <w:p>
      <w:pPr>
        <w:pStyle w:val="ListNumber"/>
      </w:pPr>
      <w:r>
        <w:t>9. Финансовая модель</w:t>
      </w:r>
    </w:p>
    <w:p>
      <w:pPr>
        <w:pStyle w:val="ListNumber"/>
      </w:pPr>
      <w:r>
        <w:t>10. Цифровая платформа ЭКВИЛИБРИУМ</w:t>
      </w:r>
    </w:p>
    <w:p>
      <w:pPr>
        <w:pStyle w:val="ListNumber"/>
      </w:pPr>
      <w:r>
        <w:t>11. Пилотный портфель</w:t>
      </w:r>
    </w:p>
    <w:p>
      <w:pPr>
        <w:pStyle w:val="ListNumber"/>
      </w:pPr>
      <w:r>
        <w:t>12. Показатели эффективности</w:t>
      </w:r>
    </w:p>
    <w:p>
      <w:pPr>
        <w:pStyle w:val="ListNumber"/>
      </w:pPr>
      <w:r>
        <w:t>13. Дорожная карта</w:t>
      </w:r>
    </w:p>
    <w:p>
      <w:pPr>
        <w:pStyle w:val="ListNumber"/>
      </w:pPr>
      <w:r>
        <w:t>14. Риски и контроль</w:t>
      </w:r>
    </w:p>
    <w:p>
      <w:pPr>
        <w:pStyle w:val="ListNumber"/>
      </w:pPr>
      <w:r>
        <w:t>15. Пакет решений для запуска</w:t>
      </w:r>
    </w:p>
    <w:p>
      <w:pPr>
        <w:pStyle w:val="ListNumber"/>
      </w:pPr>
      <w:r>
        <w:t>Приложения</w:t>
      </w:r>
    </w:p>
    <w:p>
      <w:r>
        <w:br w:type="page"/>
      </w:r>
    </w:p>
    <w:p>
      <w:pPr>
        <w:pStyle w:val="Heading1"/>
        <w:keepNext/>
      </w:pPr>
      <w:r>
        <w:t>1. Паспорт программы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267"/>
        <w:gridCol w:w="7256"/>
      </w:tblGrid>
      <w:tr>
        <w:trPr>
          <w:tblHeader w:val="true"/>
        </w:trPr>
        <w:tc>
          <w:tcPr>
            <w:tcW w:type="dxa" w:w="2267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Параметр</w:t>
            </w:r>
          </w:p>
        </w:tc>
        <w:tc>
          <w:tcPr>
            <w:tcW w:type="dxa" w:w="7256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Полное наименование</w:t>
            </w:r>
          </w:p>
        </w:tc>
        <w:tc>
          <w:tcPr>
            <w:tcW w:type="dxa" w:w="725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Научно-производственная программа стратегических инициатив «ЭКВИЛИБРИУМ».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Краткое наименование</w:t>
            </w:r>
          </w:p>
        </w:tc>
        <w:tc>
          <w:tcPr>
            <w:tcW w:type="dxa" w:w="725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НПП АСИ «ЭКВИЛИБРИУМ».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Тип документа</w:t>
            </w:r>
          </w:p>
        </w:tc>
        <w:tc>
          <w:tcPr>
            <w:tcW w:type="dxa" w:w="725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Проект межотраслевой программной концепции.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Горизонт</w:t>
            </w:r>
          </w:p>
        </w:tc>
        <w:tc>
          <w:tcPr>
            <w:tcW w:type="dxa" w:w="725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Пилотный цикл — 2026–2028 годы; масштабирование — до 2030 года; дальнейший горизонт определяется по результатам.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Миссия</w:t>
            </w:r>
          </w:p>
        </w:tc>
        <w:tc>
          <w:tcPr>
            <w:tcW w:type="dxa" w:w="725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Обеспечить превращение научных и технологических инициатив в серийные решения, улучшающие устойчивость экономики, территорий, природных систем и качество жизни.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Цель</w:t>
            </w:r>
          </w:p>
        </w:tc>
        <w:tc>
          <w:tcPr>
            <w:tcW w:type="dxa" w:w="725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Создать воспроизводимый механизм полного цикла: инициатива → экспертиза → кооперация → ресурсное обеспечение → пилот → подтверждённый результат → масштабирование.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Предмет</w:t>
            </w:r>
          </w:p>
        </w:tc>
        <w:tc>
          <w:tcPr>
            <w:tcW w:type="dxa" w:w="725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Научные разработки, технологические продукты, производственные проекты, территориальные комплексы и системы измеримого эффекта.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Проектный оператор</w:t>
            </w:r>
          </w:p>
        </w:tc>
        <w:tc>
          <w:tcPr>
            <w:tcW w:type="dxa" w:w="725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Определяется решением участников; предлагается проектный офис НПП с участием АСИ и уполномоченных партнёров.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Платформенная основа</w:t>
            </w:r>
          </w:p>
        </w:tc>
        <w:tc>
          <w:tcPr>
            <w:tcW w:type="dxa" w:w="725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ЭКВИЛИБРИУМ — цифровая среда наблюдения, прогнозирования, координации и контроля.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Контрактная основа</w:t>
            </w:r>
          </w:p>
        </w:tc>
        <w:tc>
          <w:tcPr>
            <w:tcW w:type="dxa" w:w="725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ECO‑PPA — семейство долгосрочных соглашений на поставку и подтверждённый результат.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Кооперационная основа</w:t>
            </w:r>
          </w:p>
        </w:tc>
        <w:tc>
          <w:tcPr>
            <w:tcW w:type="dxa" w:w="725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СПЕЦЗАЩИТА и иные аккредитованные кооперационные/промышленные операторы.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Масштаб</w:t>
            </w:r>
          </w:p>
        </w:tc>
        <w:tc>
          <w:tcPr>
            <w:tcW w:type="dxa" w:w="725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19 программных направлений; детализация до 13 поднаправлений в каждом контуре — после отраслевой экспертизы.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Финансирование</w:t>
            </w:r>
          </w:p>
        </w:tc>
        <w:tc>
          <w:tcPr>
            <w:tcW w:type="dxa" w:w="725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Смешанная модель: гранты, НИОКР, субсидии, проектное финансирование, ГЧП, корпоративный заказ, долгосрочные контракты, инвестиционный капитал.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Ключевой результат</w:t>
            </w:r>
          </w:p>
        </w:tc>
        <w:tc>
          <w:tcPr>
            <w:tcW w:type="dxa" w:w="725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Портфель технологий и объектов, доведённых до промышленной эксплуатации и устойчивого спроса.</w:t>
            </w:r>
          </w:p>
        </w:tc>
      </w:tr>
    </w:tbl>
    <w:p>
      <w:pPr>
        <w:pStyle w:val="Heading1"/>
        <w:keepNext/>
      </w:pPr>
      <w:r>
        <w:t>2. Стратегический контекст и проблематика</w:t>
      </w:r>
    </w:p>
    <w:p>
      <w:r>
        <w:t>Россия располагает сильной научной школой, инженерными компетенциями, ресурсной базой и масштабным внутренним спросом. Однако переход от исследования к массовому применению часто распадается на несвязанные этапы: разработчик не видит заказчика, промышленник — подтверждённого рынка, инвестор — прогнозируемого денежного потока, а регион — готового решения с понятной ответственностью.</w:t>
      </w:r>
    </w:p>
    <w:p>
      <w:pPr>
        <w:pStyle w:val="Heading2"/>
        <w:keepNext/>
      </w:pPr>
      <w:r>
        <w:t>2.1. Ключевые разрывы</w:t>
      </w:r>
    </w:p>
    <w:p>
      <w:pPr>
        <w:pStyle w:val="ListBullet"/>
        <w:spacing w:after="60" w:line="276" w:lineRule="auto"/>
        <w:ind w:left="369" w:hanging="170"/>
      </w:pPr>
      <w:r>
        <w:t>между фундаментальной и прикладной наукой;</w:t>
      </w:r>
    </w:p>
    <w:p>
      <w:pPr>
        <w:pStyle w:val="ListBullet"/>
        <w:spacing w:after="60" w:line="276" w:lineRule="auto"/>
        <w:ind w:left="369" w:hanging="170"/>
      </w:pPr>
      <w:r>
        <w:t>между прототипом и промышленным образцом;</w:t>
      </w:r>
    </w:p>
    <w:p>
      <w:pPr>
        <w:pStyle w:val="ListBullet"/>
        <w:spacing w:after="60" w:line="276" w:lineRule="auto"/>
        <w:ind w:left="369" w:hanging="170"/>
      </w:pPr>
      <w:r>
        <w:t>между пилотом и серийным заказом;</w:t>
      </w:r>
    </w:p>
    <w:p>
      <w:pPr>
        <w:pStyle w:val="ListBullet"/>
        <w:spacing w:after="60" w:line="276" w:lineRule="auto"/>
        <w:ind w:left="369" w:hanging="170"/>
      </w:pPr>
      <w:r>
        <w:t>между экологическим эффектом и его экономической оценкой;</w:t>
      </w:r>
    </w:p>
    <w:p>
      <w:pPr>
        <w:pStyle w:val="ListBullet"/>
        <w:spacing w:after="60" w:line="276" w:lineRule="auto"/>
        <w:ind w:left="369" w:hanging="170"/>
      </w:pPr>
      <w:r>
        <w:t>между отраслевыми ведомствами и территориальным управлением;</w:t>
      </w:r>
    </w:p>
    <w:p>
      <w:pPr>
        <w:pStyle w:val="ListBullet"/>
        <w:spacing w:after="60" w:line="276" w:lineRule="auto"/>
        <w:ind w:left="369" w:hanging="170"/>
      </w:pPr>
      <w:r>
        <w:t>между множеством инициатив и единым портфелем приоритетов;</w:t>
      </w:r>
    </w:p>
    <w:p>
      <w:pPr>
        <w:pStyle w:val="ListBullet"/>
        <w:spacing w:after="60" w:line="276" w:lineRule="auto"/>
        <w:ind w:left="369" w:hanging="170"/>
      </w:pPr>
      <w:r>
        <w:t>между финансированием капитальных затрат и оплатой результата жизненного цикла.</w:t>
      </w:r>
    </w:p>
    <w:p>
      <w:pPr>
        <w:pStyle w:val="Heading2"/>
        <w:keepNext/>
      </w:pPr>
      <w:r>
        <w:t>2.2. Требуемый переход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 w:val="true"/>
        </w:trPr>
        <w:tc>
          <w:tcPr>
            <w:tcW w:type="dxa" w:w="9524"/>
            <w:tcMar>
              <w:top w:w="100" w:type="dxa"/>
              <w:start w:w="120" w:type="dxa"/>
              <w:bottom w:w="100" w:type="dxa"/>
              <w:end w:w="120" w:type="dxa"/>
            </w:tcMar>
            <w:shd w:fill="DDEBF7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0F7C80"/>
                <w:sz w:val="21"/>
              </w:rPr>
              <w:t xml:space="preserve">ОТ ФРАГМЕНТОВ — К СИСТЕМЕ </w:t>
            </w:r>
            <w:r>
              <w:rPr>
                <w:rFonts w:ascii="Aptos" w:hAnsi="Aptos" w:eastAsia="Aptos"/>
                <w:b w:val="0"/>
                <w:i w:val="0"/>
                <w:color w:val="17365D"/>
                <w:sz w:val="21"/>
              </w:rPr>
              <w:t>Программа должна связать знания, компетенции, производственные мощности, территориальные потребности, капитал и долгосрочный спрос в один управляемый цикл.</w:t>
            </w:r>
          </w:p>
        </w:tc>
      </w:tr>
    </w:tbl>
    <w:p>
      <w:pPr>
        <w:spacing w:after="0"/>
      </w:pP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rPr>
          <w:tblHeader w:val="true"/>
        </w:trPr>
        <w:tc>
          <w:tcPr>
            <w:tcW w:type="dxa" w:w="4762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Текущая логика</w:t>
            </w:r>
          </w:p>
        </w:tc>
        <w:tc>
          <w:tcPr>
            <w:tcW w:type="dxa" w:w="4762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Целевая логика</w:t>
            </w:r>
          </w:p>
        </w:tc>
      </w:tr>
      <w:tr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Поддержка отдельных мероприятий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Управление портфелем измеримых результатов</w:t>
            </w:r>
          </w:p>
        </w:tc>
      </w:tr>
      <w:tr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Финансирование затрат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Финансирование достижения и эксплуатации результата</w:t>
            </w:r>
          </w:p>
        </w:tc>
      </w:tr>
      <w:tr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Разрозненные пилоты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Типовые решения с условиями тиражирования</w:t>
            </w:r>
          </w:p>
        </w:tc>
      </w:tr>
      <w:tr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Отчётность по активности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Верификация технологического, социального и экологического эффекта</w:t>
            </w:r>
          </w:p>
        </w:tc>
      </w:tr>
      <w:tr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Ведомственная изоляция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Межведомственная и межотраслевая кооперация</w:t>
            </w:r>
          </w:p>
        </w:tc>
      </w:tr>
      <w:tr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Краткосрочная закупка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Контракт жизненного цикла и ECO‑PPA</w:t>
            </w:r>
          </w:p>
        </w:tc>
      </w:tr>
    </w:tbl>
    <w:p>
      <w:pPr>
        <w:pStyle w:val="Heading1"/>
        <w:keepNext/>
      </w:pPr>
      <w:r>
        <w:t>3. Миссия, цель и принципы</w:t>
      </w:r>
    </w:p>
    <w:p>
      <w:pPr>
        <w:pStyle w:val="Heading2"/>
        <w:keepNext/>
      </w:pPr>
      <w:r>
        <w:t>3.1. Миссия</w:t>
      </w:r>
    </w:p>
    <w:p>
      <w:r>
        <w:t>Создать российскую систему преобразования знаний в производительную силу, обеспечивающую технологический суверенитет, безопасность, экологическое восстановление и повышение качества жизни.</w:t>
      </w:r>
    </w:p>
    <w:p>
      <w:pPr>
        <w:pStyle w:val="Heading2"/>
        <w:keepNext/>
      </w:pPr>
      <w:r>
        <w:t>3.2. Стратегическая цель</w:t>
      </w:r>
    </w:p>
    <w:p>
      <w:r>
        <w:t>К 2030 году сформировать работающий научно-производственный конвейер, способный ежегодно доводить отобранные инициативы до подтверждённых пилотов, серийных производств и долгосрочных контрактов.</w:t>
      </w:r>
    </w:p>
    <w:p>
      <w:pPr>
        <w:pStyle w:val="Heading2"/>
        <w:keepNext/>
      </w:pPr>
      <w:r>
        <w:t>3.3. Принципы</w:t>
      </w:r>
    </w:p>
    <w:p>
      <w:pPr>
        <w:spacing w:after="80"/>
      </w:pPr>
      <w:r>
        <w:rPr>
          <w:rFonts w:ascii="Aptos" w:hAnsi="Aptos" w:eastAsia="Aptos"/>
          <w:b/>
          <w:i w:val="0"/>
          <w:color w:val="0F7C80"/>
          <w:sz w:val="21"/>
        </w:rPr>
        <w:t xml:space="preserve">Полный жизненный цикл. </w:t>
      </w:r>
      <w:r>
        <w:rPr>
          <w:rFonts w:ascii="Aptos" w:hAnsi="Aptos" w:eastAsia="Aptos"/>
          <w:b w:val="0"/>
          <w:i w:val="0"/>
          <w:color w:val="1F2937"/>
          <w:sz w:val="21"/>
        </w:rPr>
        <w:t>Решение рассматривается от исследования до эксплуатации, обслуживания и утилизации.</w:t>
      </w:r>
    </w:p>
    <w:p>
      <w:pPr>
        <w:spacing w:after="80"/>
      </w:pPr>
      <w:r>
        <w:rPr>
          <w:rFonts w:ascii="Aptos" w:hAnsi="Aptos" w:eastAsia="Aptos"/>
          <w:b/>
          <w:i w:val="0"/>
          <w:color w:val="0F7C80"/>
          <w:sz w:val="21"/>
        </w:rPr>
        <w:t xml:space="preserve">Доказательность. </w:t>
      </w:r>
      <w:r>
        <w:rPr>
          <w:rFonts w:ascii="Aptos" w:hAnsi="Aptos" w:eastAsia="Aptos"/>
          <w:b w:val="0"/>
          <w:i w:val="0"/>
          <w:color w:val="1F2937"/>
          <w:sz w:val="21"/>
        </w:rPr>
        <w:t>Каждый результат подтверждается измерениями, независимой экспертизой и прослеживаемыми данными.</w:t>
      </w:r>
    </w:p>
    <w:p>
      <w:pPr>
        <w:spacing w:after="80"/>
      </w:pPr>
      <w:r>
        <w:rPr>
          <w:rFonts w:ascii="Aptos" w:hAnsi="Aptos" w:eastAsia="Aptos"/>
          <w:b/>
          <w:i w:val="0"/>
          <w:color w:val="0F7C80"/>
          <w:sz w:val="21"/>
        </w:rPr>
        <w:t xml:space="preserve">Технологический суверенитет. </w:t>
      </w:r>
      <w:r>
        <w:rPr>
          <w:rFonts w:ascii="Aptos" w:hAnsi="Aptos" w:eastAsia="Aptos"/>
          <w:b w:val="0"/>
          <w:i w:val="0"/>
          <w:color w:val="1F2937"/>
          <w:sz w:val="21"/>
        </w:rPr>
        <w:t>Приоритет российским компетенциям, критическим компонентам и локализации.</w:t>
      </w:r>
    </w:p>
    <w:p>
      <w:pPr>
        <w:spacing w:after="80"/>
      </w:pPr>
      <w:r>
        <w:rPr>
          <w:rFonts w:ascii="Aptos" w:hAnsi="Aptos" w:eastAsia="Aptos"/>
          <w:b/>
          <w:i w:val="0"/>
          <w:color w:val="0F7C80"/>
          <w:sz w:val="21"/>
        </w:rPr>
        <w:t xml:space="preserve">Кооперация. </w:t>
      </w:r>
      <w:r>
        <w:rPr>
          <w:rFonts w:ascii="Aptos" w:hAnsi="Aptos" w:eastAsia="Aptos"/>
          <w:b w:val="0"/>
          <w:i w:val="0"/>
          <w:color w:val="1F2937"/>
          <w:sz w:val="21"/>
        </w:rPr>
        <w:t>Участники объединяют ресурсы вокруг общей программы, сохраняя правовую и экономическую самостоятельность.</w:t>
      </w:r>
    </w:p>
    <w:p>
      <w:pPr>
        <w:spacing w:after="80"/>
      </w:pPr>
      <w:r>
        <w:rPr>
          <w:rFonts w:ascii="Aptos" w:hAnsi="Aptos" w:eastAsia="Aptos"/>
          <w:b/>
          <w:i w:val="0"/>
          <w:color w:val="0F7C80"/>
          <w:sz w:val="21"/>
        </w:rPr>
        <w:t xml:space="preserve">Результат вместо процесса. </w:t>
      </w:r>
      <w:r>
        <w:rPr>
          <w:rFonts w:ascii="Aptos" w:hAnsi="Aptos" w:eastAsia="Aptos"/>
          <w:b w:val="0"/>
          <w:i w:val="0"/>
          <w:color w:val="1F2937"/>
          <w:sz w:val="21"/>
        </w:rPr>
        <w:t>Финансирование и оценка привязаны к готовности, эффекту и внедрению.</w:t>
      </w:r>
    </w:p>
    <w:p>
      <w:pPr>
        <w:spacing w:after="80"/>
      </w:pPr>
      <w:r>
        <w:rPr>
          <w:rFonts w:ascii="Aptos" w:hAnsi="Aptos" w:eastAsia="Aptos"/>
          <w:b/>
          <w:i w:val="0"/>
          <w:color w:val="0F7C80"/>
          <w:sz w:val="21"/>
        </w:rPr>
        <w:t xml:space="preserve">Безопасность по проекту. </w:t>
      </w:r>
      <w:r>
        <w:rPr>
          <w:rFonts w:ascii="Aptos" w:hAnsi="Aptos" w:eastAsia="Aptos"/>
          <w:b w:val="0"/>
          <w:i w:val="0"/>
          <w:color w:val="1F2937"/>
          <w:sz w:val="21"/>
        </w:rPr>
        <w:t>Техническая, экологическая, информационная и финансовая безопасность закладываются на старте.</w:t>
      </w:r>
    </w:p>
    <w:p>
      <w:pPr>
        <w:spacing w:after="80"/>
      </w:pPr>
      <w:r>
        <w:rPr>
          <w:rFonts w:ascii="Aptos" w:hAnsi="Aptos" w:eastAsia="Aptos"/>
          <w:b/>
          <w:i w:val="0"/>
          <w:color w:val="0F7C80"/>
          <w:sz w:val="21"/>
        </w:rPr>
        <w:t xml:space="preserve">Открытая масштабируемость. </w:t>
      </w:r>
      <w:r>
        <w:rPr>
          <w:rFonts w:ascii="Aptos" w:hAnsi="Aptos" w:eastAsia="Aptos"/>
          <w:b w:val="0"/>
          <w:i w:val="0"/>
          <w:color w:val="1F2937"/>
          <w:sz w:val="21"/>
        </w:rPr>
        <w:t>Архитектура допускает подключение новых регионов, отраслей и стран-партнёров.</w:t>
      </w:r>
    </w:p>
    <w:p>
      <w:pPr>
        <w:spacing w:after="80"/>
      </w:pPr>
      <w:r>
        <w:rPr>
          <w:rFonts w:ascii="Aptos" w:hAnsi="Aptos" w:eastAsia="Aptos"/>
          <w:b/>
          <w:i w:val="0"/>
          <w:color w:val="0F7C80"/>
          <w:sz w:val="21"/>
        </w:rPr>
        <w:t xml:space="preserve">Баланс интересов. </w:t>
      </w:r>
      <w:r>
        <w:rPr>
          <w:rFonts w:ascii="Aptos" w:hAnsi="Aptos" w:eastAsia="Aptos"/>
          <w:b w:val="0"/>
          <w:i w:val="0"/>
          <w:color w:val="1F2937"/>
          <w:sz w:val="21"/>
        </w:rPr>
        <w:t>Решения учитывают интересы государства, человека, бизнеса, территории и природной среды.</w:t>
      </w:r>
    </w:p>
    <w:p>
      <w:pPr>
        <w:pStyle w:val="Heading1"/>
        <w:keepNext/>
      </w:pPr>
      <w:r>
        <w:t>4. Целевая модель и архитектура</w:t>
      </w:r>
    </w:p>
    <w:p>
      <w:r>
        <w:t>Целевая модель включает семь контуров, которые работают одновременно и не подменяют друг друга.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3061"/>
        <w:gridCol w:w="4648"/>
      </w:tblGrid>
      <w:tr>
        <w:trPr>
          <w:tblHeader w:val="true"/>
        </w:trPr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Контур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Ключевой вопрос</w:t>
            </w:r>
          </w:p>
        </w:tc>
        <w:tc>
          <w:tcPr>
            <w:tcW w:type="dxa" w:w="4648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Механизм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Стратегический</w:t>
            </w:r>
          </w:p>
        </w:tc>
        <w:tc>
          <w:tcPr>
            <w:tcW w:type="dxa" w:w="306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Какие задачи имеют национальный приоритет?</w:t>
            </w:r>
          </w:p>
        </w:tc>
        <w:tc>
          <w:tcPr>
            <w:tcW w:type="dxa" w:w="46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Совет программы, карта вызовов и приоритетов.</w:t>
            </w:r>
          </w:p>
        </w:tc>
      </w:tr>
      <w:tr>
        <w:tc>
          <w:tcPr>
            <w:tcW w:type="dxa" w:w="18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Инициативный</w:t>
            </w:r>
          </w:p>
        </w:tc>
        <w:tc>
          <w:tcPr>
            <w:tcW w:type="dxa" w:w="306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Какие решения и команды существуют?</w:t>
            </w:r>
          </w:p>
        </w:tc>
        <w:tc>
          <w:tcPr>
            <w:tcW w:type="dxa" w:w="46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СФЕРА инициатив, открытый и адресный отбор.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Научный</w:t>
            </w:r>
          </w:p>
        </w:tc>
        <w:tc>
          <w:tcPr>
            <w:tcW w:type="dxa" w:w="306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Работает ли технология и насколько она готова?</w:t>
            </w:r>
          </w:p>
        </w:tc>
        <w:tc>
          <w:tcPr>
            <w:tcW w:type="dxa" w:w="46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Экспертиза, TRL, испытания, НИОКР.</w:t>
            </w:r>
          </w:p>
        </w:tc>
      </w:tr>
      <w:tr>
        <w:tc>
          <w:tcPr>
            <w:tcW w:type="dxa" w:w="18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Производственный</w:t>
            </w:r>
          </w:p>
        </w:tc>
        <w:tc>
          <w:tcPr>
            <w:tcW w:type="dxa" w:w="306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Кто и где изготовит решение?</w:t>
            </w:r>
          </w:p>
        </w:tc>
        <w:tc>
          <w:tcPr>
            <w:tcW w:type="dxa" w:w="46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Консорциумы, промышленные партнёры, СПЕЦЗАЩИТА.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Финансово-контрактный</w:t>
            </w:r>
          </w:p>
        </w:tc>
        <w:tc>
          <w:tcPr>
            <w:tcW w:type="dxa" w:w="306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 счёт чего создаётся и окупается объект?</w:t>
            </w:r>
          </w:p>
        </w:tc>
        <w:tc>
          <w:tcPr>
            <w:tcW w:type="dxa" w:w="46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Смешанное финансирование и ECO‑PPA.</w:t>
            </w:r>
          </w:p>
        </w:tc>
      </w:tr>
      <w:tr>
        <w:tc>
          <w:tcPr>
            <w:tcW w:type="dxa" w:w="18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Территориальный</w:t>
            </w:r>
          </w:p>
        </w:tc>
        <w:tc>
          <w:tcPr>
            <w:tcW w:type="dxa" w:w="306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Где будет получен эффект?</w:t>
            </w:r>
          </w:p>
        </w:tc>
        <w:tc>
          <w:tcPr>
            <w:tcW w:type="dxa" w:w="46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Пилотные регионы, муниципалитеты, предприятия.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Цифровой</w:t>
            </w:r>
          </w:p>
        </w:tc>
        <w:tc>
          <w:tcPr>
            <w:tcW w:type="dxa" w:w="306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Как видеть состояние и принимать решения?</w:t>
            </w:r>
          </w:p>
        </w:tc>
        <w:tc>
          <w:tcPr>
            <w:tcW w:type="dxa" w:w="46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ЭКВИЛИБРИУМ: реестры, цифровые двойники, мониторинг.</w:t>
            </w:r>
          </w:p>
        </w:tc>
      </w:tr>
    </w:tbl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 w:val="true"/>
        </w:trPr>
        <w:tc>
          <w:tcPr>
            <w:tcW w:type="dxa" w:w="9524"/>
            <w:tcMar>
              <w:top w:w="100" w:type="dxa"/>
              <w:start w:w="120" w:type="dxa"/>
              <w:bottom w:w="100" w:type="dxa"/>
              <w:end w:w="120" w:type="dxa"/>
            </w:tcMar>
            <w:shd w:fill="DDEFE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0F7C80"/>
                <w:sz w:val="21"/>
              </w:rPr>
              <w:t xml:space="preserve">ЕДИНАЯ ЛОГИКА </w:t>
            </w:r>
            <w:r>
              <w:rPr>
                <w:rFonts w:ascii="Aptos" w:hAnsi="Aptos" w:eastAsia="Aptos"/>
                <w:b w:val="0"/>
                <w:i w:val="0"/>
                <w:color w:val="17365D"/>
                <w:sz w:val="21"/>
              </w:rPr>
              <w:t>Инициатива → экспертиза → кооперация → ресурсное обеспечение → пилот → подтверждённый результат → масштабирование.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5. Девятнадцать научно-производственных направлений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2834"/>
        <w:gridCol w:w="6009"/>
      </w:tblGrid>
      <w:tr>
        <w:trPr>
          <w:tblHeader w:val="true"/>
        </w:trPr>
        <w:tc>
          <w:tcPr>
            <w:tcW w:type="dxa" w:w="680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№</w:t>
            </w:r>
          </w:p>
        </w:tc>
        <w:tc>
          <w:tcPr>
            <w:tcW w:type="dxa" w:w="2834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Направление</w:t>
            </w:r>
          </w:p>
        </w:tc>
        <w:tc>
          <w:tcPr>
            <w:tcW w:type="dxa" w:w="6009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01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Распределённая и автономная энергетика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Малая генерация, микросети, гибридные комплексы, энергетическая устойчивость территорий.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02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Накопление и управление энергией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Накопители, силовая электроника, прогнозирование и диспетчеризация.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03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Экомодули жизнедеятельности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Автономные модули жилья, инфраструктуры, воды, энергии, связи и утилизации.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04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Водные технологии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Очистка, повторное использование, мониторинг, опреснение и защита водных объектов.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05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Экономика замкнутого цикла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Сортировка, переработка, возврат материалов, промышленный симбиоз.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06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Восстановление почв и территорий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Рекультивация, стабилизация грунтов, восстановление плодородия и ландшафтов.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07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Материалы нового поколения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Высокочистые материалы, композиты, покрытия, функциональные и вторичные материалы.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08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Зелёное строительство и ЖКХ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Энергоэффективные здания, модернизация сетей, цифровое управление ресурсами.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09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Экологический транспорт и логистика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Низкоэмиссионный транспорт, зарядная и сервисная инфраструктура, оптимизация потоков.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10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Агро- и биотехнологии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Замкнутые фермы, биопрепараты, почвенная микробиология, продовольственная устойчивость.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11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Биоценозный мониторинг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Автономные точки наблюдения за воздухом, водой, почвой, биоразнообразием и нагрузкой.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12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Климатическая адаптация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Управление рисками жары, паводков, пожаров, засух и деградации природных систем.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13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Промышленная автоматизация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Роботизация, предиктивное обслуживание, контроль качества, бережливое производство.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14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Промышленный искусственный интеллект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Модели для проектирования, эксплуатации, оптимизации и поддержки решений.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15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Цифровые двойники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Модели предприятий, городов, инфраструктуры и природно-технических систем.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16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Медицина, реабилитация и здоровье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Реабилитационные комплексы, ассистивные технологии, профилактика и здоровьесбережение.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17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Безопасность и устойчивость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Раннее предупреждение, защита инфраструктуры, устойчивость цепочек и объектов.</w:t>
            </w:r>
          </w:p>
        </w:tc>
      </w:tr>
      <w:tr>
        <w:tc>
          <w:tcPr>
            <w:tcW w:type="dxa" w:w="68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18</w:t>
            </w:r>
          </w:p>
        </w:tc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Кадры и инженерное образование</w:t>
            </w:r>
          </w:p>
        </w:tc>
        <w:tc>
          <w:tcPr>
            <w:tcW w:type="dxa" w:w="600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Проектные школы, практики, научный туризм, подготовка операторов новых производств.</w:t>
            </w:r>
          </w:p>
        </w:tc>
      </w:tr>
      <w:tr>
        <w:tc>
          <w:tcPr>
            <w:tcW w:type="dxa" w:w="68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19</w:t>
            </w:r>
          </w:p>
        </w:tc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Стандарты, верификация и экспорт</w:t>
            </w:r>
          </w:p>
        </w:tc>
        <w:tc>
          <w:tcPr>
            <w:tcW w:type="dxa" w:w="600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Испытания, сертификация, ESG‑IR, международное признание и экспортные пакеты.</w:t>
            </w:r>
          </w:p>
        </w:tc>
      </w:tr>
    </w:tbl>
    <w:p>
      <w:r>
        <w:t>Каждое направление может быть детализировано до 13 поднаправлений. Итоговая матрица 19 × 13 формируется не механически, а после отраслевой экспертизы, анализа национальных целей, технологических приоритетов и реального портфеля проектов.</w:t>
      </w:r>
    </w:p>
    <w:p>
      <w:pPr>
        <w:pStyle w:val="Heading1"/>
        <w:keepNext/>
      </w:pPr>
      <w:r>
        <w:t>6. Проектный конвейер полного цикла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700"/>
        <w:gridCol w:w="4932"/>
        <w:gridCol w:w="2891"/>
      </w:tblGrid>
      <w:tr>
        <w:trPr>
          <w:tblHeader w:val="true"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Этап</w:t>
            </w:r>
          </w:p>
        </w:tc>
        <w:tc>
          <w:tcPr>
            <w:tcW w:type="dxa" w:w="4932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Содержание</w:t>
            </w:r>
          </w:p>
        </w:tc>
        <w:tc>
          <w:tcPr>
            <w:tcW w:type="dxa" w:w="2891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Контрольный результат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1. Вход</w:t>
            </w:r>
          </w:p>
        </w:tc>
        <w:tc>
          <w:tcPr>
            <w:tcW w:type="dxa" w:w="493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Регистрация инициативы, правообладателя, команды, потребности и ожидаемого эффекта.</w:t>
            </w:r>
          </w:p>
        </w:tc>
        <w:tc>
          <w:tcPr>
            <w:tcW w:type="dxa" w:w="289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Карточка проекта.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2. Скрининг</w:t>
            </w:r>
          </w:p>
        </w:tc>
        <w:tc>
          <w:tcPr>
            <w:tcW w:type="dxa" w:w="493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Соответствие приоритетам, проверка полноты, безопасности и конфликта интересов.</w:t>
            </w:r>
          </w:p>
        </w:tc>
        <w:tc>
          <w:tcPr>
            <w:tcW w:type="dxa" w:w="289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Решение о допуске.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3. Экспертиза</w:t>
            </w:r>
          </w:p>
        </w:tc>
        <w:tc>
          <w:tcPr>
            <w:tcW w:type="dxa" w:w="493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Научная, технологическая, правовая, патентная, рыночная и финансовая оценка.</w:t>
            </w:r>
          </w:p>
        </w:tc>
        <w:tc>
          <w:tcPr>
            <w:tcW w:type="dxa" w:w="289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Экспертное заключение.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4. Проектирование</w:t>
            </w:r>
          </w:p>
        </w:tc>
        <w:tc>
          <w:tcPr>
            <w:tcW w:type="dxa" w:w="493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Паспорт, KPI, бюджет, график, архитектура данных и рисков.</w:t>
            </w:r>
          </w:p>
        </w:tc>
        <w:tc>
          <w:tcPr>
            <w:tcW w:type="dxa" w:w="289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Проект пилота.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5. Кооперация</w:t>
            </w:r>
          </w:p>
        </w:tc>
        <w:tc>
          <w:tcPr>
            <w:tcW w:type="dxa" w:w="493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Подбор производителей, площадки, заказчика, инвестора и верификатора.</w:t>
            </w:r>
          </w:p>
        </w:tc>
        <w:tc>
          <w:tcPr>
            <w:tcW w:type="dxa" w:w="289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Консорциум.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6. Ресурсное обеспечение</w:t>
            </w:r>
          </w:p>
        </w:tc>
        <w:tc>
          <w:tcPr>
            <w:tcW w:type="dxa" w:w="493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Финансирование НИОКР, CAPEX, оборотного капитала и инфраструктуры.</w:t>
            </w:r>
          </w:p>
        </w:tc>
        <w:tc>
          <w:tcPr>
            <w:tcW w:type="dxa" w:w="289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Финансовое закрытие.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7. Пилот</w:t>
            </w:r>
          </w:p>
        </w:tc>
        <w:tc>
          <w:tcPr>
            <w:tcW w:type="dxa" w:w="493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Создание образца/объекта и эксплуатация в заданных условиях.</w:t>
            </w:r>
          </w:p>
        </w:tc>
        <w:tc>
          <w:tcPr>
            <w:tcW w:type="dxa" w:w="289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Протокол пилота.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8. Верификация</w:t>
            </w:r>
          </w:p>
        </w:tc>
        <w:tc>
          <w:tcPr>
            <w:tcW w:type="dxa" w:w="493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Измерение результата, аудит данных, оценка надёжности и жизненного цикла.</w:t>
            </w:r>
          </w:p>
        </w:tc>
        <w:tc>
          <w:tcPr>
            <w:tcW w:type="dxa" w:w="289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Подтверждённый эффект.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9. Сертификация</w:t>
            </w:r>
          </w:p>
        </w:tc>
        <w:tc>
          <w:tcPr>
            <w:tcW w:type="dxa" w:w="493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Соответствие обязательным требованиям и добровольным стандартам.</w:t>
            </w:r>
          </w:p>
        </w:tc>
        <w:tc>
          <w:tcPr>
            <w:tcW w:type="dxa" w:w="289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Допуск к применению.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10. Контрактование</w:t>
            </w:r>
          </w:p>
        </w:tc>
        <w:tc>
          <w:tcPr>
            <w:tcW w:type="dxa" w:w="493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Договор поставки, сервисный контракт, концессия, оффтейк или ECO‑PPA.</w:t>
            </w:r>
          </w:p>
        </w:tc>
        <w:tc>
          <w:tcPr>
            <w:tcW w:type="dxa" w:w="289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Гарантированный спрос.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11. Серия</w:t>
            </w:r>
          </w:p>
        </w:tc>
        <w:tc>
          <w:tcPr>
            <w:tcW w:type="dxa" w:w="493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Организация производства, контроля качества, логистики и сервиса.</w:t>
            </w:r>
          </w:p>
        </w:tc>
        <w:tc>
          <w:tcPr>
            <w:tcW w:type="dxa" w:w="289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Серийный продукт.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12. Масштабирование</w:t>
            </w:r>
          </w:p>
        </w:tc>
        <w:tc>
          <w:tcPr>
            <w:tcW w:type="dxa" w:w="493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Тиражирование, локализация, экспорт, обучение новых операторов.</w:t>
            </w:r>
          </w:p>
        </w:tc>
        <w:tc>
          <w:tcPr>
            <w:tcW w:type="dxa" w:w="289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Сеть внедрений.</w:t>
            </w:r>
          </w:p>
        </w:tc>
      </w:tr>
    </w:tbl>
    <w:p>
      <w:pPr>
        <w:pStyle w:val="Heading2"/>
        <w:keepNext/>
      </w:pPr>
      <w:r>
        <w:t>6.1. Система технологической готовности</w:t>
      </w:r>
    </w:p>
    <w:p>
      <w:r>
        <w:t>Для унификации решений рекомендуется применять шкалу уровней технологической готовности (TRL) с дополнением уровнями производственной, рыночной и нормативной готовности. Переход между стадиями осуществляется только после прохождения контрольных ворот.</w:t>
      </w:r>
    </w:p>
    <w:p>
      <w:pPr>
        <w:pStyle w:val="ListBullet"/>
        <w:spacing w:after="60" w:line="276" w:lineRule="auto"/>
        <w:ind w:left="369" w:hanging="170"/>
      </w:pPr>
      <w:r>
        <w:t>TRL — подтверждение работоспособности технологии;</w:t>
      </w:r>
    </w:p>
    <w:p>
      <w:pPr>
        <w:pStyle w:val="ListBullet"/>
        <w:spacing w:after="60" w:line="276" w:lineRule="auto"/>
        <w:ind w:left="369" w:hanging="170"/>
      </w:pPr>
      <w:r>
        <w:t>MRL — готовность производственного процесса;</w:t>
      </w:r>
    </w:p>
    <w:p>
      <w:pPr>
        <w:pStyle w:val="ListBullet"/>
        <w:spacing w:after="60" w:line="276" w:lineRule="auto"/>
        <w:ind w:left="369" w:hanging="170"/>
      </w:pPr>
      <w:r>
        <w:t>CRL — готовность заказчика и рынка;</w:t>
      </w:r>
    </w:p>
    <w:p>
      <w:pPr>
        <w:pStyle w:val="ListBullet"/>
        <w:spacing w:after="60" w:line="276" w:lineRule="auto"/>
        <w:ind w:left="369" w:hanging="170"/>
      </w:pPr>
      <w:r>
        <w:t>RRL — нормативная и сертификационная готовность;</w:t>
      </w:r>
    </w:p>
    <w:p>
      <w:pPr>
        <w:pStyle w:val="ListBullet"/>
        <w:spacing w:after="60" w:line="276" w:lineRule="auto"/>
        <w:ind w:left="369" w:hanging="170"/>
      </w:pPr>
      <w:r>
        <w:t>IRL — интеграционная готовность к работе в составе более крупной системы.</w:t>
      </w:r>
    </w:p>
    <w:p>
      <w:pPr>
        <w:pStyle w:val="Heading1"/>
        <w:keepNext/>
      </w:pPr>
      <w:r>
        <w:t>7. Механизм ECO‑PPA</w:t>
      </w:r>
    </w:p>
    <w:p>
      <w:r>
        <w:t>ECO‑PPA предлагается как семейство долгосрочных соглашений, в которых предметом оплаты становится не только поставленная энергия, но и измеримый ресурсный, экологический, инфраструктурный или социальный результат.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267"/>
        <w:gridCol w:w="3741"/>
        <w:gridCol w:w="3514"/>
      </w:tblGrid>
      <w:tr>
        <w:trPr>
          <w:tblHeader w:val="true"/>
        </w:trPr>
        <w:tc>
          <w:tcPr>
            <w:tcW w:type="dxa" w:w="2267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Вид соглашения</w:t>
            </w:r>
          </w:p>
        </w:tc>
        <w:tc>
          <w:tcPr>
            <w:tcW w:type="dxa" w:w="3741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Предмет</w:t>
            </w:r>
          </w:p>
        </w:tc>
        <w:tc>
          <w:tcPr>
            <w:tcW w:type="dxa" w:w="3514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Пример показателя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Energy PPA</w:t>
            </w:r>
          </w:p>
        </w:tc>
        <w:tc>
          <w:tcPr>
            <w:tcW w:type="dxa" w:w="374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Электрическая/тепловая энергия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кВт·ч, Гкал, доступность мощности.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Efficiency PPA</w:t>
            </w:r>
          </w:p>
        </w:tc>
        <w:tc>
          <w:tcPr>
            <w:tcW w:type="dxa" w:w="374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Сэкономленный ресурс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Снижение потребления относительно базовой линии.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Water PPA</w:t>
            </w:r>
          </w:p>
        </w:tc>
        <w:tc>
          <w:tcPr>
            <w:tcW w:type="dxa" w:w="374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Подготовленная или сбережённая вода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м³, качество, повторное использование.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Waste PPA</w:t>
            </w:r>
          </w:p>
        </w:tc>
        <w:tc>
          <w:tcPr>
            <w:tcW w:type="dxa" w:w="374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Переработка и возврат материалов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Тонны, доля извлечения, качество вторсырья.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Nature/Restoration PPA</w:t>
            </w:r>
          </w:p>
        </w:tc>
        <w:tc>
          <w:tcPr>
            <w:tcW w:type="dxa" w:w="374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Восстановление природной системы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Площадь, индекс биоразнообразия, состояние почвы.</w:t>
            </w:r>
          </w:p>
        </w:tc>
      </w:tr>
      <w:tr>
        <w:tc>
          <w:tcPr>
            <w:tcW w:type="dxa" w:w="226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Infrastructure PPA</w:t>
            </w:r>
          </w:p>
        </w:tc>
        <w:tc>
          <w:tcPr>
            <w:tcW w:type="dxa" w:w="374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Доступность и качество инфраструктурной функции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Время готовности, надёжность, охват.</w:t>
            </w:r>
          </w:p>
        </w:tc>
      </w:tr>
      <w:tr>
        <w:tc>
          <w:tcPr>
            <w:tcW w:type="dxa" w:w="226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Social Impact PPA</w:t>
            </w:r>
          </w:p>
        </w:tc>
        <w:tc>
          <w:tcPr>
            <w:tcW w:type="dxa" w:w="374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Подтверждённый социальный результат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Реабилитационный исход, доступность услуги, занятость.</w:t>
            </w:r>
          </w:p>
        </w:tc>
      </w:tr>
    </w:tbl>
    <w:p>
      <w:pPr>
        <w:pStyle w:val="Heading2"/>
        <w:keepNext/>
      </w:pPr>
      <w:r>
        <w:t>7.1. Обязательные элементы ECO‑PPA</w:t>
      </w:r>
    </w:p>
    <w:p>
      <w:pPr>
        <w:pStyle w:val="ListNumber"/>
        <w:spacing w:after="80"/>
        <w:ind w:left="408" w:hanging="215"/>
        <w:numPr>
          <w:ilvl w:val="0"/>
          <w:numId w:val="11"/>
        </w:numPr>
      </w:pPr>
      <w:r>
        <w:t>Базовая линия и методика измерения.</w:t>
      </w:r>
    </w:p>
    <w:p>
      <w:pPr>
        <w:pStyle w:val="ListNumber"/>
        <w:spacing w:after="80"/>
        <w:ind w:left="408" w:hanging="215"/>
        <w:numPr>
          <w:ilvl w:val="0"/>
          <w:numId w:val="11"/>
        </w:numPr>
      </w:pPr>
      <w:r>
        <w:t>Единицы результата и требования к качеству.</w:t>
      </w:r>
    </w:p>
    <w:p>
      <w:pPr>
        <w:pStyle w:val="ListNumber"/>
        <w:spacing w:after="80"/>
        <w:ind w:left="408" w:hanging="215"/>
        <w:numPr>
          <w:ilvl w:val="0"/>
          <w:numId w:val="11"/>
        </w:numPr>
      </w:pPr>
      <w:r>
        <w:t>Срок, объём, цена и формула индексации.</w:t>
      </w:r>
    </w:p>
    <w:p>
      <w:pPr>
        <w:pStyle w:val="ListNumber"/>
        <w:spacing w:after="80"/>
        <w:ind w:left="408" w:hanging="215"/>
        <w:numPr>
          <w:ilvl w:val="0"/>
          <w:numId w:val="11"/>
        </w:numPr>
      </w:pPr>
      <w:r>
        <w:t>Ответственность за создание, эксплуатацию и обслуживание.</w:t>
      </w:r>
    </w:p>
    <w:p>
      <w:pPr>
        <w:pStyle w:val="ListNumber"/>
        <w:spacing w:after="80"/>
        <w:ind w:left="408" w:hanging="215"/>
        <w:numPr>
          <w:ilvl w:val="0"/>
          <w:numId w:val="11"/>
        </w:numPr>
      </w:pPr>
      <w:r>
        <w:t>Порядок доступа к данным и независимой верификации.</w:t>
      </w:r>
    </w:p>
    <w:p>
      <w:pPr>
        <w:pStyle w:val="ListNumber"/>
        <w:spacing w:after="80"/>
        <w:ind w:left="408" w:hanging="215"/>
        <w:numPr>
          <w:ilvl w:val="0"/>
          <w:numId w:val="11"/>
        </w:numPr>
      </w:pPr>
      <w:r>
        <w:t>Механизм корректировки при изменении условий.</w:t>
      </w:r>
    </w:p>
    <w:p>
      <w:pPr>
        <w:pStyle w:val="ListNumber"/>
        <w:spacing w:after="80"/>
        <w:ind w:left="408" w:hanging="215"/>
        <w:numPr>
          <w:ilvl w:val="0"/>
          <w:numId w:val="11"/>
        </w:numPr>
      </w:pPr>
      <w:r>
        <w:t>Распределение технологических, рыночных и регуляторных рисков.</w:t>
      </w:r>
    </w:p>
    <w:p>
      <w:pPr>
        <w:pStyle w:val="ListNumber"/>
        <w:spacing w:after="80"/>
        <w:ind w:left="408" w:hanging="215"/>
        <w:numPr>
          <w:ilvl w:val="0"/>
          <w:numId w:val="11"/>
        </w:numPr>
      </w:pPr>
      <w:r>
        <w:t>Условия досрочного прекращения, замещения оператора и передачи объекта.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 w:val="true"/>
        </w:trPr>
        <w:tc>
          <w:tcPr>
            <w:tcW w:type="dxa" w:w="9524"/>
            <w:tcMar>
              <w:top w:w="100" w:type="dxa"/>
              <w:start w:w="120" w:type="dxa"/>
              <w:bottom w:w="100" w:type="dxa"/>
              <w:end w:w="120" w:type="dxa"/>
            </w:tcMar>
            <w:shd w:fill="DDEBF7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0F7C80"/>
                <w:sz w:val="21"/>
              </w:rPr>
              <w:t xml:space="preserve">ПРАВОВАЯ ОГОВОРКА </w:t>
            </w:r>
            <w:r>
              <w:rPr>
                <w:rFonts w:ascii="Aptos" w:hAnsi="Aptos" w:eastAsia="Aptos"/>
                <w:b w:val="0"/>
                <w:i w:val="0"/>
                <w:color w:val="17365D"/>
                <w:sz w:val="21"/>
              </w:rPr>
              <w:t>Каждая модель ECO‑PPA требует отдельной квалификации по российскому праву: предмет договора, закупочные процедуры, тарифные последствия, бюджетные обязательства, налогообложение, права на данные и результат.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8. Система управления и роли участников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4195"/>
        <w:gridCol w:w="2948"/>
      </w:tblGrid>
      <w:tr>
        <w:trPr>
          <w:tblHeader w:val="true"/>
        </w:trP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Орган</w:t>
            </w:r>
          </w:p>
        </w:tc>
        <w:tc>
          <w:tcPr>
            <w:tcW w:type="dxa" w:w="4195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Функции</w:t>
            </w:r>
          </w:p>
        </w:tc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Состав / принцип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Стратегический совет</w:t>
            </w:r>
          </w:p>
        </w:tc>
        <w:tc>
          <w:tcPr>
            <w:tcW w:type="dxa" w:w="4195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Приоритеты, ключевые решения, межведомственная координация.</w:t>
            </w:r>
          </w:p>
        </w:tc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Уполномоченные представители государства, АСИ и ключевых партнёров.</w:t>
            </w:r>
          </w:p>
        </w:tc>
      </w:tr>
      <w:tr>
        <w:tc>
          <w:tcPr>
            <w:tcW w:type="dxa" w:w="238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Научно-технический совет</w:t>
            </w:r>
          </w:p>
        </w:tc>
        <w:tc>
          <w:tcPr>
            <w:tcW w:type="dxa" w:w="4195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Методики, экспертиза, технологические ворота, этика и безопасность.</w:t>
            </w:r>
          </w:p>
        </w:tc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Учёные, инженеры, отраслевые эксперты, испытательные центры.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Промышленный совет</w:t>
            </w:r>
          </w:p>
        </w:tc>
        <w:tc>
          <w:tcPr>
            <w:tcW w:type="dxa" w:w="4195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Кооперация, локализация, производство, качество и сервис.</w:t>
            </w:r>
          </w:p>
        </w:tc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Предприятия, ТПП, РСПП, отраслевые объединения.</w:t>
            </w:r>
          </w:p>
        </w:tc>
      </w:tr>
      <w:tr>
        <w:tc>
          <w:tcPr>
            <w:tcW w:type="dxa" w:w="238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Инвестиционный комитет</w:t>
            </w:r>
          </w:p>
        </w:tc>
        <w:tc>
          <w:tcPr>
            <w:tcW w:type="dxa" w:w="4195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Финансовые модели, риски, инструменты и условия финансирования.</w:t>
            </w:r>
          </w:p>
        </w:tc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Институты развития, банки, фонды, заказчики.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Проектный офис</w:t>
            </w:r>
          </w:p>
        </w:tc>
        <w:tc>
          <w:tcPr>
            <w:tcW w:type="dxa" w:w="4195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Ежедневное управление портфелем, регламенты, отчётность и сопровождение.</w:t>
            </w:r>
          </w:p>
        </w:tc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Профессиональная команда программы.</w:t>
            </w:r>
          </w:p>
        </w:tc>
      </w:tr>
      <w:tr>
        <w:tc>
          <w:tcPr>
            <w:tcW w:type="dxa" w:w="238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Региональные офисы</w:t>
            </w:r>
          </w:p>
        </w:tc>
        <w:tc>
          <w:tcPr>
            <w:tcW w:type="dxa" w:w="4195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Площадки, разрешения, инфраструктура, региональные меры поддержки.</w:t>
            </w:r>
          </w:p>
        </w:tc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Органы власти, корпорации развития, муниципалитеты.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Центр верификации</w:t>
            </w:r>
          </w:p>
        </w:tc>
        <w:tc>
          <w:tcPr>
            <w:tcW w:type="dxa" w:w="4195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Метрики, базовые линии, аудит данных и эффектов.</w:t>
            </w:r>
          </w:p>
        </w:tc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Независимые аккредитованные организации.</w:t>
            </w:r>
          </w:p>
        </w:tc>
      </w:tr>
    </w:tbl>
    <w:p>
      <w:pPr>
        <w:pStyle w:val="Heading2"/>
        <w:keepNext/>
      </w:pPr>
      <w:r>
        <w:t>8.1. Предлагаемое распределение ролей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834"/>
        <w:gridCol w:w="6689"/>
      </w:tblGrid>
      <w:tr>
        <w:trPr>
          <w:tblHeader w:val="true"/>
        </w:trPr>
        <w:tc>
          <w:tcPr>
            <w:tcW w:type="dxa" w:w="2834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Участник</w:t>
            </w:r>
          </w:p>
        </w:tc>
        <w:tc>
          <w:tcPr>
            <w:tcW w:type="dxa" w:w="6689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Предлагаемая роль</w:t>
            </w:r>
          </w:p>
        </w:tc>
      </w:tr>
      <w:tr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АСИ</w:t>
            </w:r>
          </w:p>
        </w:tc>
        <w:tc>
          <w:tcPr>
            <w:tcW w:type="dxa" w:w="668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Инициативы, сервисы поддержки, барьеры, регионы, лидерские проекты и тиражирование.</w:t>
            </w:r>
          </w:p>
        </w:tc>
      </w:tr>
      <w:tr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Профильные министерства</w:t>
            </w:r>
          </w:p>
        </w:tc>
        <w:tc>
          <w:tcPr>
            <w:tcW w:type="dxa" w:w="668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Нормативная политика, госпрограммы, отраслевые приоритеты и меры поддержки.</w:t>
            </w:r>
          </w:p>
        </w:tc>
      </w:tr>
      <w:tr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РАН, университеты, НОЦ</w:t>
            </w:r>
          </w:p>
        </w:tc>
        <w:tc>
          <w:tcPr>
            <w:tcW w:type="dxa" w:w="668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Научная экспертиза, НИОКР, лаборатории, кадры и исследовательская инфраструктура.</w:t>
            </w:r>
          </w:p>
        </w:tc>
      </w:tr>
      <w:tr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ТПП РФ и региональные палаты</w:t>
            </w:r>
          </w:p>
        </w:tc>
        <w:tc>
          <w:tcPr>
            <w:tcW w:type="dxa" w:w="668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Поиск предприятий, деловая экспертиза, межрегиональная и внешняя кооперация.</w:t>
            </w:r>
          </w:p>
        </w:tc>
      </w:tr>
      <w:tr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РСПП и отраслевые союзы</w:t>
            </w:r>
          </w:p>
        </w:tc>
        <w:tc>
          <w:tcPr>
            <w:tcW w:type="dxa" w:w="668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Корпоративный спрос, индустриальные партнёры, стандарты и масштабирование.</w:t>
            </w:r>
          </w:p>
        </w:tc>
      </w:tr>
      <w:tr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СПЕЦЗАЩИТА</w:t>
            </w:r>
          </w:p>
        </w:tc>
        <w:tc>
          <w:tcPr>
            <w:tcW w:type="dxa" w:w="668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Сборка проектных консорциумов и кооперационная организация исполнения.</w:t>
            </w:r>
          </w:p>
        </w:tc>
      </w:tr>
      <w:tr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ЭКВИЛИБРИУМ</w:t>
            </w:r>
          </w:p>
        </w:tc>
        <w:tc>
          <w:tcPr>
            <w:tcW w:type="dxa" w:w="668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Цифровой реестр, аналитика, баланс ресурсов, цифровые двойники, мониторинг KPI.</w:t>
            </w:r>
          </w:p>
        </w:tc>
      </w:tr>
      <w:tr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Регионы</w:t>
            </w:r>
          </w:p>
        </w:tc>
        <w:tc>
          <w:tcPr>
            <w:tcW w:type="dxa" w:w="668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Потребности, площадки, инфраструктура, разрешительные процессы и региональный заказ.</w:t>
            </w:r>
          </w:p>
        </w:tc>
      </w:tr>
      <w:tr>
        <w:tc>
          <w:tcPr>
            <w:tcW w:type="dxa" w:w="283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Банки и фонды</w:t>
            </w:r>
          </w:p>
        </w:tc>
        <w:tc>
          <w:tcPr>
            <w:tcW w:type="dxa" w:w="6689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Финансирование, гарантии, оценка рисков и инвестиционная дисциплина.</w:t>
            </w:r>
          </w:p>
        </w:tc>
      </w:tr>
      <w:tr>
        <w:tc>
          <w:tcPr>
            <w:tcW w:type="dxa" w:w="283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Заказчики</w:t>
            </w:r>
          </w:p>
        </w:tc>
        <w:tc>
          <w:tcPr>
            <w:tcW w:type="dxa" w:w="6689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Техническое задание, приёмка результата, долгосрочный контракт и эксплуатация.</w:t>
            </w:r>
          </w:p>
        </w:tc>
      </w:tr>
    </w:tbl>
    <w:p>
      <w:pPr>
        <w:pStyle w:val="Heading1"/>
        <w:keepNext/>
      </w:pPr>
      <w:r>
        <w:t>9. Финансовая модель</w:t>
      </w:r>
    </w:p>
    <w:p>
      <w:r>
        <w:t>Финансовая архитектура должна соответствовать стадии проекта. На ранних этапах преобладают грантовые и бюджетные инструменты риска, на поздних — проектное финансирование, корпоративный заказ и денежный поток по долгосрочным контрактам.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700"/>
        <w:gridCol w:w="3061"/>
        <w:gridCol w:w="4762"/>
      </w:tblGrid>
      <w:tr>
        <w:trPr>
          <w:tblHeader w:val="true"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Стадия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Потребность</w:t>
            </w:r>
          </w:p>
        </w:tc>
        <w:tc>
          <w:tcPr>
            <w:tcW w:type="dxa" w:w="4762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Возможные инструменты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Исследование</w:t>
            </w:r>
          </w:p>
        </w:tc>
        <w:tc>
          <w:tcPr>
            <w:tcW w:type="dxa" w:w="306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Научная гипотеза, лабораторная база, команда.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Гранты, НИР, целевое финансирование, университетские программы.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Прототип</w:t>
            </w:r>
          </w:p>
        </w:tc>
        <w:tc>
          <w:tcPr>
            <w:tcW w:type="dxa" w:w="306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Конструкторская работа, материалы, испытания.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НИОКР, венчурное финансирование, корпоративный акселератор.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Пилот</w:t>
            </w:r>
          </w:p>
        </w:tc>
        <w:tc>
          <w:tcPr>
            <w:tcW w:type="dxa" w:w="306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Оборудование, площадка, подключение, мониторинг.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Субсидии, региональная поддержка, партнёрское финансирование.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Первая серия</w:t>
            </w:r>
          </w:p>
        </w:tc>
        <w:tc>
          <w:tcPr>
            <w:tcW w:type="dxa" w:w="306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Линия, оборотный капитал, сертификация.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Льготный заём, банковский кредит, лизинг, гарантии.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Масштабирование</w:t>
            </w:r>
          </w:p>
        </w:tc>
        <w:tc>
          <w:tcPr>
            <w:tcW w:type="dxa" w:w="306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Сеть объектов и производственных мощностей.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Проектное финансирование, ГЧП, концессия, облигации/ЦФА при правовой допустимости.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Эксплуатация</w:t>
            </w:r>
          </w:p>
        </w:tc>
        <w:tc>
          <w:tcPr>
            <w:tcW w:type="dxa" w:w="306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Сервис, обслуживание, закупка результата.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Выручка по ECO‑PPA, сервисному или жизненному контракту.</w:t>
            </w:r>
          </w:p>
        </w:tc>
      </w:tr>
    </w:tbl>
    <w:p>
      <w:pPr>
        <w:pStyle w:val="Heading2"/>
        <w:keepNext/>
      </w:pPr>
      <w:r>
        <w:t>9.1. Принцип финансовой дисциплины</w:t>
      </w:r>
    </w:p>
    <w:p>
      <w:pPr>
        <w:pStyle w:val="ListBullet"/>
        <w:spacing w:after="60" w:line="276" w:lineRule="auto"/>
        <w:ind w:left="369" w:hanging="170"/>
      </w:pPr>
      <w:r>
        <w:t>раздельный учёт средств по проектам и стадиям;</w:t>
      </w:r>
    </w:p>
    <w:p>
      <w:pPr>
        <w:pStyle w:val="ListBullet"/>
        <w:spacing w:after="60" w:line="276" w:lineRule="auto"/>
        <w:ind w:left="369" w:hanging="170"/>
      </w:pPr>
      <w:r>
        <w:t>финансирование траншами после контрольных ворот;</w:t>
      </w:r>
    </w:p>
    <w:p>
      <w:pPr>
        <w:pStyle w:val="ListBullet"/>
        <w:spacing w:after="60" w:line="276" w:lineRule="auto"/>
        <w:ind w:left="369" w:hanging="170"/>
      </w:pPr>
      <w:r>
        <w:t>единый реестр договоров, обязательств и результатов;</w:t>
      </w:r>
    </w:p>
    <w:p>
      <w:pPr>
        <w:pStyle w:val="ListBullet"/>
        <w:spacing w:after="60" w:line="276" w:lineRule="auto"/>
        <w:ind w:left="369" w:hanging="170"/>
      </w:pPr>
      <w:r>
        <w:t>независимый технический и финансовый контроль;</w:t>
      </w:r>
    </w:p>
    <w:p>
      <w:pPr>
        <w:pStyle w:val="ListBullet"/>
        <w:spacing w:after="60" w:line="276" w:lineRule="auto"/>
        <w:ind w:left="369" w:hanging="170"/>
      </w:pPr>
      <w:r>
        <w:t>запрет двойного финансирования одного результата;</w:t>
      </w:r>
    </w:p>
    <w:p>
      <w:pPr>
        <w:pStyle w:val="ListBullet"/>
        <w:spacing w:after="60" w:line="276" w:lineRule="auto"/>
        <w:ind w:left="369" w:hanging="170"/>
      </w:pPr>
      <w:r>
        <w:t>раскрытие бенефициаров, конфликта интересов и прав на интеллектуальную собственность;</w:t>
      </w:r>
    </w:p>
    <w:p>
      <w:pPr>
        <w:pStyle w:val="ListBullet"/>
        <w:spacing w:after="60" w:line="276" w:lineRule="auto"/>
        <w:ind w:left="369" w:hanging="170"/>
      </w:pPr>
      <w:r>
        <w:t>резервирование средств на эксплуатацию, сервис и вывод из эксплуатации.</w:t>
      </w:r>
    </w:p>
    <w:p>
      <w:pPr>
        <w:pStyle w:val="Heading1"/>
        <w:keepNext/>
      </w:pPr>
      <w:r>
        <w:t>10. Цифровая платформа ЭКВИЛИБРИУМ</w:t>
      </w:r>
    </w:p>
    <w:p>
      <w:r>
        <w:t>ЭКВИЛИБРИУМ выполняет роль цифровой среды программы, но не заменяет государственные информационные системы и ведомственные реестры. Интеграция осуществляется на основании соглашений, требований безопасности и законодательства о данных.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576"/>
      </w:tblGrid>
      <w:tr>
        <w:trPr>
          <w:tblHeader w:val="true"/>
        </w:trP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Модуль</w:t>
            </w:r>
          </w:p>
        </w:tc>
        <w:tc>
          <w:tcPr>
            <w:tcW w:type="dxa" w:w="6576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Назначение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Реестр инициатив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Единые карточки разработок, команд, прав и статусов.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Карта потребностей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Запросы регионов, предприятий и отраслей.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Реестр экспертов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Компетенции, независимость, история заключений.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Портфель программы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Стадии, контрольные ворота, ресурсы, сроки и решения.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Цифровые двойники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Моделирование объекта, территории и сценариев.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Контур ECO‑PPA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Базовые линии, показатели, графики поставки и оплаты.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Мониторинг биоценозов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Данные точек наблюдения и индексы состояния экосистем.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Панель руководителя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Риски, отклонения, эффекты и потребность в решениях.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Контур верификации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Происхождение данных, протоколы измерения, заключения.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База знаний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Стандарты, типовые документы, результаты и уроки проектов.</w:t>
            </w:r>
          </w:p>
        </w:tc>
      </w:tr>
    </w:tbl>
    <w:p>
      <w:pPr>
        <w:pStyle w:val="Heading2"/>
        <w:keepNext/>
      </w:pPr>
      <w:r>
        <w:t>10.1. Требования к данным</w:t>
      </w:r>
    </w:p>
    <w:p>
      <w:pPr>
        <w:pStyle w:val="ListBullet"/>
        <w:spacing w:after="60" w:line="276" w:lineRule="auto"/>
        <w:ind w:left="369" w:hanging="170"/>
      </w:pPr>
      <w:r>
        <w:t>прослеживаемость происхождения и изменений данных;</w:t>
      </w:r>
    </w:p>
    <w:p>
      <w:pPr>
        <w:pStyle w:val="ListBullet"/>
        <w:spacing w:after="60" w:line="276" w:lineRule="auto"/>
        <w:ind w:left="369" w:hanging="170"/>
      </w:pPr>
      <w:r>
        <w:t>разграничение доступа и журналирование действий;</w:t>
      </w:r>
    </w:p>
    <w:p>
      <w:pPr>
        <w:pStyle w:val="ListBullet"/>
        <w:spacing w:after="60" w:line="276" w:lineRule="auto"/>
        <w:ind w:left="369" w:hanging="170"/>
      </w:pPr>
      <w:r>
        <w:t>совместимость с российскими требованиями информационной безопасности;</w:t>
      </w:r>
    </w:p>
    <w:p>
      <w:pPr>
        <w:pStyle w:val="ListBullet"/>
        <w:spacing w:after="60" w:line="276" w:lineRule="auto"/>
        <w:ind w:left="369" w:hanging="170"/>
      </w:pPr>
      <w:r>
        <w:t>машиночитаемые показатели и открытые интерфейсы там, где это допустимо;</w:t>
      </w:r>
    </w:p>
    <w:p>
      <w:pPr>
        <w:pStyle w:val="ListBullet"/>
        <w:spacing w:after="60" w:line="276" w:lineRule="auto"/>
        <w:ind w:left="369" w:hanging="170"/>
      </w:pPr>
      <w:r>
        <w:t>хранение доказательств, протоколов и версий методик;</w:t>
      </w:r>
    </w:p>
    <w:p>
      <w:pPr>
        <w:pStyle w:val="ListBullet"/>
        <w:spacing w:after="60" w:line="276" w:lineRule="auto"/>
        <w:ind w:left="369" w:hanging="170"/>
      </w:pPr>
      <w:r>
        <w:t>минимизация персональных и чувствительных данных;</w:t>
      </w:r>
    </w:p>
    <w:p>
      <w:pPr>
        <w:pStyle w:val="ListBullet"/>
        <w:spacing w:after="60" w:line="276" w:lineRule="auto"/>
        <w:ind w:left="369" w:hanging="170"/>
      </w:pPr>
      <w:r>
        <w:t>независимый аудит алгоритмов, влияющих на решения о финансировании и допуске.</w:t>
      </w:r>
    </w:p>
    <w:p>
      <w:pPr>
        <w:pStyle w:val="Heading1"/>
        <w:keepNext/>
      </w:pPr>
      <w:r>
        <w:t>11. Предлагаемый пилотный портфель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453"/>
        <w:gridCol w:w="1984"/>
        <w:gridCol w:w="4762"/>
        <w:gridCol w:w="2324"/>
      </w:tblGrid>
      <w:tr>
        <w:trPr>
          <w:tblHeader w:val="true"/>
        </w:trPr>
        <w:tc>
          <w:tcPr>
            <w:tcW w:type="dxa" w:w="453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№</w:t>
            </w:r>
          </w:p>
        </w:tc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Пилот</w:t>
            </w:r>
          </w:p>
        </w:tc>
        <w:tc>
          <w:tcPr>
            <w:tcW w:type="dxa" w:w="4762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Содержание</w:t>
            </w:r>
          </w:p>
        </w:tc>
        <w:tc>
          <w:tcPr>
            <w:tcW w:type="dxa" w:w="2324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Базовая площадка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</w:t>
            </w:r>
          </w:p>
        </w:tc>
        <w:tc>
          <w:tcPr>
            <w:tcW w:type="dxa" w:w="198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Экомодуль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Автономный комплекс энергии, воды, связи, жилья и переработки для удалённой территории.</w:t>
            </w:r>
          </w:p>
        </w:tc>
        <w:tc>
          <w:tcPr>
            <w:tcW w:type="dxa" w:w="232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Регион / муниципалитет</w:t>
            </w:r>
          </w:p>
        </w:tc>
      </w:tr>
      <w:tr>
        <w:tc>
          <w:tcPr>
            <w:tcW w:type="dxa" w:w="45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2</w:t>
            </w:r>
          </w:p>
        </w:tc>
        <w:tc>
          <w:tcPr>
            <w:tcW w:type="dxa" w:w="198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Мини-генерация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Гибридная локальная энергосистема с накопителем и цифровым управлением.</w:t>
            </w:r>
          </w:p>
        </w:tc>
        <w:tc>
          <w:tcPr>
            <w:tcW w:type="dxa" w:w="232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Социальный или промышленный объект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3</w:t>
            </w:r>
          </w:p>
        </w:tc>
        <w:tc>
          <w:tcPr>
            <w:tcW w:type="dxa" w:w="198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Биоценозная точка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Непрерывное наблюдение за воздухом, водой, почвой, биоразнообразием и нагрузкой.</w:t>
            </w:r>
          </w:p>
        </w:tc>
        <w:tc>
          <w:tcPr>
            <w:tcW w:type="dxa" w:w="232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ООПТ / промышленная зона</w:t>
            </w:r>
          </w:p>
        </w:tc>
      </w:tr>
      <w:tr>
        <w:tc>
          <w:tcPr>
            <w:tcW w:type="dxa" w:w="45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4</w:t>
            </w:r>
          </w:p>
        </w:tc>
        <w:tc>
          <w:tcPr>
            <w:tcW w:type="dxa" w:w="198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Замкнутый водный цикл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Очистка и повторное использование воды с подтверждением качества.</w:t>
            </w:r>
          </w:p>
        </w:tc>
        <w:tc>
          <w:tcPr>
            <w:tcW w:type="dxa" w:w="232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Предприятие / ЖКХ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5</w:t>
            </w:r>
          </w:p>
        </w:tc>
        <w:tc>
          <w:tcPr>
            <w:tcW w:type="dxa" w:w="198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Переработка материалов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Возврат ценных компонентов и безопасная утилизация сложных отходов.</w:t>
            </w:r>
          </w:p>
        </w:tc>
        <w:tc>
          <w:tcPr>
            <w:tcW w:type="dxa" w:w="232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Промышленный кластер</w:t>
            </w:r>
          </w:p>
        </w:tc>
      </w:tr>
      <w:tr>
        <w:tc>
          <w:tcPr>
            <w:tcW w:type="dxa" w:w="45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6</w:t>
            </w:r>
          </w:p>
        </w:tc>
        <w:tc>
          <w:tcPr>
            <w:tcW w:type="dxa" w:w="198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Стабилизация грунтов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Технология укрепления оснований и восстановления нарушенных земель.</w:t>
            </w:r>
          </w:p>
        </w:tc>
        <w:tc>
          <w:tcPr>
            <w:tcW w:type="dxa" w:w="232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Дорожный / строительный объект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7</w:t>
            </w:r>
          </w:p>
        </w:tc>
        <w:tc>
          <w:tcPr>
            <w:tcW w:type="dxa" w:w="198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Материалы высокой чистоты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Пилотная линия получения материалов 6N и сопутствующая система качества.</w:t>
            </w:r>
          </w:p>
        </w:tc>
        <w:tc>
          <w:tcPr>
            <w:tcW w:type="dxa" w:w="232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Научно-производственная площадка</w:t>
            </w:r>
          </w:p>
        </w:tc>
      </w:tr>
      <w:tr>
        <w:tc>
          <w:tcPr>
            <w:tcW w:type="dxa" w:w="45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8</w:t>
            </w:r>
          </w:p>
        </w:tc>
        <w:tc>
          <w:tcPr>
            <w:tcW w:type="dxa" w:w="198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Биоферма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Замкнутый агробиотехнологический модуль с ресурсным мониторингом.</w:t>
            </w:r>
          </w:p>
        </w:tc>
        <w:tc>
          <w:tcPr>
            <w:tcW w:type="dxa" w:w="232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Сельская территория</w:t>
            </w:r>
          </w:p>
        </w:tc>
      </w:tr>
      <w:tr>
        <w:tc>
          <w:tcPr>
            <w:tcW w:type="dxa" w:w="45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9</w:t>
            </w:r>
          </w:p>
        </w:tc>
        <w:tc>
          <w:tcPr>
            <w:tcW w:type="dxa" w:w="198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Реабилитационный модуль</w:t>
            </w:r>
          </w:p>
        </w:tc>
        <w:tc>
          <w:tcPr>
            <w:tcW w:type="dxa" w:w="476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Комплекс диагностики, восстановления и сопровождения человека.</w:t>
            </w:r>
          </w:p>
        </w:tc>
        <w:tc>
          <w:tcPr>
            <w:tcW w:type="dxa" w:w="232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Медицинская / социальная организация</w:t>
            </w:r>
          </w:p>
        </w:tc>
      </w:tr>
      <w:tr>
        <w:tc>
          <w:tcPr>
            <w:tcW w:type="dxa" w:w="45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10</w:t>
            </w:r>
          </w:p>
        </w:tc>
        <w:tc>
          <w:tcPr>
            <w:tcW w:type="dxa" w:w="198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Цифровой двойник</w:t>
            </w:r>
          </w:p>
        </w:tc>
        <w:tc>
          <w:tcPr>
            <w:tcW w:type="dxa" w:w="476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Модель ресурсов, инфраструктуры и рисков пилотной территории.</w:t>
            </w:r>
          </w:p>
        </w:tc>
        <w:tc>
          <w:tcPr>
            <w:tcW w:type="dxa" w:w="232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Региональный проектный офис</w:t>
            </w:r>
          </w:p>
        </w:tc>
      </w:tr>
    </w:tbl>
    <w:p>
      <w:pPr>
        <w:pStyle w:val="Heading2"/>
        <w:keepNext/>
      </w:pPr>
      <w:r>
        <w:t>11.1. Критерии выбора пилота</w:t>
      </w:r>
    </w:p>
    <w:p>
      <w:pPr>
        <w:pStyle w:val="ListBullet"/>
        <w:spacing w:after="60" w:line="276" w:lineRule="auto"/>
        <w:ind w:left="369" w:hanging="170"/>
      </w:pPr>
      <w:r>
        <w:t>стратегическая значимость и подтверждённая потребность заказчика;</w:t>
      </w:r>
    </w:p>
    <w:p>
      <w:pPr>
        <w:pStyle w:val="ListBullet"/>
        <w:spacing w:after="60" w:line="276" w:lineRule="auto"/>
        <w:ind w:left="369" w:hanging="170"/>
      </w:pPr>
      <w:r>
        <w:t>технологическая готовность, достаточная для испытания в реальных условиях;</w:t>
      </w:r>
    </w:p>
    <w:p>
      <w:pPr>
        <w:pStyle w:val="ListBullet"/>
        <w:spacing w:after="60" w:line="276" w:lineRule="auto"/>
        <w:ind w:left="369" w:hanging="170"/>
      </w:pPr>
      <w:r>
        <w:t>наличие правообладателя и понятная модель интеллектуальных прав;</w:t>
      </w:r>
    </w:p>
    <w:p>
      <w:pPr>
        <w:pStyle w:val="ListBullet"/>
        <w:spacing w:after="60" w:line="276" w:lineRule="auto"/>
        <w:ind w:left="369" w:hanging="170"/>
      </w:pPr>
      <w:r>
        <w:t>измеримый результат и возможность задать базовую линию;</w:t>
      </w:r>
    </w:p>
    <w:p>
      <w:pPr>
        <w:pStyle w:val="ListBullet"/>
        <w:spacing w:after="60" w:line="276" w:lineRule="auto"/>
        <w:ind w:left="369" w:hanging="170"/>
      </w:pPr>
      <w:r>
        <w:t>площадка, ответственный оператор и доступ к инфраструктуре;</w:t>
      </w:r>
    </w:p>
    <w:p>
      <w:pPr>
        <w:pStyle w:val="ListBullet"/>
        <w:spacing w:after="60" w:line="276" w:lineRule="auto"/>
        <w:ind w:left="369" w:hanging="170"/>
      </w:pPr>
      <w:r>
        <w:t>план сертификации и регуляторная реализуемость;</w:t>
      </w:r>
    </w:p>
    <w:p>
      <w:pPr>
        <w:pStyle w:val="ListBullet"/>
        <w:spacing w:after="60" w:line="276" w:lineRule="auto"/>
        <w:ind w:left="369" w:hanging="170"/>
      </w:pPr>
      <w:r>
        <w:t>финансовая модель первой серии и потенциал тиражирования;</w:t>
      </w:r>
    </w:p>
    <w:p>
      <w:pPr>
        <w:pStyle w:val="ListBullet"/>
        <w:spacing w:after="60" w:line="276" w:lineRule="auto"/>
        <w:ind w:left="369" w:hanging="170"/>
      </w:pPr>
      <w:r>
        <w:t>приемлемый профиль безопасности и рисков.</w:t>
      </w:r>
    </w:p>
    <w:p>
      <w:pPr>
        <w:pStyle w:val="Heading1"/>
        <w:keepNext/>
      </w:pPr>
      <w:r>
        <w:t>12. Показатели эффективности</w:t>
      </w:r>
    </w:p>
    <w:p>
      <w:r>
        <w:t>Показатели должны фиксироваться после стартовой инвентаризации. Ниже приведены предлагаемые ориентиры пилотного цикла, которые требуют согласования с участниками и финансовой моделью.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927"/>
        <w:gridCol w:w="4081"/>
        <w:gridCol w:w="3514"/>
      </w:tblGrid>
      <w:tr>
        <w:trPr>
          <w:tblHeader w:val="true"/>
        </w:trPr>
        <w:tc>
          <w:tcPr>
            <w:tcW w:type="dxa" w:w="1927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Группа</w:t>
            </w:r>
          </w:p>
        </w:tc>
        <w:tc>
          <w:tcPr>
            <w:tcW w:type="dxa" w:w="4081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Показатель</w:t>
            </w:r>
          </w:p>
        </w:tc>
        <w:tc>
          <w:tcPr>
            <w:tcW w:type="dxa" w:w="3514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Ориентир к концу 2028 года</w:t>
            </w:r>
          </w:p>
        </w:tc>
      </w:tr>
      <w:tr>
        <w:tc>
          <w:tcPr>
            <w:tcW w:type="dxa" w:w="192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Портфель</w:t>
            </w:r>
          </w:p>
        </w:tc>
        <w:tc>
          <w:tcPr>
            <w:tcW w:type="dxa" w:w="40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Прошли первичный скрининг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100 инициатив</w:t>
            </w:r>
          </w:p>
        </w:tc>
      </w:tr>
      <w:tr>
        <w:tc>
          <w:tcPr>
            <w:tcW w:type="dxa" w:w="192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Экспертиза</w:t>
            </w:r>
          </w:p>
        </w:tc>
        <w:tc>
          <w:tcPr>
            <w:tcW w:type="dxa" w:w="408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Получили комплексное заключение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50 проектов</w:t>
            </w:r>
          </w:p>
        </w:tc>
      </w:tr>
      <w:tr>
        <w:tc>
          <w:tcPr>
            <w:tcW w:type="dxa" w:w="192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Пилоты</w:t>
            </w:r>
          </w:p>
        </w:tc>
        <w:tc>
          <w:tcPr>
            <w:tcW w:type="dxa" w:w="40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Запущены в реальных условиях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19 пилотов</w:t>
            </w:r>
          </w:p>
        </w:tc>
      </w:tr>
      <w:tr>
        <w:tc>
          <w:tcPr>
            <w:tcW w:type="dxa" w:w="192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Верификация</w:t>
            </w:r>
          </w:p>
        </w:tc>
        <w:tc>
          <w:tcPr>
            <w:tcW w:type="dxa" w:w="408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Подтвердили заявленный результат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12 проектов</w:t>
            </w:r>
          </w:p>
        </w:tc>
      </w:tr>
      <w:tr>
        <w:tc>
          <w:tcPr>
            <w:tcW w:type="dxa" w:w="192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Производство</w:t>
            </w:r>
          </w:p>
        </w:tc>
        <w:tc>
          <w:tcPr>
            <w:tcW w:type="dxa" w:w="40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Доведены до первой серии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10 решений</w:t>
            </w:r>
          </w:p>
        </w:tc>
      </w:tr>
      <w:tr>
        <w:tc>
          <w:tcPr>
            <w:tcW w:type="dxa" w:w="192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Контрактование</w:t>
            </w:r>
          </w:p>
        </w:tc>
        <w:tc>
          <w:tcPr>
            <w:tcW w:type="dxa" w:w="408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Заключены долгосрочные контракты / ECO‑PPA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10 соглашений</w:t>
            </w:r>
          </w:p>
        </w:tc>
      </w:tr>
      <w:tr>
        <w:tc>
          <w:tcPr>
            <w:tcW w:type="dxa" w:w="192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География</w:t>
            </w:r>
          </w:p>
        </w:tc>
        <w:tc>
          <w:tcPr>
            <w:tcW w:type="dxa" w:w="40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Участвуют в пилотном контуре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5 регионов</w:t>
            </w:r>
          </w:p>
        </w:tc>
      </w:tr>
      <w:tr>
        <w:tc>
          <w:tcPr>
            <w:tcW w:type="dxa" w:w="192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Кооперация</w:t>
            </w:r>
          </w:p>
        </w:tc>
        <w:tc>
          <w:tcPr>
            <w:tcW w:type="dxa" w:w="408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Подключены научные и промышленные партнёры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50 организаций</w:t>
            </w:r>
          </w:p>
        </w:tc>
      </w:tr>
      <w:tr>
        <w:tc>
          <w:tcPr>
            <w:tcW w:type="dxa" w:w="192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Стандарты</w:t>
            </w:r>
          </w:p>
        </w:tc>
        <w:tc>
          <w:tcPr>
            <w:tcW w:type="dxa" w:w="408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Разработаны методики и типовые документы</w:t>
            </w:r>
          </w:p>
        </w:tc>
        <w:tc>
          <w:tcPr>
            <w:tcW w:type="dxa" w:w="3514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5 пакетов</w:t>
            </w:r>
          </w:p>
        </w:tc>
      </w:tr>
      <w:tr>
        <w:tc>
          <w:tcPr>
            <w:tcW w:type="dxa" w:w="192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Экспорт</w:t>
            </w:r>
          </w:p>
        </w:tc>
        <w:tc>
          <w:tcPr>
            <w:tcW w:type="dxa" w:w="408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Сформированы предложения для внешних рынков</w:t>
            </w:r>
          </w:p>
        </w:tc>
        <w:tc>
          <w:tcPr>
            <w:tcW w:type="dxa" w:w="3514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 менее 5 решений</w:t>
            </w:r>
          </w:p>
        </w:tc>
      </w:tr>
    </w:tbl>
    <w:p>
      <w:pPr>
        <w:pStyle w:val="Heading2"/>
        <w:keepNext/>
      </w:pPr>
      <w:r>
        <w:t>12.1. Баланс показателей</w:t>
      </w:r>
    </w:p>
    <w:p>
      <w:r>
        <w:t>Недопустимо оценивать программу только количеством мероприятий, заявок или участников. Верхнеуровневый индекс должен учитывать пять измерений: технологическую готовность, производственную готовность, экономическую устойчивость, подтверждённый эффект и масштаб внедрения.</w:t>
      </w:r>
    </w:p>
    <w:p>
      <w:pPr>
        <w:pStyle w:val="Heading1"/>
        <w:keepNext/>
      </w:pPr>
      <w:r>
        <w:t>13. Дорожная карта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700"/>
        <w:gridCol w:w="2097"/>
        <w:gridCol w:w="5725"/>
      </w:tblGrid>
      <w:tr>
        <w:trPr>
          <w:tblHeader w:val="true"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Период</w:t>
            </w:r>
          </w:p>
        </w:tc>
        <w:tc>
          <w:tcPr>
            <w:tcW w:type="dxa" w:w="2097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Этап</w:t>
            </w:r>
          </w:p>
        </w:tc>
        <w:tc>
          <w:tcPr>
            <w:tcW w:type="dxa" w:w="5725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Ключевые результаты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0–3 месяца</w:t>
            </w:r>
          </w:p>
        </w:tc>
        <w:tc>
          <w:tcPr>
            <w:tcW w:type="dxa" w:w="209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Организация</w:t>
            </w:r>
          </w:p>
        </w:tc>
        <w:tc>
          <w:tcPr>
            <w:tcW w:type="dxa" w:w="5725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Оргкомитет; паспорт программы; регламент; карта партнёров; предварительный портфель.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3–6 месяцев</w:t>
            </w:r>
          </w:p>
        </w:tc>
        <w:tc>
          <w:tcPr>
            <w:tcW w:type="dxa" w:w="209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Проектирование</w:t>
            </w:r>
          </w:p>
        </w:tc>
        <w:tc>
          <w:tcPr>
            <w:tcW w:type="dxa" w:w="5725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Экспертиза; отбор регионов; типовые документы; архитектура данных; финансовые модели.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6–12 месяцев</w:t>
            </w:r>
          </w:p>
        </w:tc>
        <w:tc>
          <w:tcPr>
            <w:tcW w:type="dxa" w:w="209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Подготовка пилотов</w:t>
            </w:r>
          </w:p>
        </w:tc>
        <w:tc>
          <w:tcPr>
            <w:tcW w:type="dxa" w:w="5725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Консорциумы; ТЗ; площадки; разрешения; финансирование; базовые измерения.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12–24 месяца</w:t>
            </w:r>
          </w:p>
        </w:tc>
        <w:tc>
          <w:tcPr>
            <w:tcW w:type="dxa" w:w="209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Пилотирование</w:t>
            </w:r>
          </w:p>
        </w:tc>
        <w:tc>
          <w:tcPr>
            <w:tcW w:type="dxa" w:w="5725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Создание объектов; эксплуатация; мониторинг; корректировка; сертификация.</w:t>
            </w:r>
          </w:p>
        </w:tc>
      </w:tr>
      <w:tr>
        <w:tc>
          <w:tcPr>
            <w:tcW w:type="dxa" w:w="170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18–30 месяцев</w:t>
            </w:r>
          </w:p>
        </w:tc>
        <w:tc>
          <w:tcPr>
            <w:tcW w:type="dxa" w:w="2097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Первая серия</w:t>
            </w:r>
          </w:p>
        </w:tc>
        <w:tc>
          <w:tcPr>
            <w:tcW w:type="dxa" w:w="5725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Производственная подготовка; договоры; сервис; обучение операторов.</w:t>
            </w:r>
          </w:p>
        </w:tc>
      </w:tr>
      <w:tr>
        <w:tc>
          <w:tcPr>
            <w:tcW w:type="dxa" w:w="170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24–36 месяцев</w:t>
            </w:r>
          </w:p>
        </w:tc>
        <w:tc>
          <w:tcPr>
            <w:tcW w:type="dxa" w:w="2097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Масштабирование</w:t>
            </w:r>
          </w:p>
        </w:tc>
        <w:tc>
          <w:tcPr>
            <w:tcW w:type="dxa" w:w="5725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Тиражирование; региональные пакеты; экспорт; предложения по институционализации.</w:t>
            </w:r>
          </w:p>
        </w:tc>
      </w:tr>
    </w:tbl>
    <w:p>
      <w:pPr>
        <w:pStyle w:val="Heading2"/>
        <w:keepNext/>
      </w:pPr>
      <w:r>
        <w:t>13.1. Первые 100 дней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Назначить ответственную инициативную группу и секретариат.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Согласовать терминологию, границы программы и критерии результата.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Собрать реестр не менее 30 исходных инициатив и 20 технологических потребностей.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Провести экспресс-скрининг и выбрать 10 проектов для углублённой экспертизы.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Определить 3–5 потенциальных пилотных регионов.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Подготовить типовой паспорт проекта, соглашение консорциума и структуру ECO‑PPA.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Разработать прототип цифрового реестра и панели портфеля.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Провести стратегическую сессию с научными, промышленными и финансовыми партнёрами.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Подготовить смету пилотного цикла и перечень источников финансирования.</w:t>
      </w:r>
    </w:p>
    <w:p>
      <w:pPr>
        <w:pStyle w:val="ListNumber"/>
        <w:spacing w:after="80"/>
        <w:ind w:left="408" w:hanging="215"/>
        <w:numPr>
          <w:ilvl w:val="0"/>
          <w:numId w:val="12"/>
        </w:numPr>
      </w:pPr>
      <w:r>
        <w:t>Вынести пакет решений на рассмотрение уполномоченных органов программы.</w:t>
      </w:r>
    </w:p>
    <w:p>
      <w:pPr>
        <w:pStyle w:val="Heading1"/>
        <w:keepNext/>
      </w:pPr>
      <w:r>
        <w:t>14. Риски и система контроля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1190"/>
        <w:gridCol w:w="5782"/>
      </w:tblGrid>
      <w:tr>
        <w:trPr>
          <w:tblHeader w:val="true"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Риск</w:t>
            </w:r>
          </w:p>
        </w:tc>
        <w:tc>
          <w:tcPr>
            <w:tcW w:type="dxa" w:w="1190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5782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Меры управления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Подмена результата активностью</w:t>
            </w:r>
          </w:p>
        </w:tc>
        <w:tc>
          <w:tcPr>
            <w:tcW w:type="dxa" w:w="119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8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Контрольные ворота, измеримые KPI, независимая верификация.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Недостаточная зрелость технологии</w:t>
            </w:r>
          </w:p>
        </w:tc>
        <w:tc>
          <w:tcPr>
            <w:tcW w:type="dxa" w:w="119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8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TRL/MRL-аудит, этапность, резервные технические решения.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Отсутствие заказчика</w:t>
            </w:r>
          </w:p>
        </w:tc>
        <w:tc>
          <w:tcPr>
            <w:tcW w:type="dxa" w:w="119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8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Подтверждение потребности до финансирования пилота; предварительный оффтейк.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Регуляторная несовместимость</w:t>
            </w:r>
          </w:p>
        </w:tc>
        <w:tc>
          <w:tcPr>
            <w:tcW w:type="dxa" w:w="119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Средний/высокий</w:t>
            </w:r>
          </w:p>
        </w:tc>
        <w:tc>
          <w:tcPr>
            <w:tcW w:type="dxa" w:w="578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Правовая экспертиза на входе, регуляторная дорожная карта.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Конфликт интеллектуальных прав</w:t>
            </w:r>
          </w:p>
        </w:tc>
        <w:tc>
          <w:tcPr>
            <w:tcW w:type="dxa" w:w="119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8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Патентный аудит, договорная фиксация прав и лицензий.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Рост стоимости и сроков</w:t>
            </w:r>
          </w:p>
        </w:tc>
        <w:tc>
          <w:tcPr>
            <w:tcW w:type="dxa" w:w="119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8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Независимая смета, резервы, этапное финансирование, change control.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Недостоверность экологического эффекта</w:t>
            </w:r>
          </w:p>
        </w:tc>
        <w:tc>
          <w:tcPr>
            <w:tcW w:type="dxa" w:w="119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8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Базовая линия, методика M&amp;V, аудит данных, независимый верификатор.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Зависимость от одного поставщика</w:t>
            </w:r>
          </w:p>
        </w:tc>
        <w:tc>
          <w:tcPr>
            <w:tcW w:type="dxa" w:w="119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Средний</w:t>
            </w:r>
          </w:p>
        </w:tc>
        <w:tc>
          <w:tcPr>
            <w:tcW w:type="dxa" w:w="578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Локализация, альтернативные компоненты, страховой запас.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Кибер- и информационные угрозы</w:t>
            </w:r>
          </w:p>
        </w:tc>
        <w:tc>
          <w:tcPr>
            <w:tcW w:type="dxa" w:w="1190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Высокий</w:t>
            </w:r>
          </w:p>
        </w:tc>
        <w:tc>
          <w:tcPr>
            <w:tcW w:type="dxa" w:w="5782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Модель угроз, сегментация, отечественные средства защиты, аудит.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Репутационные риски</w:t>
            </w:r>
          </w:p>
        </w:tc>
        <w:tc>
          <w:tcPr>
            <w:tcW w:type="dxa" w:w="1190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Средний</w:t>
            </w:r>
          </w:p>
        </w:tc>
        <w:tc>
          <w:tcPr>
            <w:tcW w:type="dxa" w:w="5782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Корректное позиционирование статуса, публичная доказательность, этический контроль.</w:t>
            </w:r>
          </w:p>
        </w:tc>
      </w:tr>
    </w:tbl>
    <w:p>
      <w:pPr>
        <w:pStyle w:val="Heading1"/>
        <w:keepNext/>
      </w:pPr>
      <w:r>
        <w:t>15. Пакет решений для запуска</w:t>
      </w:r>
    </w:p>
    <w:p>
      <w:r>
        <w:t>Для перехода от концепции к действующей программе предлагается подготовить и согласовать следующий комплект документов: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Решение о создании организационного комитета.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Паспорт НПП АСИ «ЭКВИЛИБРИУМ».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Положение о системе управления и проектном офисе.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Регламент отбора, экспертизы и прохождения контрольных ворот.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Методику оценки технологической, производственной и рыночной готовности.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Типовой паспорт научно-производственного проекта.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Типовое соглашение проектного консорциума.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Методику измерения и верификации результата.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Концепцию и типовую структуру ECO‑PPA.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Положение о цифровом реестре и работе с данными.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Критерии выбора пилотных регионов и объектов.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Финансовую модель и бюджет пилотного цикла.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Коммуникационную стратегию без преждевременных заявлений об официальном статусе.</w:t>
      </w:r>
    </w:p>
    <w:p>
      <w:pPr>
        <w:pStyle w:val="ListNumber"/>
        <w:spacing w:after="80"/>
        <w:ind w:left="408" w:hanging="215"/>
        <w:numPr>
          <w:ilvl w:val="0"/>
          <w:numId w:val="13"/>
        </w:numPr>
      </w:pPr>
      <w:r>
        <w:t>План правовой, антимонопольной, закупочной и информационно-безопасностной экспертизы.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 w:val="true"/>
        </w:trPr>
        <w:tc>
          <w:tcPr>
            <w:tcW w:type="dxa" w:w="9524"/>
            <w:tcMar>
              <w:top w:w="100" w:type="dxa"/>
              <w:start w:w="120" w:type="dxa"/>
              <w:bottom w:w="100" w:type="dxa"/>
              <w:end w:w="120" w:type="dxa"/>
            </w:tcMar>
            <w:shd w:fill="DDEFEA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0F7C80"/>
                <w:sz w:val="21"/>
              </w:rPr>
              <w:t xml:space="preserve">ИТОГОВОЕ ПРЕДЛОЖЕНИЕ </w:t>
            </w:r>
            <w:r>
              <w:rPr>
                <w:rFonts w:ascii="Aptos" w:hAnsi="Aptos" w:eastAsia="Aptos"/>
                <w:b w:val="0"/>
                <w:i w:val="0"/>
                <w:color w:val="17365D"/>
                <w:sz w:val="21"/>
              </w:rPr>
              <w:t>Запустить 100-дневный предпроектный этап, по итогам которого представить руководству АСИ и потенциальным участникам проверенный паспорт программы, пилотный портфель, модель управления, проект бюджета и проекты соглашений.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Приложение 1. Карточка проекта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576"/>
      </w:tblGrid>
      <w:tr>
        <w:trPr>
          <w:tblHeader w:val="true"/>
        </w:trP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Поле</w:t>
            </w:r>
          </w:p>
        </w:tc>
        <w:tc>
          <w:tcPr>
            <w:tcW w:type="dxa" w:w="6576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Требуемое содержание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1. Наименование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Краткое и полное название инициативы.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2. Инициатор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Организация, команда, контактное лицо.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3. Проблема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Подтверждённая потребность и масштаб.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4. Решение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Технология, продукт, объект или услуга.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5. Готовность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TRL / MRL / CRL / RRL / IRL.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6. Интеллектуальные права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Правообладатели, патенты, лицензии, ограничения.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7. Заказчик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Потенциальный покупатель или получатель результата.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8. Площадка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Регион, объект, инфраструктурные условия.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9. Показатели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Базовая линия, единицы, целевые значения.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10. Бюджет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НИОКР, CAPEX, OPEX, резерв, источники.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11. Команда и кооперация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Компетенции, производители, эксперты, оператор.</w:t>
            </w:r>
          </w:p>
        </w:tc>
      </w:tr>
      <w:tr>
        <w:tc>
          <w:tcPr>
            <w:tcW w:type="dxa" w:w="2948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12. Риски</w:t>
            </w:r>
          </w:p>
        </w:tc>
        <w:tc>
          <w:tcPr>
            <w:tcW w:type="dxa" w:w="6576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Технические, правовые, финансовые, экологические.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13. Масштабирование</w:t>
            </w:r>
          </w:p>
        </w:tc>
        <w:tc>
          <w:tcPr>
            <w:tcW w:type="dxa" w:w="6576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Серийность, рынок, локализация, экспорт.</w:t>
            </w:r>
          </w:p>
        </w:tc>
      </w:tr>
    </w:tbl>
    <w:p>
      <w:pPr>
        <w:pStyle w:val="Heading1"/>
        <w:keepNext/>
      </w:pPr>
      <w:r>
        <w:t>Приложение 2. Минимальный состав экспертного заключения</w:t>
      </w:r>
    </w:p>
    <w:p>
      <w:pPr>
        <w:pStyle w:val="ListBullet"/>
        <w:spacing w:after="60" w:line="276" w:lineRule="auto"/>
        <w:ind w:left="369" w:hanging="170"/>
      </w:pPr>
      <w:r>
        <w:t>резюме и однозначная рекомендация: допустить, доработать или отклонить;</w:t>
      </w:r>
    </w:p>
    <w:p>
      <w:pPr>
        <w:pStyle w:val="ListBullet"/>
        <w:spacing w:after="60" w:line="276" w:lineRule="auto"/>
        <w:ind w:left="369" w:hanging="170"/>
      </w:pPr>
      <w:r>
        <w:t>оценка научной новизны и доказательности;</w:t>
      </w:r>
    </w:p>
    <w:p>
      <w:pPr>
        <w:pStyle w:val="ListBullet"/>
        <w:spacing w:after="60" w:line="276" w:lineRule="auto"/>
        <w:ind w:left="369" w:hanging="170"/>
      </w:pPr>
      <w:r>
        <w:t>оценка технологической и производственной готовности;</w:t>
      </w:r>
    </w:p>
    <w:p>
      <w:pPr>
        <w:pStyle w:val="ListBullet"/>
        <w:spacing w:after="60" w:line="276" w:lineRule="auto"/>
        <w:ind w:left="369" w:hanging="170"/>
      </w:pPr>
      <w:r>
        <w:t>патентная чистота и права на результат;</w:t>
      </w:r>
    </w:p>
    <w:p>
      <w:pPr>
        <w:pStyle w:val="ListBullet"/>
        <w:spacing w:after="60" w:line="276" w:lineRule="auto"/>
        <w:ind w:left="369" w:hanging="170"/>
      </w:pPr>
      <w:r>
        <w:t>требования безопасности и экологические ограничения;</w:t>
      </w:r>
    </w:p>
    <w:p>
      <w:pPr>
        <w:pStyle w:val="ListBullet"/>
        <w:spacing w:after="60" w:line="276" w:lineRule="auto"/>
        <w:ind w:left="369" w:hanging="170"/>
      </w:pPr>
      <w:r>
        <w:t>анализ рынка, заказчика и конкурентных решений;</w:t>
      </w:r>
    </w:p>
    <w:p>
      <w:pPr>
        <w:pStyle w:val="ListBullet"/>
        <w:spacing w:after="60" w:line="276" w:lineRule="auto"/>
        <w:ind w:left="369" w:hanging="170"/>
      </w:pPr>
      <w:r>
        <w:t>финансовая реализуемость и чувствительность модели;</w:t>
      </w:r>
    </w:p>
    <w:p>
      <w:pPr>
        <w:pStyle w:val="ListBullet"/>
        <w:spacing w:after="60" w:line="276" w:lineRule="auto"/>
        <w:ind w:left="369" w:hanging="170"/>
      </w:pPr>
      <w:r>
        <w:t>перечень допущений, пробелов данных и обязательных условий;</w:t>
      </w:r>
    </w:p>
    <w:p>
      <w:pPr>
        <w:pStyle w:val="ListBullet"/>
        <w:spacing w:after="60" w:line="276" w:lineRule="auto"/>
        <w:ind w:left="369" w:hanging="170"/>
      </w:pPr>
      <w:r>
        <w:t>план пилота, критерии успеха и прекращения;</w:t>
      </w:r>
    </w:p>
    <w:p>
      <w:pPr>
        <w:pStyle w:val="ListBullet"/>
        <w:spacing w:after="60" w:line="276" w:lineRule="auto"/>
        <w:ind w:left="369" w:hanging="170"/>
      </w:pPr>
      <w:r>
        <w:t>потенциал тиражирования и системный эффект.</w:t>
      </w:r>
    </w:p>
    <w:p>
      <w:pPr>
        <w:pStyle w:val="Heading1"/>
        <w:keepNext/>
      </w:pPr>
      <w:r>
        <w:t>Приложение 3. Терминологический минимум</w:t>
      </w:r>
    </w:p>
    <w:tbl>
      <w:tblPr>
        <w:tblStyle w:val="TableGrid"/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6973"/>
      </w:tblGrid>
      <w:tr>
        <w:trPr>
          <w:tblHeader w:val="true"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Термин</w:t>
            </w:r>
          </w:p>
        </w:tc>
        <w:tc>
          <w:tcPr>
            <w:tcW w:type="dxa" w:w="6973"/>
            <w:tcMar>
              <w:top w:w="100" w:type="dxa"/>
              <w:start w:w="120" w:type="dxa"/>
              <w:bottom w:w="100" w:type="dxa"/>
              <w:end w:w="120" w:type="dxa"/>
            </w:tcMar>
            <w:shd w:fill="17365D"/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color w:val="FFFFFF"/>
                <w:sz w:val="18"/>
              </w:rPr>
              <w:t>Рабочее определение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Инициатива</w:t>
            </w:r>
          </w:p>
        </w:tc>
        <w:tc>
          <w:tcPr>
            <w:tcW w:type="dxa" w:w="697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Предложение о создании или внедрении решения, ещё не прошедшее полный цикл квалификации.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Проект</w:t>
            </w:r>
          </w:p>
        </w:tc>
        <w:tc>
          <w:tcPr>
            <w:tcW w:type="dxa" w:w="697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Инициатива с утверждённым паспортом, ресурсами, ответственными и контрольными результатами.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Пилот</w:t>
            </w:r>
          </w:p>
        </w:tc>
        <w:tc>
          <w:tcPr>
            <w:tcW w:type="dxa" w:w="697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Ограниченное внедрение в реальных условиях для проверки заранее заданных гипотез.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Верификация</w:t>
            </w:r>
          </w:p>
        </w:tc>
        <w:tc>
          <w:tcPr>
            <w:tcW w:type="dxa" w:w="697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Подтверждение достоверности данных и достигнутого результата по установленной методике.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Масштабирование</w:t>
            </w:r>
          </w:p>
        </w:tc>
        <w:tc>
          <w:tcPr>
            <w:tcW w:type="dxa" w:w="697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Воспроизводимое внедрение решения на новых объектах без потери качества и экономики.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ECO‑PPA</w:t>
            </w:r>
          </w:p>
        </w:tc>
        <w:tc>
          <w:tcPr>
            <w:tcW w:type="dxa" w:w="697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Долгосрочное соглашение на поставку и/или подтверждённый ресурсный, экологический, инфраструктурный либо социальный результат.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ЭКВИЛИБРИУМ</w:t>
            </w:r>
          </w:p>
        </w:tc>
        <w:tc>
          <w:tcPr>
            <w:tcW w:type="dxa" w:w="6973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Предлагаемая цифровая и организационная среда наблюдения, прогнозирования, координации и контроля программы.</w:t>
            </w:r>
          </w:p>
        </w:tc>
      </w:tr>
      <w:tr>
        <w:tc>
          <w:tcPr>
            <w:tcW w:type="dxa" w:w="2551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Контрольные ворота</w:t>
            </w:r>
          </w:p>
        </w:tc>
        <w:tc>
          <w:tcPr>
            <w:tcW w:type="dxa" w:w="6973"/>
            <w:shd w:fill="F4F7FA"/>
            <w:vAlign w:val="top"/>
          </w:tcPr>
          <w:p>
            <w:pPr>
              <w:spacing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F2937"/>
                <w:sz w:val="17"/>
              </w:rPr>
              <w:t>Формализованная точка решения о продолжении, корректировке, приостановке или прекращении проекта.</w:t>
            </w:r>
          </w:p>
        </w:tc>
      </w:tr>
    </w:tbl>
    <w:p>
      <w:pPr>
        <w:pStyle w:val="Heading1"/>
        <w:keepNext/>
      </w:pPr>
      <w:r>
        <w:t>Заключение</w:t>
      </w:r>
    </w:p>
    <w:p>
      <w:pPr>
        <w:pStyle w:val="Lead"/>
      </w:pPr>
      <w:r>
        <w:t>НПП АСИ «ЭКВИЛИБРИУМ» предлагается не как ещё один перечень инициатив, а как дисциплина доведения инициатив до результата. Её смысл — соединить сильные стороны науки, государства, промышленности, регионов и общества в воспроизводимую систему, где каждый проект имеет заказчика, доказательную базу, производственную цепочку, финансовую модель и понятный эффект.</w:t>
      </w:r>
    </w:p>
    <w:p>
      <w:r>
        <w:t>Программа может стать практическим контуром образа будущего: технологически суверенная экономика, в которой развитие производства одновременно укрепляет безопасность, восстанавливает природное равновесие и повышает качество жизни человека.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020" w:bottom="1077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085"/>
        <w:sz w:val="17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3" w:color="0F7C80"/>
      </w:pBdr>
    </w:pPr>
    <w:r>
      <w:rPr>
        <w:rFonts w:ascii="Aptos" w:hAnsi="Aptos" w:eastAsia="Aptos"/>
        <w:b/>
        <w:i w:val="0"/>
        <w:color w:val="0F7C80"/>
        <w:sz w:val="17"/>
      </w:rPr>
      <w:t>НПП АСИ «ЭКВИЛИБРИУМ»   ·   КОНЦЕПЦИЯ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93" w:lineRule="auto"/>
    </w:pPr>
    <w:rPr>
      <w:rFonts w:ascii="Aptos" w:hAnsi="Aptos" w:eastAsia="Aptos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1F4E7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0F7C8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0F7C8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200" w:line="283" w:lineRule="auto"/>
    </w:pPr>
    <w:rPr>
      <w:rFonts w:ascii="Aptos" w:hAnsi="Aptos"/>
      <w:b/>
      <w:color w:val="17365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НПП АСИ «ЭКВИЛИБРИУМ»</dc:title>
  <dc:subject>Проект концепции научно-производственной программы</dc:subject>
  <dc:creator>Соколов Сергей Леонидович</dc:creator>
  <cp:keywords>АСИ, ЭКВИЛИБРИУМ, ECO-PPA, научно-производственная программа</cp:keywords>
  <dc:description>Проект концепции для обсуждения и официального согласования.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