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  <w:spacing w:after="680"/>
      </w:pPr>
      <w:r>
        <w:t>СТРАТЕГИЧЕСКАЯ КОНЦЕПЦИЯ  /  РЕДАКЦИЯ 1.0</w:t>
      </w:r>
    </w:p>
    <w:p>
      <w:pPr>
        <w:pStyle w:val="Title"/>
        <w:jc w:val="left"/>
        <w:pBdr>
          <w:bottom w:val="single" w:sz="22" w:space="1" w:color="6DCBF4"/>
        </w:pBdr>
      </w:pPr>
      <w:r>
        <w:t>НОВАЯ МИРОВАЯ</w:t>
        <w:br/>
        <w:t>ФИНАНСОВАЯ СИСТЕМА</w:t>
      </w:r>
    </w:p>
    <w:p>
      <w:pPr>
        <w:pStyle w:val="Subtitle"/>
        <w:spacing w:after="320"/>
      </w:pPr>
      <w:r>
        <w:t>Человекоцентричная архитектура доверия, расчётов и развития</w:t>
      </w:r>
    </w:p>
    <w:p>
      <w:pPr>
        <w:spacing w:before="40" w:after="240"/>
      </w:pPr>
      <w:r>
        <w:drawing>
          <wp:inline xmlns:a="http://schemas.openxmlformats.org/drawingml/2006/main" xmlns:pic="http://schemas.openxmlformats.org/drawingml/2006/picture">
            <wp:extent cx="5943600" cy="33450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6dc62c7e-40c0-4e22-8ed0-3eb66bc0037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Eyebrow"/>
        <w:spacing w:before="80"/>
        <w:jc w:val="left"/>
      </w:pPr>
      <w:r>
        <w:t>ЭКВИЛИБРИУМ • СЧЁТНАЯ КНИГА • ECO‑PPA • 741</w:t>
      </w:r>
    </w:p>
    <w:p>
      <w:pPr>
        <w:pStyle w:val="Small"/>
        <w:spacing w:before="280"/>
      </w:pPr>
      <w:r>
        <w:t>Концепция: Соколов Сергей Леонидович</w:t>
        <w:br/>
        <w:t>2026</w:t>
      </w:r>
    </w:p>
    <w:p>
      <w:r>
        <w:br w:type="page"/>
      </w:r>
    </w:p>
    <w:p>
      <w:pPr>
        <w:pStyle w:val="Eyebrow"/>
        <w:keepNext/>
        <w:keepLines/>
        <w:widowControl/>
      </w:pPr>
      <w:r>
        <w:t>02  /  РЕЗЮМЕ</w:t>
      </w:r>
    </w:p>
    <w:p>
      <w:pPr>
        <w:pStyle w:val="Heading1"/>
        <w:pBdr>
          <w:bottom w:val="single" w:sz="14" w:space="1" w:color="6DCBF4"/>
        </w:pBdr>
      </w:pPr>
      <w:r>
        <w:t>Система, в которой деньги служат развитию</w:t>
      </w:r>
    </w:p>
    <w:p>
      <w:pPr>
        <w:pStyle w:val="Lead"/>
        <w:spacing w:after="240"/>
      </w:pPr>
      <w:r>
        <w:t>Предлагается не единая мировая валюта, а совместимая многоуровневая финансовая инфраструктура.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Тезис</w:t>
            </w:r>
          </w:p>
          <w:p>
            <w:pPr>
              <w:spacing w:after="0"/>
            </w:pPr>
            <w:r>
              <w:t>Суверенные валюты и регулируемые формы денег сохраняются. Над ними создаётся общий протокол доказательности, расчётов и целевого финансирования, связывающий человека, проект, территорию, государство и планетарные результаты.</w:t>
            </w:r>
          </w:p>
        </w:tc>
      </w:tr>
    </w:tbl>
    <w:p>
      <w:pPr>
        <w:pStyle w:val="Heading2"/>
      </w:pPr>
      <w:r>
        <w:t>Пять проектных решений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1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Человек — центр учёта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Именной фонд фиксирует права, цели и подтверждённые результаты развития без превращения человека в неконтролируемого эмитента законного платёжного средства.</w:t>
            </w:r>
          </w:p>
        </w:tc>
      </w:tr>
    </w:tbl>
    <w:p>
      <w:pPr>
        <w:spacing w:after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2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Деньги — многоуровневая система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Центральные банки, коммерческие банки и регулируемые институты остаются источниками доверия; новые инструменты встраиваются в действующее право.</w:t>
            </w:r>
          </w:p>
        </w:tc>
      </w:tr>
    </w:tbl>
    <w:p>
      <w:pPr>
        <w:spacing w:after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3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Счётная книга — слой доказательств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Каждая операция связывает основание, решение, ресурс, исполнение, эффект и аудит.</w:t>
            </w:r>
          </w:p>
        </w:tc>
      </w:tr>
    </w:tbl>
    <w:p>
      <w:pPr>
        <w:spacing w:after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4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Эмиссия — следствие проверенной ценности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Новые права требования и проектные лимиты допускаются только в пределах подтверждённого эффекта, денежных потоков и риск-буферов.</w:t>
            </w:r>
          </w:p>
        </w:tc>
      </w:tr>
    </w:tbl>
    <w:p>
      <w:pPr>
        <w:spacing w:after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5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Масштабирование — через пилоты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Сначала правовой и технический sandbox, затем межрегиональные и трансграничные коридоры, после — стандартизация.</w:t>
            </w:r>
          </w:p>
        </w:tc>
      </w:tr>
    </w:tbl>
    <w:p>
      <w:pPr>
        <w:spacing w:after="0" w:line="120" w:lineRule="auto"/>
      </w:pPr>
    </w:p>
    <w:p>
      <w:pPr>
        <w:pStyle w:val="Source"/>
      </w:pPr>
      <w:r>
        <w:t>Статус: авторская стратегическая концепция. Не является решением международной организации, денежно-кредитной политикой, юридическим заключением или инвестиционной рекомендацией.</w:t>
      </w:r>
    </w:p>
    <w:p>
      <w:r>
        <w:br w:type="page"/>
      </w:r>
    </w:p>
    <w:p>
      <w:pPr>
        <w:pStyle w:val="Eyebrow"/>
        <w:keepNext/>
        <w:keepLines/>
        <w:widowControl/>
      </w:pPr>
      <w:r>
        <w:t>03  /  ДИАГНОЗ</w:t>
      </w:r>
    </w:p>
    <w:p>
      <w:pPr>
        <w:pStyle w:val="Heading1"/>
        <w:pBdr>
          <w:bottom w:val="single" w:sz="14" w:space="1" w:color="6DCBF4"/>
        </w:pBdr>
      </w:pPr>
      <w:r>
        <w:t>Почему существующей системе нужна надстройка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1944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Разрыв</w:t>
            </w:r>
          </w:p>
        </w:tc>
        <w:tc>
          <w:tcPr>
            <w:tcW w:type="dxa" w:w="3384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Проявление</w:t>
            </w:r>
          </w:p>
        </w:tc>
        <w:tc>
          <w:tcPr>
            <w:tcW w:type="dxa" w:w="4031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Что должна изменить архитектура</w:t>
            </w:r>
          </w:p>
        </w:tc>
      </w:tr>
      <w:tr>
        <w:tc>
          <w:tcPr>
            <w:tcW w:type="dxa" w:w="194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Трансграничные платежи</w:t>
            </w:r>
          </w:p>
        </w:tc>
        <w:tc>
          <w:tcPr>
            <w:tcW w:type="dxa" w:w="338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Стоимость, задержки, непрозрачность маршрута, разрыв режимов комплаенса.</w:t>
            </w:r>
          </w:p>
        </w:tc>
        <w:tc>
          <w:tcPr>
            <w:tcW w:type="dxa" w:w="4031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Общие данные, атомарный расчёт, прозрачные SLA и сквозной статус операции.</w:t>
            </w:r>
          </w:p>
        </w:tc>
      </w:tr>
      <w:tr>
        <w:tc>
          <w:tcPr>
            <w:tcW w:type="dxa" w:w="194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Финансовая доступность</w:t>
            </w:r>
          </w:p>
        </w:tc>
        <w:tc>
          <w:tcPr>
            <w:tcW w:type="dxa" w:w="338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Доступ к счёту не гарантирует устойчивость, защиту данных и доступ к длинному капиталу.</w:t>
            </w:r>
          </w:p>
        </w:tc>
        <w:tc>
          <w:tcPr>
            <w:tcW w:type="dxa" w:w="4031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Именные фонды, переносимость прав, безопасная цифровая идентичность.</w:t>
            </w:r>
          </w:p>
        </w:tc>
      </w:tr>
      <w:tr>
        <w:tc>
          <w:tcPr>
            <w:tcW w:type="dxa" w:w="194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Проектное финансирование</w:t>
            </w:r>
          </w:p>
        </w:tc>
        <w:tc>
          <w:tcPr>
            <w:tcW w:type="dxa" w:w="338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Эффект и денежный поток часто не объединены в едином доказательном контуре.</w:t>
            </w:r>
          </w:p>
        </w:tc>
        <w:tc>
          <w:tcPr>
            <w:tcW w:type="dxa" w:w="4031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Связать проблему, решение, контракт, эффект, поток и возврат капитала.</w:t>
            </w:r>
          </w:p>
        </w:tc>
      </w:tr>
      <w:tr>
        <w:tc>
          <w:tcPr>
            <w:tcW w:type="dxa" w:w="194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Доверие к цифровым активам</w:t>
            </w:r>
          </w:p>
        </w:tc>
        <w:tc>
          <w:tcPr>
            <w:tcW w:type="dxa" w:w="338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Фрагментарное обеспечение, правовая неопределённость, риск run и киберугроз.</w:t>
            </w:r>
          </w:p>
        </w:tc>
        <w:tc>
          <w:tcPr>
            <w:tcW w:type="dxa" w:w="4031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Регуляторный периметр, качественные расчётные активы, аудит и резервы.</w:t>
            </w:r>
          </w:p>
        </w:tc>
      </w:tr>
      <w:tr>
        <w:tc>
          <w:tcPr>
            <w:tcW w:type="dxa" w:w="194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Экологические и социальные эффекты</w:t>
            </w:r>
          </w:p>
        </w:tc>
        <w:tc>
          <w:tcPr>
            <w:tcW w:type="dxa" w:w="338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Метрики отделены от финансового результата; высок риск greenwashing.</w:t>
            </w:r>
          </w:p>
        </w:tc>
        <w:tc>
          <w:tcPr>
            <w:tcW w:type="dxa" w:w="4031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Доказательные реестры, независимая верификация, выплаты за результат.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Внешняя фактология</w:t>
            </w:r>
          </w:p>
          <w:p>
            <w:pPr>
              <w:spacing w:after="0"/>
            </w:pPr>
            <w:r>
              <w:t>FSB в отчёте за 2025 год указывает лишь на небольшое глобальное улучшение показателей трансграничных платежей и сомневается в достижении удовлетворительных результатов к сроку 2027 года. Всемирный банк оценивал среднюю стоимость денежных переводов в 6,36% — более чем вдвое выше целевого ориентира ООН 3%. [2][4][8]</w:t>
            </w:r>
          </w:p>
        </w:tc>
      </w:tr>
    </w:tbl>
    <w:p>
      <w:pPr>
        <w:pStyle w:val="Lead"/>
      </w:pPr>
      <w:r>
        <w:t>Проектный вывод: нельзя сводить реформу к технологии реестра. Нужны одновременно право, деньги центрального банка, регулируемые депозиты, единая модель данных, управление риском и понятная общественная цель.</w:t>
      </w:r>
    </w:p>
    <w:p>
      <w:r>
        <w:br w:type="page"/>
      </w:r>
    </w:p>
    <w:p>
      <w:pPr>
        <w:pStyle w:val="Eyebrow"/>
        <w:keepNext/>
        <w:keepLines/>
        <w:widowControl/>
      </w:pPr>
      <w:r>
        <w:t>04  /  ДОКТРИНА</w:t>
      </w:r>
    </w:p>
    <w:p>
      <w:pPr>
        <w:pStyle w:val="Heading1"/>
        <w:pBdr>
          <w:bottom w:val="single" w:sz="14" w:space="1" w:color="6DCBF4"/>
        </w:pBdr>
      </w:pPr>
      <w:r>
        <w:t>Двенадцать принципов проектирования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36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Контур A</w:t>
            </w:r>
          </w:p>
        </w:tc>
        <w:tc>
          <w:tcPr>
            <w:tcW w:type="dxa" w:w="4636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Контур B</w:t>
            </w:r>
          </w:p>
        </w:tc>
      </w:tr>
      <w:tr>
        <w:tc>
          <w:tcPr>
            <w:tcW w:type="dxa" w:w="463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1. Достоинство</w:t>
              <w:br/>
              <w:t>Финансы не превращают человека в объект тотального наблюдения.</w:t>
            </w:r>
          </w:p>
        </w:tc>
        <w:tc>
          <w:tcPr>
            <w:tcW w:type="dxa" w:w="463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2. Суверенитет</w:t>
              <w:br/>
              <w:t>Национальные валюты, мандаты центробанков и капитальные режимы сохраняются.</w:t>
            </w:r>
          </w:p>
        </w:tc>
      </w:tr>
      <w:tr>
        <w:tc>
          <w:tcPr>
            <w:tcW w:type="dxa" w:w="463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3. Двухуровневые деньги</w:t>
              <w:br/>
              <w:t>Центральный банк и регулируемые посредники остаются ядром доверия.</w:t>
            </w:r>
          </w:p>
        </w:tc>
        <w:tc>
          <w:tcPr>
            <w:tcW w:type="dxa" w:w="463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4. Интероперабельность</w:t>
              <w:br/>
              <w:t>Единые сообщения и правила важнее единой технологической платформы.</w:t>
            </w:r>
          </w:p>
        </w:tc>
      </w:tr>
      <w:tr>
        <w:tc>
          <w:tcPr>
            <w:tcW w:type="dxa" w:w="463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5. Доказательность</w:t>
              <w:br/>
              <w:t>Право, ресурс, действие и результат связаны проверяемой цепочкой.</w:t>
            </w:r>
          </w:p>
        </w:tc>
        <w:tc>
          <w:tcPr>
            <w:tcW w:type="dxa" w:w="463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6. Финальность</w:t>
              <w:br/>
              <w:t>Момент окончательного расчёта определён юридически и технически.</w:t>
            </w:r>
          </w:p>
        </w:tc>
      </w:tr>
      <w:tr>
        <w:tc>
          <w:tcPr>
            <w:tcW w:type="dxa" w:w="463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7. Пропорциональность</w:t>
              <w:br/>
              <w:t>Комплаенс и данные соответствуют риску, а не максимальному сбору данных.</w:t>
            </w:r>
          </w:p>
        </w:tc>
        <w:tc>
          <w:tcPr>
            <w:tcW w:type="dxa" w:w="463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8. Обеспеченность</w:t>
              <w:br/>
              <w:t>Новые лимиты опираются на активы, денежные потоки и эффект.</w:t>
            </w:r>
          </w:p>
        </w:tc>
      </w:tr>
      <w:tr>
        <w:tc>
          <w:tcPr>
            <w:tcW w:type="dxa" w:w="463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9. Возвратность</w:t>
              <w:br/>
              <w:t>Долг, доля, грант и оплата за результат различаются до финансирования.</w:t>
            </w:r>
          </w:p>
        </w:tc>
        <w:tc>
          <w:tcPr>
            <w:tcW w:type="dxa" w:w="463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10. Плюрализм</w:t>
              <w:br/>
              <w:t>Государственные, частные, кооперативные и общественные институты сосуществуют.</w:t>
            </w:r>
          </w:p>
        </w:tc>
      </w:tr>
      <w:tr>
        <w:tc>
          <w:tcPr>
            <w:tcW w:type="dxa" w:w="463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11. Устойчивость</w:t>
              <w:br/>
              <w:t>Ликвидность, киберзащита, восстановление и разрешение споров встроены изначально.</w:t>
            </w:r>
          </w:p>
        </w:tc>
        <w:tc>
          <w:tcPr>
            <w:tcW w:type="dxa" w:w="463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12. Обратимость</w:t>
              <w:br/>
              <w:t>Пилот можно остановить и свернуть без системного ущерба.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E5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Непереходимая граница</w:t>
            </w:r>
          </w:p>
          <w:p>
            <w:pPr>
              <w:spacing w:after="0"/>
            </w:pPr>
            <w:r>
              <w:t>Ни один участник — человек, корпорация, платформа или фонд — не получает права неконтролируемо создавать обязательное к приёму платёжное средство. Любой цифровой инструмент имеет установленного эмитента, правовую природу, обеспечение, порядок погашения и надзор.</w:t>
            </w:r>
          </w:p>
        </w:tc>
      </w:tr>
    </w:tbl>
    <w:p>
      <w:r>
        <w:br w:type="page"/>
      </w:r>
    </w:p>
    <w:p>
      <w:pPr>
        <w:pStyle w:val="Eyebrow"/>
        <w:keepNext/>
        <w:keepLines/>
        <w:widowControl/>
      </w:pPr>
      <w:r>
        <w:t>05  /  АРХИТЕКТУРА</w:t>
      </w:r>
    </w:p>
    <w:p>
      <w:pPr>
        <w:pStyle w:val="Heading1"/>
        <w:pBdr>
          <w:bottom w:val="single" w:sz="14" w:space="1" w:color="6DCBF4"/>
        </w:pBdr>
      </w:pPr>
      <w:r>
        <w:t>Семь взаимосвязанных слоёв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792"/>
            <w:tcMar>
              <w:top w:w="95" w:type="dxa"/>
              <w:start w:w="120" w:type="dxa"/>
              <w:bottom w:w="95" w:type="dxa"/>
              <w:end w:w="120" w:type="dxa"/>
            </w:tcMar>
            <w:shd w:fill="17365D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FFFFFF"/>
                <w:sz w:val="18"/>
              </w:rPr>
              <w:t>L7</w:t>
            </w:r>
          </w:p>
        </w:tc>
        <w:tc>
          <w:tcPr>
            <w:tcW w:type="dxa" w:w="3096"/>
            <w:tcMar>
              <w:top w:w="95" w:type="dxa"/>
              <w:start w:w="120" w:type="dxa"/>
              <w:bottom w:w="95" w:type="dxa"/>
              <w:end w:w="120" w:type="dxa"/>
            </w:tcMar>
            <w:shd w:fill="EAF5FB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172033"/>
                <w:sz w:val="18"/>
              </w:rPr>
              <w:t>Управление и общественный мандат</w:t>
            </w:r>
          </w:p>
        </w:tc>
        <w:tc>
          <w:tcPr>
            <w:tcW w:type="dxa" w:w="5400"/>
            <w:tcMar>
              <w:top w:w="95" w:type="dxa"/>
              <w:start w:w="120" w:type="dxa"/>
              <w:bottom w:w="95" w:type="dxa"/>
              <w:end w:w="120" w:type="dxa"/>
            </w:tcMar>
            <w:shd w:fill="F3F7FA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 w:val="0"/>
                <w:color w:val="172033"/>
                <w:sz w:val="17"/>
              </w:rPr>
              <w:t>правила, представительство, аудит, споры, обновление стандартов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792"/>
            <w:tcMar>
              <w:top w:w="95" w:type="dxa"/>
              <w:start w:w="120" w:type="dxa"/>
              <w:bottom w:w="95" w:type="dxa"/>
              <w:end w:w="120" w:type="dxa"/>
            </w:tcMar>
            <w:shd w:fill="17365D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FFFFFF"/>
                <w:sz w:val="18"/>
              </w:rPr>
              <w:t>L6</w:t>
            </w:r>
          </w:p>
        </w:tc>
        <w:tc>
          <w:tcPr>
            <w:tcW w:type="dxa" w:w="3096"/>
            <w:tcMar>
              <w:top w:w="95" w:type="dxa"/>
              <w:start w:w="120" w:type="dxa"/>
              <w:bottom w:w="95" w:type="dxa"/>
              <w:end w:w="120" w:type="dxa"/>
            </w:tcMar>
            <w:shd w:fill="EAF5FB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172033"/>
                <w:sz w:val="18"/>
              </w:rPr>
              <w:t>Риски, комплаенс и приватность</w:t>
            </w:r>
          </w:p>
        </w:tc>
        <w:tc>
          <w:tcPr>
            <w:tcW w:type="dxa" w:w="5400"/>
            <w:tcMar>
              <w:top w:w="95" w:type="dxa"/>
              <w:start w:w="120" w:type="dxa"/>
              <w:bottom w:w="95" w:type="dxa"/>
              <w:end w:w="120" w:type="dxa"/>
            </w:tcMar>
            <w:shd w:fill="F3F7FA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 w:val="0"/>
                <w:color w:val="172033"/>
                <w:sz w:val="17"/>
              </w:rPr>
              <w:t>AML/CFT, KYC/KYB, санкционные режимы, киберустойчивость, минимизация данных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792"/>
            <w:tcMar>
              <w:top w:w="95" w:type="dxa"/>
              <w:start w:w="120" w:type="dxa"/>
              <w:bottom w:w="95" w:type="dxa"/>
              <w:end w:w="120" w:type="dxa"/>
            </w:tcMar>
            <w:shd w:fill="17365D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FFFFFF"/>
                <w:sz w:val="18"/>
              </w:rPr>
              <w:t>L5</w:t>
            </w:r>
          </w:p>
        </w:tc>
        <w:tc>
          <w:tcPr>
            <w:tcW w:type="dxa" w:w="3096"/>
            <w:tcMar>
              <w:top w:w="95" w:type="dxa"/>
              <w:start w:w="120" w:type="dxa"/>
              <w:bottom w:w="95" w:type="dxa"/>
              <w:end w:w="120" w:type="dxa"/>
            </w:tcMar>
            <w:shd w:fill="EAF5FB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172033"/>
                <w:sz w:val="18"/>
              </w:rPr>
              <w:t>Счётная книга доказательств</w:t>
            </w:r>
          </w:p>
        </w:tc>
        <w:tc>
          <w:tcPr>
            <w:tcW w:type="dxa" w:w="5400"/>
            <w:tcMar>
              <w:top w:w="95" w:type="dxa"/>
              <w:start w:w="120" w:type="dxa"/>
              <w:bottom w:w="95" w:type="dxa"/>
              <w:end w:w="120" w:type="dxa"/>
            </w:tcMar>
            <w:shd w:fill="F3F7FA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 w:val="0"/>
                <w:color w:val="172033"/>
                <w:sz w:val="17"/>
              </w:rPr>
              <w:t>основания, версии, подписи, события, метрики, результаты, ответственность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792"/>
            <w:tcMar>
              <w:top w:w="95" w:type="dxa"/>
              <w:start w:w="120" w:type="dxa"/>
              <w:bottom w:w="95" w:type="dxa"/>
              <w:end w:w="120" w:type="dxa"/>
            </w:tcMar>
            <w:shd w:fill="17365D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FFFFFF"/>
                <w:sz w:val="18"/>
              </w:rPr>
              <w:t>L4</w:t>
            </w:r>
          </w:p>
        </w:tc>
        <w:tc>
          <w:tcPr>
            <w:tcW w:type="dxa" w:w="3096"/>
            <w:tcMar>
              <w:top w:w="95" w:type="dxa"/>
              <w:start w:w="120" w:type="dxa"/>
              <w:bottom w:w="95" w:type="dxa"/>
              <w:end w:w="120" w:type="dxa"/>
            </w:tcMar>
            <w:shd w:fill="EAF5FB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172033"/>
                <w:sz w:val="18"/>
              </w:rPr>
              <w:t>Фонды и программируемые договоры</w:t>
            </w:r>
          </w:p>
        </w:tc>
        <w:tc>
          <w:tcPr>
            <w:tcW w:type="dxa" w:w="5400"/>
            <w:tcMar>
              <w:top w:w="95" w:type="dxa"/>
              <w:start w:w="120" w:type="dxa"/>
              <w:bottom w:w="95" w:type="dxa"/>
              <w:end w:w="120" w:type="dxa"/>
            </w:tcMar>
            <w:shd w:fill="F3F7FA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 w:val="0"/>
                <w:color w:val="172033"/>
                <w:sz w:val="17"/>
              </w:rPr>
              <w:t>именные, проектные, территориальные, природные фонды; ECO‑PPA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792"/>
            <w:tcMar>
              <w:top w:w="95" w:type="dxa"/>
              <w:start w:w="120" w:type="dxa"/>
              <w:bottom w:w="95" w:type="dxa"/>
              <w:end w:w="120" w:type="dxa"/>
            </w:tcMar>
            <w:shd w:fill="17365D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FFFFFF"/>
                <w:sz w:val="18"/>
              </w:rPr>
              <w:t>L3</w:t>
            </w:r>
          </w:p>
        </w:tc>
        <w:tc>
          <w:tcPr>
            <w:tcW w:type="dxa" w:w="3096"/>
            <w:tcMar>
              <w:top w:w="95" w:type="dxa"/>
              <w:start w:w="120" w:type="dxa"/>
              <w:bottom w:w="95" w:type="dxa"/>
              <w:end w:w="120" w:type="dxa"/>
            </w:tcMar>
            <w:shd w:fill="EAF5FB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172033"/>
                <w:sz w:val="18"/>
              </w:rPr>
              <w:t>Активы и права требования</w:t>
            </w:r>
          </w:p>
        </w:tc>
        <w:tc>
          <w:tcPr>
            <w:tcW w:type="dxa" w:w="5400"/>
            <w:tcMar>
              <w:top w:w="95" w:type="dxa"/>
              <w:start w:w="120" w:type="dxa"/>
              <w:bottom w:w="95" w:type="dxa"/>
              <w:end w:w="120" w:type="dxa"/>
            </w:tcMar>
            <w:shd w:fill="F3F7FA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 w:val="0"/>
                <w:color w:val="172033"/>
                <w:sz w:val="17"/>
              </w:rPr>
              <w:t>депозиты, облигации, доли, товары, инфраструктурные и результативные права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792"/>
            <w:tcMar>
              <w:top w:w="95" w:type="dxa"/>
              <w:start w:w="120" w:type="dxa"/>
              <w:bottom w:w="95" w:type="dxa"/>
              <w:end w:w="120" w:type="dxa"/>
            </w:tcMar>
            <w:shd w:fill="17365D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FFFFFF"/>
                <w:sz w:val="18"/>
              </w:rPr>
              <w:t>L2</w:t>
            </w:r>
          </w:p>
        </w:tc>
        <w:tc>
          <w:tcPr>
            <w:tcW w:type="dxa" w:w="3096"/>
            <w:tcMar>
              <w:top w:w="95" w:type="dxa"/>
              <w:start w:w="120" w:type="dxa"/>
              <w:bottom w:w="95" w:type="dxa"/>
              <w:end w:w="120" w:type="dxa"/>
            </w:tcMar>
            <w:shd w:fill="EAF5FB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172033"/>
                <w:sz w:val="18"/>
              </w:rPr>
              <w:t>Расчёт и интероперабельность</w:t>
            </w:r>
          </w:p>
        </w:tc>
        <w:tc>
          <w:tcPr>
            <w:tcW w:type="dxa" w:w="5400"/>
            <w:tcMar>
              <w:top w:w="95" w:type="dxa"/>
              <w:start w:w="120" w:type="dxa"/>
              <w:bottom w:w="95" w:type="dxa"/>
              <w:end w:w="120" w:type="dxa"/>
            </w:tcMar>
            <w:shd w:fill="F3F7FA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 w:val="0"/>
                <w:color w:val="172033"/>
                <w:sz w:val="17"/>
              </w:rPr>
              <w:t>ISO 20022, FX/PvP, atomic settlement, шлюзы национальных систем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792"/>
            <w:tcMar>
              <w:top w:w="95" w:type="dxa"/>
              <w:start w:w="120" w:type="dxa"/>
              <w:bottom w:w="95" w:type="dxa"/>
              <w:end w:w="120" w:type="dxa"/>
            </w:tcMar>
            <w:shd w:fill="17365D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FFFFFF"/>
                <w:sz w:val="18"/>
              </w:rPr>
              <w:t>L1</w:t>
            </w:r>
          </w:p>
        </w:tc>
        <w:tc>
          <w:tcPr>
            <w:tcW w:type="dxa" w:w="3096"/>
            <w:tcMar>
              <w:top w:w="95" w:type="dxa"/>
              <w:start w:w="120" w:type="dxa"/>
              <w:bottom w:w="95" w:type="dxa"/>
              <w:end w:w="120" w:type="dxa"/>
            </w:tcMar>
            <w:shd w:fill="EAF5FB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/>
                <w:color w:val="172033"/>
                <w:sz w:val="18"/>
              </w:rPr>
              <w:t>Денежное ядро</w:t>
            </w:r>
          </w:p>
        </w:tc>
        <w:tc>
          <w:tcPr>
            <w:tcW w:type="dxa" w:w="5400"/>
            <w:tcMar>
              <w:top w:w="95" w:type="dxa"/>
              <w:start w:w="120" w:type="dxa"/>
              <w:bottom w:w="95" w:type="dxa"/>
              <w:end w:w="120" w:type="dxa"/>
            </w:tcMar>
            <w:shd w:fill="F3F7FA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r>
              <w:rPr>
                <w:b w:val="0"/>
                <w:color w:val="172033"/>
                <w:sz w:val="17"/>
              </w:rPr>
              <w:t>резервы центральных банков, наличные/цифровые деньги, регулируемые депозиты</w:t>
            </w:r>
          </w:p>
        </w:tc>
      </w:tr>
    </w:tbl>
    <w:p>
      <w:pPr>
        <w:spacing w:after="0"/>
      </w:pPr>
    </w:p>
    <w:p>
      <w:pPr>
        <w:pStyle w:val="Lead"/>
      </w:pPr>
      <w:r>
        <w:t>Правило зависимости: инновация на верхнем слое не может ослаблять юридическую определённость и качество расчётного актива на нижних слоях.</w:t>
      </w:r>
    </w:p>
    <w:p>
      <w:r>
        <w:br w:type="page"/>
      </w:r>
    </w:p>
    <w:p>
      <w:pPr>
        <w:pStyle w:val="Eyebrow"/>
        <w:keepNext/>
        <w:keepLines/>
        <w:widowControl/>
      </w:pPr>
      <w:r>
        <w:t>06  /  ИНСТРУМЕНТЫ</w:t>
      </w:r>
    </w:p>
    <w:p>
      <w:pPr>
        <w:pStyle w:val="Heading1"/>
        <w:pBdr>
          <w:bottom w:val="single" w:sz="14" w:space="1" w:color="6DCBF4"/>
        </w:pBdr>
      </w:pPr>
      <w:r>
        <w:t>Денежный стек: что сохраняется и что добавляется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18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Инструмент</w:t>
            </w:r>
          </w:p>
        </w:tc>
        <w:tc>
          <w:tcPr>
            <w:tcW w:type="dxa" w:w="252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Роль</w:t>
            </w:r>
          </w:p>
        </w:tc>
        <w:tc>
          <w:tcPr>
            <w:tcW w:type="dxa" w:w="2376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Эмитент / оператор</w:t>
            </w:r>
          </w:p>
        </w:tc>
        <w:tc>
          <w:tcPr>
            <w:tcW w:type="dxa" w:w="2664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Суверенная валюта</w:t>
            </w:r>
          </w:p>
        </w:tc>
        <w:tc>
          <w:tcPr>
            <w:tcW w:type="dxa" w:w="25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Единица счёта, средство платежа, налоговый и правовой якорь.</w:t>
            </w:r>
          </w:p>
        </w:tc>
        <w:tc>
          <w:tcPr>
            <w:tcW w:type="dxa" w:w="237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Центральный банк / государство.</w:t>
            </w:r>
          </w:p>
        </w:tc>
        <w:tc>
          <w:tcPr>
            <w:tcW w:type="dxa" w:w="266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Не заменяется глобальным токеном.</w:t>
            </w:r>
          </w:p>
        </w:tc>
      </w:tr>
      <w:tr>
        <w:tc>
          <w:tcPr>
            <w:tcW w:type="dxa" w:w="1800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Регулируемый депозит</w:t>
            </w:r>
          </w:p>
        </w:tc>
        <w:tc>
          <w:tcPr>
            <w:tcW w:type="dxa" w:w="2520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Основная форма частных денег и кредита.</w:t>
            </w:r>
          </w:p>
        </w:tc>
        <w:tc>
          <w:tcPr>
            <w:tcW w:type="dxa" w:w="237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Лицензированный банк.</w:t>
            </w:r>
          </w:p>
        </w:tc>
        <w:tc>
          <w:tcPr>
            <w:tcW w:type="dxa" w:w="266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Капитал, ликвидность, страхование/разрешение.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Токенизированный депозит / резерв</w:t>
            </w:r>
          </w:p>
        </w:tc>
        <w:tc>
          <w:tcPr>
            <w:tcW w:type="dxa" w:w="25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Программируемое представление существующего требования.</w:t>
            </w:r>
          </w:p>
        </w:tc>
        <w:tc>
          <w:tcPr>
            <w:tcW w:type="dxa" w:w="237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Банк / центральный банк.</w:t>
            </w:r>
          </w:p>
        </w:tc>
        <w:tc>
          <w:tcPr>
            <w:tcW w:type="dxa" w:w="266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Не меняет правовую природу базового требования.</w:t>
            </w:r>
          </w:p>
        </w:tc>
      </w:tr>
      <w:tr>
        <w:tc>
          <w:tcPr>
            <w:tcW w:type="dxa" w:w="1800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MURDE — проектная расчётная единица</w:t>
            </w:r>
          </w:p>
        </w:tc>
        <w:tc>
          <w:tcPr>
            <w:tcW w:type="dxa" w:w="2520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Сопоставление бюджетов, эффектов и взаиморасчётов пилота.</w:t>
            </w:r>
          </w:p>
        </w:tc>
        <w:tc>
          <w:tcPr>
            <w:tcW w:type="dxa" w:w="237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Многосторонний оператор по договору.</w:t>
            </w:r>
          </w:p>
        </w:tc>
        <w:tc>
          <w:tcPr>
            <w:tcW w:type="dxa" w:w="266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Не валюта и не законное платёжное средство без отдельного мандата.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Именной фонд</w:t>
            </w:r>
          </w:p>
        </w:tc>
        <w:tc>
          <w:tcPr>
            <w:tcW w:type="dxa" w:w="25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Права на целевое развитие: образование, здоровье, жильё, предпринимательство.</w:t>
            </w:r>
          </w:p>
        </w:tc>
        <w:tc>
          <w:tcPr>
            <w:tcW w:type="dxa" w:w="237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Фонд/банк/публичный институт.</w:t>
            </w:r>
          </w:p>
        </w:tc>
        <w:tc>
          <w:tcPr>
            <w:tcW w:type="dxa" w:w="266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Целевое использование, опека, наследование, аудит.</w:t>
            </w:r>
          </w:p>
        </w:tc>
      </w:tr>
      <w:tr>
        <w:tc>
          <w:tcPr>
            <w:tcW w:type="dxa" w:w="1800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Единица подтверждённого результата</w:t>
            </w:r>
          </w:p>
        </w:tc>
        <w:tc>
          <w:tcPr>
            <w:tcW w:type="dxa" w:w="2520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Оплата за измеримый инфраструктурный, экологический или социальный эффект.</w:t>
            </w:r>
          </w:p>
        </w:tc>
        <w:tc>
          <w:tcPr>
            <w:tcW w:type="dxa" w:w="237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Проектный SPV/заказчик.</w:t>
            </w:r>
          </w:p>
        </w:tc>
        <w:tc>
          <w:tcPr>
            <w:tcW w:type="dxa" w:w="266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Погашение только по протоколу верификации.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Аналогия, но не тождество</w:t>
            </w:r>
          </w:p>
          <w:p>
            <w:pPr>
              <w:spacing w:after="0"/>
            </w:pPr>
            <w:r>
              <w:t>SDR МВФ — международный резервный актив, а не валюта. MURDE в этой концепции — ещё более узкий пилотный инструмент учёта и клиринга. Его правовой статус должен определяться отдельным многосторонним соглашением. [9]</w:t>
            </w:r>
          </w:p>
        </w:tc>
      </w:tr>
    </w:tbl>
    <w:p>
      <w:r>
        <w:br w:type="page"/>
      </w:r>
    </w:p>
    <w:p>
      <w:pPr>
        <w:pStyle w:val="Eyebrow"/>
        <w:keepNext/>
        <w:keepLines/>
        <w:widowControl/>
      </w:pPr>
      <w:r>
        <w:t>07  /  ЧЕЛОВЕК</w:t>
      </w:r>
    </w:p>
    <w:p>
      <w:pPr>
        <w:pStyle w:val="Heading1"/>
        <w:pBdr>
          <w:bottom w:val="single" w:sz="14" w:space="1" w:color="6DCBF4"/>
        </w:pBdr>
      </w:pPr>
      <w:r>
        <w:t>Именной фонд: финансовый контур развития личности</w:t>
      </w:r>
    </w:p>
    <w:p>
      <w:pPr>
        <w:pStyle w:val="Lead"/>
      </w:pPr>
      <w:r>
        <w:t>Именной фонд — не «кошелёк бесплатных денег», а переносимый договорный контур целей, прав, источников и результатов. Он может объединять публичные ассигнования, частные взносы, страховое покрытие, образовательный капитал, доход от проектов и благотворительные средства.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304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Состав паспорта</w:t>
            </w:r>
          </w:p>
        </w:tc>
        <w:tc>
          <w:tcPr>
            <w:tcW w:type="dxa" w:w="6983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Что фиксируется</w:t>
            </w:r>
          </w:p>
        </w:tc>
      </w:tr>
      <w:tr>
        <w:tc>
          <w:tcPr>
            <w:tcW w:type="dxa" w:w="230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Субъект и полномочия</w:t>
            </w:r>
          </w:p>
        </w:tc>
        <w:tc>
          <w:tcPr>
            <w:tcW w:type="dxa" w:w="6983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идентичность; дееспособность; представитель/опекун; согласия; наследуемость</w:t>
            </w:r>
          </w:p>
        </w:tc>
      </w:tr>
      <w:tr>
        <w:tc>
          <w:tcPr>
            <w:tcW w:type="dxa" w:w="230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Цели</w:t>
            </w:r>
          </w:p>
        </w:tc>
        <w:tc>
          <w:tcPr>
            <w:tcW w:type="dxa" w:w="6983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образование; здоровье; жильё; мобильность; предпринимательство; вклад в сообщество</w:t>
            </w:r>
          </w:p>
        </w:tc>
      </w:tr>
      <w:tr>
        <w:tc>
          <w:tcPr>
            <w:tcW w:type="dxa" w:w="230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Источники</w:t>
            </w:r>
          </w:p>
        </w:tc>
        <w:tc>
          <w:tcPr>
            <w:tcW w:type="dxa" w:w="6983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бюджет; работодатель; семья; страхование; грант; доход; кооператив; проектный эффект</w:t>
            </w:r>
          </w:p>
        </w:tc>
      </w:tr>
      <w:tr>
        <w:tc>
          <w:tcPr>
            <w:tcW w:type="dxa" w:w="230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Права</w:t>
            </w:r>
          </w:p>
        </w:tc>
        <w:tc>
          <w:tcPr>
            <w:tcW w:type="dxa" w:w="6983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доступ, переносимость, выбор поставщика, обжалование, удаление необязательных данных</w:t>
            </w:r>
          </w:p>
        </w:tc>
      </w:tr>
      <w:tr>
        <w:tc>
          <w:tcPr>
            <w:tcW w:type="dxa" w:w="230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Ограничения</w:t>
            </w:r>
          </w:p>
        </w:tc>
        <w:tc>
          <w:tcPr>
            <w:tcW w:type="dxa" w:w="6983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назначение, срок, лимит, допустимые контрагенты, конфликт интересов</w:t>
            </w:r>
          </w:p>
        </w:tc>
      </w:tr>
      <w:tr>
        <w:tc>
          <w:tcPr>
            <w:tcW w:type="dxa" w:w="230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Доказательства</w:t>
            </w:r>
          </w:p>
        </w:tc>
        <w:tc>
          <w:tcPr>
            <w:tcW w:type="dxa" w:w="6983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договор, счёт, результат услуги, цифровая подпись, независимая проверка</w:t>
            </w:r>
          </w:p>
        </w:tc>
      </w:tr>
      <w:tr>
        <w:tc>
          <w:tcPr>
            <w:tcW w:type="dxa" w:w="230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Результат</w:t>
            </w:r>
          </w:p>
        </w:tc>
        <w:tc>
          <w:tcPr>
            <w:tcW w:type="dxa" w:w="6983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не только расход, но и измеримое изменение возможностей человека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Принцип приватности</w:t>
            </w:r>
          </w:p>
          <w:p>
            <w:pPr>
              <w:spacing w:after="0"/>
            </w:pPr>
            <w:r>
              <w:t>Платёжная инфраструктура видит минимум данных, достаточный для расчёта и контроля риска. Смысловой профиль человека не должен становиться общедоступным или использоваться для скрытой дискриминации. Практика CBDC также требует явного баланса между полезностью данных и приватностью. [10]</w:t>
            </w:r>
          </w:p>
        </w:tc>
      </w:tr>
    </w:tbl>
    <w:p>
      <w:r>
        <w:br w:type="page"/>
      </w:r>
    </w:p>
    <w:p>
      <w:pPr>
        <w:pStyle w:val="Eyebrow"/>
        <w:keepNext/>
        <w:keepLines/>
        <w:widowControl/>
      </w:pPr>
      <w:r>
        <w:t>08  /  ЭМИССИЯ</w:t>
      </w:r>
    </w:p>
    <w:p>
      <w:pPr>
        <w:pStyle w:val="Heading1"/>
        <w:pBdr>
          <w:bottom w:val="single" w:sz="14" w:space="1" w:color="6DCBF4"/>
        </w:pBdr>
      </w:pPr>
      <w:r>
        <w:t>Правило допустимого расширения: ценность прежде лимита</w:t>
      </w:r>
    </w:p>
    <w:p>
      <w:pPr>
        <w:spacing w:before="280" w:after="360"/>
        <w:jc w:val="center"/>
      </w:pPr>
      <w:r>
        <w:rPr>
          <w:rFonts w:ascii="Cambria Math" w:hAnsi="Cambria Math"/>
          <w:b/>
          <w:color w:val="17365D"/>
          <w:sz w:val="40"/>
        </w:rPr>
        <w:t>Eₜ ≤ min(ΔVᵛᵉʳₜ, CFᵉˡᵢᵍₜ, Pᵃᵖᵖʳₜ) − Rₜ − Lₜ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1224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Обозначение</w:t>
            </w:r>
          </w:p>
        </w:tc>
        <w:tc>
          <w:tcPr>
            <w:tcW w:type="dxa" w:w="3456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Смысл</w:t>
            </w:r>
          </w:p>
        </w:tc>
        <w:tc>
          <w:tcPr>
            <w:tcW w:type="dxa" w:w="4608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Доказательство</w:t>
            </w:r>
          </w:p>
        </w:tc>
      </w:tr>
      <w:tr>
        <w:tc>
          <w:tcPr>
            <w:tcW w:type="dxa" w:w="122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Eₜ</w:t>
            </w:r>
          </w:p>
        </w:tc>
        <w:tc>
          <w:tcPr>
            <w:tcW w:type="dxa" w:w="345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допустимый новый лимит обязательств/финансирования в период t</w:t>
            </w:r>
          </w:p>
        </w:tc>
        <w:tc>
          <w:tcPr>
            <w:tcW w:type="dxa" w:w="460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решение уполномоченного эмитента или фонда</w:t>
            </w:r>
          </w:p>
        </w:tc>
      </w:tr>
      <w:tr>
        <w:tc>
          <w:tcPr>
            <w:tcW w:type="dxa" w:w="122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ΔVᵛᵉʳ</w:t>
            </w:r>
          </w:p>
        </w:tc>
        <w:tc>
          <w:tcPr>
            <w:tcW w:type="dxa" w:w="345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проверенный прирост ценности или предотвращённого ущерба</w:t>
            </w:r>
          </w:p>
        </w:tc>
        <w:tc>
          <w:tcPr>
            <w:tcW w:type="dxa" w:w="460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методика, базовая линия, независимая верификация</w:t>
            </w:r>
          </w:p>
        </w:tc>
      </w:tr>
      <w:tr>
        <w:tc>
          <w:tcPr>
            <w:tcW w:type="dxa" w:w="122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CFᵉˡᵢᵍ</w:t>
            </w:r>
          </w:p>
        </w:tc>
        <w:tc>
          <w:tcPr>
            <w:tcW w:type="dxa" w:w="345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приемлемый денежный поток</w:t>
            </w:r>
          </w:p>
        </w:tc>
        <w:tc>
          <w:tcPr>
            <w:tcW w:type="dxa" w:w="460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контракт, платёжная дисциплина, стресс-сценарий</w:t>
            </w:r>
          </w:p>
        </w:tc>
      </w:tr>
      <w:tr>
        <w:tc>
          <w:tcPr>
            <w:tcW w:type="dxa" w:w="122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Pᵃᵖᵖʳ</w:t>
            </w:r>
          </w:p>
        </w:tc>
        <w:tc>
          <w:tcPr>
            <w:tcW w:type="dxa" w:w="345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утверждённый проектный бюджет</w:t>
            </w:r>
          </w:p>
        </w:tc>
        <w:tc>
          <w:tcPr>
            <w:tcW w:type="dxa" w:w="460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бюджетное, корпоративное или многостороннее решение</w:t>
            </w:r>
          </w:p>
        </w:tc>
      </w:tr>
      <w:tr>
        <w:tc>
          <w:tcPr>
            <w:tcW w:type="dxa" w:w="122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Rₜ</w:t>
            </w:r>
          </w:p>
        </w:tc>
        <w:tc>
          <w:tcPr>
            <w:tcW w:type="dxa" w:w="345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буфер кредитного, рыночного и модельного риска</w:t>
            </w:r>
          </w:p>
        </w:tc>
        <w:tc>
          <w:tcPr>
            <w:tcW w:type="dxa" w:w="460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резервы, haircuts, лимиты концентрации</w:t>
            </w:r>
          </w:p>
        </w:tc>
      </w:tr>
      <w:tr>
        <w:tc>
          <w:tcPr>
            <w:tcW w:type="dxa" w:w="122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Lₜ</w:t>
            </w:r>
          </w:p>
        </w:tc>
        <w:tc>
          <w:tcPr>
            <w:tcW w:type="dxa" w:w="345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буфер ликвидности и операционного восстановления</w:t>
            </w:r>
          </w:p>
        </w:tc>
        <w:tc>
          <w:tcPr>
            <w:tcW w:type="dxa" w:w="460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ликвидные активы, recovery plan, аварийный режим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E5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Важно</w:t>
            </w:r>
          </w:p>
          <w:p>
            <w:pPr>
              <w:spacing w:after="0"/>
            </w:pPr>
            <w:r>
              <w:t>Формула — принцип проектирования, а не действующая норма. Для каждого класса инструментов нужны отдельные юридические основания, методики оценки, бухгалтерский учёт, налогообложение и надзор.</w:t>
            </w:r>
          </w:p>
        </w:tc>
      </w:tr>
    </w:tbl>
    <w:p>
      <w:r>
        <w:br w:type="page"/>
      </w:r>
    </w:p>
    <w:p>
      <w:pPr>
        <w:pStyle w:val="Eyebrow"/>
        <w:keepNext/>
        <w:keepLines/>
        <w:widowControl/>
      </w:pPr>
      <w:r>
        <w:t>09  /  МАТЕМАТИКА</w:t>
      </w:r>
    </w:p>
    <w:p>
      <w:pPr>
        <w:pStyle w:val="Heading1"/>
        <w:pBdr>
          <w:bottom w:val="single" w:sz="14" w:space="1" w:color="6DCBF4"/>
        </w:pBdr>
      </w:pPr>
      <w:r>
        <w:t>741: инженерная матрица реализации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3 × 13 × 19 = 741</w:t>
            </w:r>
          </w:p>
          <w:p>
            <w:pPr>
              <w:spacing w:after="0"/>
            </w:pPr>
            <w:r>
              <w:t>Три масштаба анализа × тринадцать фаз жизненного цикла × девятнадцать предметных контуров образуют 741 связанную ячейку ответственности, данных, рисков и результатов.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2232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Масштаб</w:t>
            </w:r>
          </w:p>
        </w:tc>
        <w:tc>
          <w:tcPr>
            <w:tcW w:type="dxa" w:w="32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Главный вопрос</w:t>
            </w:r>
          </w:p>
        </w:tc>
        <w:tc>
          <w:tcPr>
            <w:tcW w:type="dxa" w:w="3816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Тип решения</w:t>
            </w:r>
          </w:p>
        </w:tc>
      </w:tr>
      <w:tr>
        <w:tc>
          <w:tcPr>
            <w:tcW w:type="dxa" w:w="223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Человек / организация</w:t>
            </w:r>
          </w:p>
        </w:tc>
        <w:tc>
          <w:tcPr>
            <w:tcW w:type="dxa" w:w="32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Что изменилось для конкретного субъекта?</w:t>
            </w:r>
          </w:p>
        </w:tc>
        <w:tc>
          <w:tcPr>
            <w:tcW w:type="dxa" w:w="381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именной фонд, договор, право, компетенция, доход, безопасность</w:t>
            </w:r>
          </w:p>
        </w:tc>
      </w:tr>
      <w:tr>
        <w:tc>
          <w:tcPr>
            <w:tcW w:type="dxa" w:w="223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Государство / территория</w:t>
            </w:r>
          </w:p>
        </w:tc>
        <w:tc>
          <w:tcPr>
            <w:tcW w:type="dxa" w:w="3240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Как сохраняются суверенитет, устойчивость и воспроизводство?</w:t>
            </w:r>
          </w:p>
        </w:tc>
        <w:tc>
          <w:tcPr>
            <w:tcW w:type="dxa" w:w="381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бюджет, денежная политика, инфраструктура, промышленность, социальные гарантии</w:t>
            </w:r>
          </w:p>
        </w:tc>
      </w:tr>
      <w:tr>
        <w:tc>
          <w:tcPr>
            <w:tcW w:type="dxa" w:w="223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Планета / межгосударственный контур</w:t>
            </w:r>
          </w:p>
        </w:tc>
        <w:tc>
          <w:tcPr>
            <w:tcW w:type="dxa" w:w="32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Как согласовать общие риски и трансграничные потоки?</w:t>
            </w:r>
          </w:p>
        </w:tc>
        <w:tc>
          <w:tcPr>
            <w:tcW w:type="dxa" w:w="381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стандарты, коридоры, климат/вода/биосфера, расчёт, разрешение споров</w:t>
            </w:r>
          </w:p>
        </w:tc>
      </w:tr>
    </w:tbl>
    <w:p>
      <w:pPr>
        <w:pStyle w:val="Heading2"/>
      </w:pPr>
      <w:r>
        <w:t>Девятнадцать предметных контуров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2332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01–05</w:t>
            </w:r>
          </w:p>
        </w:tc>
        <w:tc>
          <w:tcPr>
            <w:tcW w:type="dxa" w:w="2332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06–10</w:t>
            </w:r>
          </w:p>
        </w:tc>
        <w:tc>
          <w:tcPr>
            <w:tcW w:type="dxa" w:w="2332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11–15</w:t>
            </w:r>
          </w:p>
        </w:tc>
        <w:tc>
          <w:tcPr>
            <w:tcW w:type="dxa" w:w="2332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16–19</w:t>
            </w:r>
          </w:p>
        </w:tc>
      </w:tr>
      <w:tr>
        <w:tc>
          <w:tcPr>
            <w:tcW w:type="dxa" w:w="233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человек, семья/сообщество, образование, здоровье, жильё</w:t>
            </w:r>
          </w:p>
        </w:tc>
        <w:tc>
          <w:tcPr>
            <w:tcW w:type="dxa" w:w="233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труд, предпринимательство, промышленность, энергия, вода</w:t>
            </w:r>
          </w:p>
        </w:tc>
        <w:tc>
          <w:tcPr>
            <w:tcW w:type="dxa" w:w="233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продовольствие, транспорт, цифровая среда, финансы, право</w:t>
            </w:r>
          </w:p>
        </w:tc>
        <w:tc>
          <w:tcPr>
            <w:tcW w:type="dxa" w:w="233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безопасность, культура, территория, биосфера</w:t>
            </w:r>
          </w:p>
        </w:tc>
      </w:tr>
    </w:tbl>
    <w:p>
      <w:pPr>
        <w:pStyle w:val="Source"/>
      </w:pPr>
      <w:r>
        <w:t>741 — не мистическое число и не автоматический алгоритм истины. Это карта полноты: она показывает, где отсутствуют данные, владелец решения, риск-буфер или доказательство результата.</w:t>
      </w:r>
    </w:p>
    <w:p>
      <w:r>
        <w:br w:type="page"/>
      </w:r>
    </w:p>
    <w:p>
      <w:pPr>
        <w:pStyle w:val="Eyebrow"/>
        <w:keepNext/>
        <w:keepLines/>
        <w:widowControl/>
      </w:pPr>
      <w:r>
        <w:t>10  /  ЦИКЛЫ</w:t>
      </w:r>
    </w:p>
    <w:p>
      <w:pPr>
        <w:pStyle w:val="Heading1"/>
        <w:pBdr>
          <w:bottom w:val="single" w:sz="14" w:space="1" w:color="6DCBF4"/>
        </w:pBdr>
      </w:pPr>
      <w:r>
        <w:t>260 и 13 фаз: от смысла к корректировке</w:t>
      </w:r>
    </w:p>
    <w:p>
      <w:pPr>
        <w:pStyle w:val="Lead"/>
      </w:pPr>
      <w:r>
        <w:t>«Счётная книга» использует 260 как карту полного смыслового цикла: 20 архетипов × 13 тонов. В финансовой архитектуре это не календарное предсказание, а дисциплина классификации — кто действует, в какой фазе, на каком основании и с каким доказанным эффектом.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3096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Фаза A</w:t>
            </w:r>
          </w:p>
        </w:tc>
        <w:tc>
          <w:tcPr>
            <w:tcW w:type="dxa" w:w="3096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Фаза B</w:t>
            </w:r>
          </w:p>
        </w:tc>
        <w:tc>
          <w:tcPr>
            <w:tcW w:type="dxa" w:w="3096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  <w:t>Фаза C</w:t>
            </w:r>
          </w:p>
        </w:tc>
      </w:tr>
      <w:tr>
        <w:tc>
          <w:tcPr>
            <w:tcW w:type="dxa" w:w="30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L01</w:t>
              <w:br/>
              <w:t>Сигнал</w:t>
            </w:r>
          </w:p>
        </w:tc>
        <w:tc>
          <w:tcPr>
            <w:tcW w:type="dxa" w:w="30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L02</w:t>
              <w:br/>
              <w:t>Источники</w:t>
            </w:r>
          </w:p>
        </w:tc>
        <w:tc>
          <w:tcPr>
            <w:tcW w:type="dxa" w:w="30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L03</w:t>
              <w:br/>
              <w:t>Верификация</w:t>
            </w:r>
          </w:p>
        </w:tc>
      </w:tr>
      <w:tr>
        <w:tc>
          <w:tcPr>
            <w:tcW w:type="dxa" w:w="309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L04</w:t>
              <w:br/>
              <w:t>Базовая линия</w:t>
            </w:r>
          </w:p>
        </w:tc>
        <w:tc>
          <w:tcPr>
            <w:tcW w:type="dxa" w:w="309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L05</w:t>
              <w:br/>
              <w:t>Диагноз</w:t>
            </w:r>
          </w:p>
        </w:tc>
        <w:tc>
          <w:tcPr>
            <w:tcW w:type="dxa" w:w="309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L06</w:t>
              <w:br/>
              <w:t>Сценарии</w:t>
            </w:r>
          </w:p>
        </w:tc>
      </w:tr>
      <w:tr>
        <w:tc>
          <w:tcPr>
            <w:tcW w:type="dxa" w:w="30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L07</w:t>
              <w:br/>
              <w:t>Коридор</w:t>
            </w:r>
          </w:p>
        </w:tc>
        <w:tc>
          <w:tcPr>
            <w:tcW w:type="dxa" w:w="30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L08</w:t>
              <w:br/>
              <w:t>Опции</w:t>
            </w:r>
          </w:p>
        </w:tc>
        <w:tc>
          <w:tcPr>
            <w:tcW w:type="dxa" w:w="30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L09</w:t>
              <w:br/>
              <w:t>Право</w:t>
            </w:r>
          </w:p>
        </w:tc>
      </w:tr>
      <w:tr>
        <w:tc>
          <w:tcPr>
            <w:tcW w:type="dxa" w:w="309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L10</w:t>
              <w:br/>
              <w:t>Ресурс</w:t>
            </w:r>
          </w:p>
        </w:tc>
        <w:tc>
          <w:tcPr>
            <w:tcW w:type="dxa" w:w="309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L11</w:t>
              <w:br/>
              <w:t>Исполнение</w:t>
            </w:r>
          </w:p>
        </w:tc>
        <w:tc>
          <w:tcPr>
            <w:tcW w:type="dxa" w:w="309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L12</w:t>
              <w:br/>
              <w:t>Подтверждение</w:t>
            </w:r>
          </w:p>
        </w:tc>
      </w:tr>
      <w:tr>
        <w:tc>
          <w:tcPr>
            <w:tcW w:type="dxa" w:w="30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  <w:t>L13</w:t>
              <w:br/>
              <w:t>Корректировка</w:t>
            </w:r>
          </w:p>
        </w:tc>
        <w:tc>
          <w:tcPr>
            <w:tcW w:type="dxa" w:w="30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</w:r>
          </w:p>
        </w:tc>
        <w:tc>
          <w:tcPr>
            <w:tcW w:type="dxa" w:w="30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7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Два числа — две функции</w:t>
            </w:r>
          </w:p>
          <w:p>
            <w:pPr>
              <w:spacing w:after="0"/>
            </w:pPr>
            <w:r>
              <w:t>260 отвечает на вопрос «полон ли цикл смысла и действия?». 741 отвечает на вопрос «полна ли инженерная развёртка по масштабам, фазам и предметным контурам?».</w:t>
            </w:r>
          </w:p>
        </w:tc>
      </w:tr>
    </w:tbl>
    <w:p>
      <w:r>
        <w:br w:type="page"/>
      </w:r>
    </w:p>
    <w:p>
      <w:pPr>
        <w:pStyle w:val="Eyebrow"/>
        <w:keepNext/>
        <w:keepLines/>
        <w:widowControl/>
      </w:pPr>
      <w:r>
        <w:t>11  /  СЧЁТНАЯ КНИГА</w:t>
      </w:r>
    </w:p>
    <w:p>
      <w:pPr>
        <w:pStyle w:val="Heading1"/>
        <w:pBdr>
          <w:bottom w:val="single" w:sz="14" w:space="1" w:color="6DCBF4"/>
        </w:pBdr>
      </w:pPr>
      <w:r>
        <w:t>Доказательный реестр движения ценности</w:t>
      </w:r>
    </w:p>
    <w:p>
      <w:pPr>
        <w:pStyle w:val="Lead"/>
      </w:pPr>
      <w:r>
        <w:t>Счётная книга — это не только бухгалтерская запись и не обязательно один блокчейн. Это федеративная модель данных, в которой юридические документы могут храниться у владельцев, а общий слой содержит проверяемые ссылки, статусы, подписи и хэши версий.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1655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Поле события</w:t>
            </w:r>
          </w:p>
        </w:tc>
        <w:tc>
          <w:tcPr>
            <w:tcW w:type="dxa" w:w="4536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Содержание</w:t>
            </w:r>
          </w:p>
        </w:tc>
        <w:tc>
          <w:tcPr>
            <w:tcW w:type="dxa" w:w="3168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Контроль</w:t>
            </w:r>
          </w:p>
        </w:tc>
      </w:tr>
      <w:tr>
        <w:tc>
          <w:tcPr>
            <w:tcW w:type="dxa" w:w="1655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ID и время</w:t>
            </w:r>
          </w:p>
        </w:tc>
        <w:tc>
          <w:tcPr>
            <w:tcW w:type="dxa" w:w="453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устойчивый идентификатор, юрисдикция, временная метка</w:t>
            </w:r>
          </w:p>
        </w:tc>
        <w:tc>
          <w:tcPr>
            <w:tcW w:type="dxa" w:w="316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целостность, синхронизация, уникальность</w:t>
            </w:r>
          </w:p>
        </w:tc>
      </w:tr>
      <w:tr>
        <w:tc>
          <w:tcPr>
            <w:tcW w:type="dxa" w:w="1655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Основание</w:t>
            </w:r>
          </w:p>
        </w:tc>
        <w:tc>
          <w:tcPr>
            <w:tcW w:type="dxa" w:w="453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закон, мандат, договор, бюджет, согласие</w:t>
            </w:r>
          </w:p>
        </w:tc>
        <w:tc>
          <w:tcPr>
            <w:tcW w:type="dxa" w:w="316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полномочие, версия, срок действия</w:t>
            </w:r>
          </w:p>
        </w:tc>
      </w:tr>
      <w:tr>
        <w:tc>
          <w:tcPr>
            <w:tcW w:type="dxa" w:w="1655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Субъекты</w:t>
            </w:r>
          </w:p>
        </w:tc>
        <w:tc>
          <w:tcPr>
            <w:tcW w:type="dxa" w:w="453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плательщик, получатель, бенефициар, валидатор</w:t>
            </w:r>
          </w:p>
        </w:tc>
        <w:tc>
          <w:tcPr>
            <w:tcW w:type="dxa" w:w="316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KYC/KYB, роли, конфликт интересов</w:t>
            </w:r>
          </w:p>
        </w:tc>
      </w:tr>
      <w:tr>
        <w:tc>
          <w:tcPr>
            <w:tcW w:type="dxa" w:w="1655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Ресурс</w:t>
            </w:r>
          </w:p>
        </w:tc>
        <w:tc>
          <w:tcPr>
            <w:tcW w:type="dxa" w:w="453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валюта, актив, лимит, услуга, данные</w:t>
            </w:r>
          </w:p>
        </w:tc>
        <w:tc>
          <w:tcPr>
            <w:tcW w:type="dxa" w:w="316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право собственности/требования, обременения</w:t>
            </w:r>
          </w:p>
        </w:tc>
      </w:tr>
      <w:tr>
        <w:tc>
          <w:tcPr>
            <w:tcW w:type="dxa" w:w="1655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Действие</w:t>
            </w:r>
          </w:p>
        </w:tc>
        <w:tc>
          <w:tcPr>
            <w:tcW w:type="dxa" w:w="453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резервирование, перевод, поставка, проверка, погашение</w:t>
            </w:r>
          </w:p>
        </w:tc>
        <w:tc>
          <w:tcPr>
            <w:tcW w:type="dxa" w:w="316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авторизация, финальность, обратимость</w:t>
            </w:r>
          </w:p>
        </w:tc>
      </w:tr>
      <w:tr>
        <w:tc>
          <w:tcPr>
            <w:tcW w:type="dxa" w:w="1655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Результат</w:t>
            </w:r>
          </w:p>
        </w:tc>
        <w:tc>
          <w:tcPr>
            <w:tcW w:type="dxa" w:w="453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метрика до/после, предотвращённый ущерб, доступность</w:t>
            </w:r>
          </w:p>
        </w:tc>
        <w:tc>
          <w:tcPr>
            <w:tcW w:type="dxa" w:w="316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методика, oracle, независимое подтверждение</w:t>
            </w:r>
          </w:p>
        </w:tc>
      </w:tr>
      <w:tr>
        <w:tc>
          <w:tcPr>
            <w:tcW w:type="dxa" w:w="1655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Риск и ответственность</w:t>
            </w:r>
          </w:p>
        </w:tc>
        <w:tc>
          <w:tcPr>
            <w:tcW w:type="dxa" w:w="453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лимит, резерв, страхование, владелец риска</w:t>
            </w:r>
          </w:p>
        </w:tc>
        <w:tc>
          <w:tcPr>
            <w:tcW w:type="dxa" w:w="316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стресс-тест, recovery, спор, санкции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Минимальный общий слой</w:t>
            </w:r>
          </w:p>
          <w:p>
            <w:pPr>
              <w:spacing w:after="0"/>
            </w:pPr>
            <w:r>
              <w:t>Открыто публикуются стандарты, агрегированные показатели и доказательства целостности. Персональные и коммерчески чувствительные данные остаются в разрешённых доменах и раскрываются только по правовому основанию.</w:t>
            </w:r>
          </w:p>
        </w:tc>
      </w:tr>
    </w:tbl>
    <w:p>
      <w:r>
        <w:br w:type="page"/>
      </w:r>
    </w:p>
    <w:p>
      <w:pPr>
        <w:pStyle w:val="Eyebrow"/>
        <w:keepNext/>
        <w:keepLines/>
        <w:widowControl/>
      </w:pPr>
      <w:r>
        <w:t>12  /  УПРАВЛЕНИЕ</w:t>
      </w:r>
    </w:p>
    <w:p>
      <w:pPr>
        <w:pStyle w:val="Heading1"/>
        <w:pBdr>
          <w:bottom w:val="single" w:sz="14" w:space="1" w:color="6DCBF4"/>
        </w:pBdr>
      </w:pPr>
      <w:r>
        <w:t>Институциональная схема: федерация, а не мировой монополист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1944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Уровень</w:t>
            </w:r>
          </w:p>
        </w:tc>
        <w:tc>
          <w:tcPr>
            <w:tcW w:type="dxa" w:w="4392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Предлагаемая функция</w:t>
            </w:r>
          </w:p>
        </w:tc>
        <w:tc>
          <w:tcPr>
            <w:tcW w:type="dxa" w:w="3024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Ключевой предохранитель</w:t>
            </w:r>
          </w:p>
        </w:tc>
      </w:tr>
      <w:tr>
        <w:tc>
          <w:tcPr>
            <w:tcW w:type="dxa" w:w="194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Многосторонний совет</w:t>
            </w:r>
          </w:p>
        </w:tc>
        <w:tc>
          <w:tcPr>
            <w:tcW w:type="dxa" w:w="439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доктрина, допуск стандартов, KPI, публичный отчёт</w:t>
            </w:r>
          </w:p>
        </w:tc>
        <w:tc>
          <w:tcPr>
            <w:tcW w:type="dxa" w:w="302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равновесие голосов государств, институтов и общественных представителей</w:t>
            </w:r>
          </w:p>
        </w:tc>
      </w:tr>
      <w:tr>
        <w:tc>
          <w:tcPr>
            <w:tcW w:type="dxa" w:w="194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Технический орган</w:t>
            </w:r>
          </w:p>
        </w:tc>
        <w:tc>
          <w:tcPr>
            <w:tcW w:type="dxa" w:w="439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схемы данных, идентификаторы, тесты совместимости</w:t>
            </w:r>
          </w:p>
        </w:tc>
        <w:tc>
          <w:tcPr>
            <w:tcW w:type="dxa" w:w="302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открытые спецификации, версия, независимые реализации</w:t>
            </w:r>
          </w:p>
        </w:tc>
      </w:tr>
      <w:tr>
        <w:tc>
          <w:tcPr>
            <w:tcW w:type="dxa" w:w="194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Расчётный оператор</w:t>
            </w:r>
          </w:p>
        </w:tc>
        <w:tc>
          <w:tcPr>
            <w:tcW w:type="dxa" w:w="439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маршрутизация, PvP/atomic settlement, статус финальности</w:t>
            </w:r>
          </w:p>
        </w:tc>
        <w:tc>
          <w:tcPr>
            <w:tcW w:type="dxa" w:w="302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отделён от эмиссии и проектного отбора; PFMI</w:t>
            </w:r>
          </w:p>
        </w:tc>
      </w:tr>
      <w:tr>
        <w:tc>
          <w:tcPr>
            <w:tcW w:type="dxa" w:w="194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Национальный шлюз</w:t>
            </w:r>
          </w:p>
        </w:tc>
        <w:tc>
          <w:tcPr>
            <w:tcW w:type="dxa" w:w="439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применение местного права, валютного режима и надзора</w:t>
            </w:r>
          </w:p>
        </w:tc>
        <w:tc>
          <w:tcPr>
            <w:tcW w:type="dxa" w:w="302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автономия центрального банка; право остановки</w:t>
            </w:r>
          </w:p>
        </w:tc>
      </w:tr>
      <w:tr>
        <w:tc>
          <w:tcPr>
            <w:tcW w:type="dxa" w:w="194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Фонды и SPV</w:t>
            </w:r>
          </w:p>
        </w:tc>
        <w:tc>
          <w:tcPr>
            <w:tcW w:type="dxa" w:w="439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структурирование именных, проектных и территориальных программ</w:t>
            </w:r>
          </w:p>
        </w:tc>
        <w:tc>
          <w:tcPr>
            <w:tcW w:type="dxa" w:w="302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фидуциарная обязанность, сегрегация активов, аудит</w:t>
            </w:r>
          </w:p>
        </w:tc>
      </w:tr>
      <w:tr>
        <w:tc>
          <w:tcPr>
            <w:tcW w:type="dxa" w:w="194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Валидаторы</w:t>
            </w:r>
          </w:p>
        </w:tc>
        <w:tc>
          <w:tcPr>
            <w:tcW w:type="dxa" w:w="439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проверка данных, результатов и обеспечения</w:t>
            </w:r>
          </w:p>
        </w:tc>
        <w:tc>
          <w:tcPr>
            <w:tcW w:type="dxa" w:w="302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аккредитация, ротация, ответственность, конфликт интересов</w:t>
            </w:r>
          </w:p>
        </w:tc>
      </w:tr>
      <w:tr>
        <w:tc>
          <w:tcPr>
            <w:tcW w:type="dxa" w:w="194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Арбитраж / омбудсмен</w:t>
            </w:r>
          </w:p>
        </w:tc>
        <w:tc>
          <w:tcPr>
            <w:tcW w:type="dxa" w:w="439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споры, права пользователя, исправление ошибок</w:t>
            </w:r>
          </w:p>
        </w:tc>
        <w:tc>
          <w:tcPr>
            <w:tcW w:type="dxa" w:w="302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доступная процедура и исполнение решений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Проектное имя</w:t>
            </w:r>
          </w:p>
          <w:p>
            <w:pPr>
              <w:spacing w:after="0"/>
            </w:pPr>
            <w:r>
              <w:t>«Всемирный финансовый совет» допустим как рабочее название форума координации, но не как наднациональный эмитент с неограниченной властью.</w:t>
            </w:r>
          </w:p>
        </w:tc>
      </w:tr>
    </w:tbl>
    <w:p>
      <w:r>
        <w:br w:type="page"/>
      </w:r>
    </w:p>
    <w:p>
      <w:pPr>
        <w:pStyle w:val="Eyebrow"/>
        <w:keepNext/>
        <w:keepLines/>
        <w:widowControl/>
      </w:pPr>
      <w:r>
        <w:t>13  /  ПРАВО</w:t>
      </w:r>
    </w:p>
    <w:p>
      <w:pPr>
        <w:pStyle w:val="Heading1"/>
        <w:pBdr>
          <w:bottom w:val="single" w:sz="14" w:space="1" w:color="6DCBF4"/>
        </w:pBdr>
      </w:pPr>
      <w:r>
        <w:t>Юридическая совместимость до масштабирования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1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Денежное и банковское право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кто вправе выпускать инструмент; является ли он деньгами, депозитом, ценной бумагой или иным требованием</w:t>
            </w:r>
          </w:p>
        </w:tc>
      </w:tr>
    </w:tbl>
    <w:p>
      <w:pPr>
        <w:spacing w:after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2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Платежи и финальность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момент окончательности; клиринг; возврат; несостоятельность участника; режим обеспечения</w:t>
            </w:r>
          </w:p>
        </w:tc>
      </w:tr>
    </w:tbl>
    <w:p>
      <w:pPr>
        <w:spacing w:after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3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Валютный контроль и санкции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разрешённые валюты, трансграничные ограничения, screening и правомерная блокировка</w:t>
            </w:r>
          </w:p>
        </w:tc>
      </w:tr>
    </w:tbl>
    <w:p>
      <w:pPr>
        <w:spacing w:after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4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AML/CFT и идентичность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риск-ориентированная проверка, travel rule, цифровой ID, хранение записей</w:t>
            </w:r>
          </w:p>
        </w:tc>
      </w:tr>
    </w:tbl>
    <w:p>
      <w:pPr>
        <w:spacing w:after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5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Данные и приватность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цель обработки, локализация, трансграничная передача, минимизация, автоматизированные решения</w:t>
            </w:r>
          </w:p>
        </w:tc>
      </w:tr>
    </w:tbl>
    <w:p>
      <w:pPr>
        <w:spacing w:after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6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Ценные бумаги и инвестиции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публичное предложение, квалификация инвестора, раскрытие, рыночная инфраструктура</w:t>
            </w:r>
          </w:p>
        </w:tc>
      </w:tr>
    </w:tbl>
    <w:p>
      <w:pPr>
        <w:spacing w:after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7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Налоги и учёт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оценка, признание дохода, НДС/прибыль, резервирование, аудит, консолидация</w:t>
            </w:r>
          </w:p>
        </w:tc>
      </w:tr>
    </w:tbl>
    <w:p>
      <w:pPr>
        <w:spacing w:after="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748"/>
            <w:shd w:fill="2E74B5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3"/>
              </w:rPr>
              <w:t>8</w:t>
            </w:r>
          </w:p>
        </w:tc>
        <w:tc>
          <w:tcPr>
            <w:tcW w:type="dxa" w:w="8553"/>
            <w:shd w:fill="F3F7FA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40"/>
            </w:pPr>
            <w:r>
              <w:rPr>
                <w:b/>
                <w:color w:val="17365D"/>
                <w:sz w:val="18"/>
              </w:rPr>
              <w:t>Защита потребителя</w:t>
            </w:r>
          </w:p>
          <w:p>
            <w:pPr>
              <w:pStyle w:val="Small"/>
              <w:spacing w:after="0" w:line="240" w:lineRule="auto"/>
            </w:pPr>
            <w:r>
              <w:rPr>
                <w:sz w:val="15"/>
              </w:rPr>
              <w:t>понятные условия, комиссия, жалоба, возврат, недискриминация, цифровая доступность</w:t>
            </w:r>
          </w:p>
        </w:tc>
      </w:tr>
    </w:tbl>
    <w:p>
      <w:pPr>
        <w:spacing w:after="0" w:line="120" w:lineRule="auto"/>
      </w:pPr>
    </w:p>
    <w:p>
      <w:pPr>
        <w:pStyle w:val="Source"/>
      </w:pPr>
      <w:r>
        <w:t>FATF подчёркивает риск-ориентированный подход к цифровой идентичности и виртуальным активам; PFMI — требования к управлению, рискам, финальности и операционной устойчивости. [5][6][7]</w:t>
      </w:r>
    </w:p>
    <w:p>
      <w:r>
        <w:br w:type="page"/>
      </w:r>
    </w:p>
    <w:p>
      <w:pPr>
        <w:pStyle w:val="Eyebrow"/>
        <w:keepNext/>
        <w:keepLines/>
        <w:widowControl/>
      </w:pPr>
      <w:r>
        <w:t>14  /  РИСКИ</w:t>
      </w:r>
    </w:p>
    <w:p>
      <w:pPr>
        <w:pStyle w:val="Heading1"/>
        <w:pBdr>
          <w:bottom w:val="single" w:sz="14" w:space="1" w:color="6DCBF4"/>
        </w:pBdr>
      </w:pPr>
      <w:r>
        <w:t>Красная команда: как система может потерпеть неудачу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2232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Риск</w:t>
            </w:r>
          </w:p>
        </w:tc>
        <w:tc>
          <w:tcPr>
            <w:tcW w:type="dxa" w:w="3384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Ранний индикатор</w:t>
            </w:r>
          </w:p>
        </w:tc>
        <w:tc>
          <w:tcPr>
            <w:tcW w:type="dxa" w:w="3671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4"/>
              </w:rPr>
              <w:t>Обязательный контроль</w:t>
            </w:r>
          </w:p>
        </w:tc>
      </w:tr>
      <w:tr>
        <w:tc>
          <w:tcPr>
            <w:tcW w:type="dxa" w:w="223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Инфляционное расширение</w:t>
            </w:r>
          </w:p>
        </w:tc>
        <w:tc>
          <w:tcPr>
            <w:tcW w:type="dxa" w:w="338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лимиты растут быстрее проверенной ценности/потока</w:t>
            </w:r>
          </w:p>
        </w:tc>
        <w:tc>
          <w:tcPr>
            <w:tcW w:type="dxa" w:w="3671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независимое правило лимитов; резервы; право остановки</w:t>
            </w:r>
          </w:p>
        </w:tc>
      </w:tr>
      <w:tr>
        <w:tc>
          <w:tcPr>
            <w:tcW w:type="dxa" w:w="223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Run и нехватка ликвидности</w:t>
            </w:r>
          </w:p>
        </w:tc>
        <w:tc>
          <w:tcPr>
            <w:tcW w:type="dxa" w:w="338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ускорение погашений, спредов и концентрации</w:t>
            </w:r>
          </w:p>
        </w:tc>
        <w:tc>
          <w:tcPr>
            <w:tcW w:type="dxa" w:w="3671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ликвидный буфер; waterfall; recovery/resolution</w:t>
            </w:r>
          </w:p>
        </w:tc>
      </w:tr>
      <w:tr>
        <w:tc>
          <w:tcPr>
            <w:tcW w:type="dxa" w:w="223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Политический/корпоративный захват</w:t>
            </w:r>
          </w:p>
        </w:tc>
        <w:tc>
          <w:tcPr>
            <w:tcW w:type="dxa" w:w="338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непрозрачный отбор и связанное финансирование</w:t>
            </w:r>
          </w:p>
        </w:tc>
        <w:tc>
          <w:tcPr>
            <w:tcW w:type="dxa" w:w="3671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публичные критерии; конфликт интересов; аудит</w:t>
            </w:r>
          </w:p>
        </w:tc>
      </w:tr>
      <w:tr>
        <w:tc>
          <w:tcPr>
            <w:tcW w:type="dxa" w:w="223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Тотальная финансовая слежка</w:t>
            </w:r>
          </w:p>
        </w:tc>
        <w:tc>
          <w:tcPr>
            <w:tcW w:type="dxa" w:w="338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расширение целей данных и скрытый скоринг</w:t>
            </w:r>
          </w:p>
        </w:tc>
        <w:tc>
          <w:tcPr>
            <w:tcW w:type="dxa" w:w="3671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privacy by design; минимизация; запрет вторичного использования</w:t>
            </w:r>
          </w:p>
        </w:tc>
      </w:tr>
      <w:tr>
        <w:tc>
          <w:tcPr>
            <w:tcW w:type="dxa" w:w="223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Кибератака / остановка</w:t>
            </w:r>
          </w:p>
        </w:tc>
        <w:tc>
          <w:tcPr>
            <w:tcW w:type="dxa" w:w="338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рост критических уязвимостей, отсутствие резервного режима</w:t>
            </w:r>
          </w:p>
        </w:tc>
        <w:tc>
          <w:tcPr>
            <w:tcW w:type="dxa" w:w="3671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сегментация; zero trust; резервный расчёт; учения</w:t>
            </w:r>
          </w:p>
        </w:tc>
      </w:tr>
      <w:tr>
        <w:tc>
          <w:tcPr>
            <w:tcW w:type="dxa" w:w="223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Greenwashing / ложный эффект</w:t>
            </w:r>
          </w:p>
        </w:tc>
        <w:tc>
          <w:tcPr>
            <w:tcW w:type="dxa" w:w="338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метрика меняется после финансирования</w:t>
            </w:r>
          </w:p>
        </w:tc>
        <w:tc>
          <w:tcPr>
            <w:tcW w:type="dxa" w:w="3671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предварительный протокол; baseline; независимый валидатор</w:t>
            </w:r>
          </w:p>
        </w:tc>
      </w:tr>
      <w:tr>
        <w:tc>
          <w:tcPr>
            <w:tcW w:type="dxa" w:w="223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Oracle и модельный риск</w:t>
            </w:r>
          </w:p>
        </w:tc>
        <w:tc>
          <w:tcPr>
            <w:tcW w:type="dxa" w:w="338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расхождение источников, дрейф модели</w:t>
            </w:r>
          </w:p>
        </w:tc>
        <w:tc>
          <w:tcPr>
            <w:tcW w:type="dxa" w:w="3671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несколько источников; ручной override; журнал версий</w:t>
            </w:r>
          </w:p>
        </w:tc>
      </w:tr>
      <w:tr>
        <w:tc>
          <w:tcPr>
            <w:tcW w:type="dxa" w:w="223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Правовая фрагментация</w:t>
            </w:r>
          </w:p>
        </w:tc>
        <w:tc>
          <w:tcPr>
            <w:tcW w:type="dxa" w:w="3384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одна операция получает разные квалификации</w:t>
            </w:r>
          </w:p>
        </w:tc>
        <w:tc>
          <w:tcPr>
            <w:tcW w:type="dxa" w:w="3671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национальные шлюзы; rulebook коридора; арбитраж</w:t>
            </w:r>
          </w:p>
        </w:tc>
      </w:tr>
      <w:tr>
        <w:tc>
          <w:tcPr>
            <w:tcW w:type="dxa" w:w="223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Цифровое исключение</w:t>
            </w:r>
          </w:p>
        </w:tc>
        <w:tc>
          <w:tcPr>
            <w:tcW w:type="dxa" w:w="3384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сервис доступен только через дорогие устройства</w:t>
            </w:r>
          </w:p>
        </w:tc>
        <w:tc>
          <w:tcPr>
            <w:tcW w:type="dxa" w:w="3671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4"/>
              </w:rPr>
              <w:t>offline/assisted channels; универсальный дизайн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0F0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Критерий допуска</w:t>
            </w:r>
          </w:p>
          <w:p>
            <w:pPr>
              <w:spacing w:after="0"/>
            </w:pPr>
            <w:r>
              <w:t>Пилот не запускается, пока нет владельца каждого критического риска, измеримого лимита, сценария восстановления и источника покрытия убытков.</w:t>
            </w:r>
          </w:p>
        </w:tc>
      </w:tr>
    </w:tbl>
    <w:p>
      <w:r>
        <w:br w:type="page"/>
      </w:r>
    </w:p>
    <w:p>
      <w:pPr>
        <w:pStyle w:val="Eyebrow"/>
        <w:keepNext/>
        <w:keepLines/>
        <w:widowControl/>
      </w:pPr>
      <w:r>
        <w:t>15  /  ПИЛОТЫ</w:t>
      </w:r>
    </w:p>
    <w:p>
      <w:pPr>
        <w:pStyle w:val="Heading1"/>
        <w:pBdr>
          <w:bottom w:val="single" w:sz="14" w:space="1" w:color="6DCBF4"/>
        </w:pBdr>
      </w:pPr>
      <w:r>
        <w:t>Четыре пилота с ограниченным риском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936"/>
            <w:shd w:fill="2E74B5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P1</w:t>
            </w:r>
          </w:p>
        </w:tc>
        <w:tc>
          <w:tcPr>
            <w:tcW w:type="dxa" w:w="8352"/>
            <w:shd w:fill="F3F7FA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17365D"/>
              </w:rPr>
              <w:t>Именной фонд развития</w:t>
            </w:r>
          </w:p>
          <w:p>
            <w:pPr>
              <w:spacing w:after="40"/>
            </w:pPr>
            <w:r>
              <w:t>Образование + здоровье + предпринимательство в одной юрисдикции.</w:t>
            </w:r>
          </w:p>
          <w:p>
            <w:pPr>
              <w:pStyle w:val="Small"/>
              <w:spacing w:after="0"/>
            </w:pPr>
            <w:r>
              <w:t>Критерии: переносимость, целевое использование, приватность, измеримый результат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936"/>
            <w:shd w:fill="2E74B5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P2</w:t>
            </w:r>
          </w:p>
        </w:tc>
        <w:tc>
          <w:tcPr>
            <w:tcW w:type="dxa" w:w="8352"/>
            <w:shd w:fill="F3F7FA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17365D"/>
              </w:rPr>
              <w:t>ECO‑PPA «вода–энергия–продовольствие»</w:t>
            </w:r>
          </w:p>
          <w:p>
            <w:pPr>
              <w:spacing w:after="40"/>
            </w:pPr>
            <w:r>
              <w:t>Долгосрочный контракт, где экономия и новая ценность формируют возврат.</w:t>
            </w:r>
          </w:p>
          <w:p>
            <w:pPr>
              <w:pStyle w:val="Small"/>
              <w:spacing w:after="0"/>
            </w:pPr>
            <w:r>
              <w:t>Критерии: baseline, гарантированный результат, денежный поток, независимая верификация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936"/>
            <w:shd w:fill="2E74B5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P3</w:t>
            </w:r>
          </w:p>
        </w:tc>
        <w:tc>
          <w:tcPr>
            <w:tcW w:type="dxa" w:w="8352"/>
            <w:shd w:fill="F3F7FA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17365D"/>
              </w:rPr>
              <w:t>Межрегиональный проектный коридор</w:t>
            </w:r>
          </w:p>
          <w:p>
            <w:pPr>
              <w:spacing w:after="40"/>
            </w:pPr>
            <w:r>
              <w:t>Расчёт между банками и SPV с общей Счётной книгой.</w:t>
            </w:r>
          </w:p>
          <w:p>
            <w:pPr>
              <w:pStyle w:val="Small"/>
              <w:spacing w:after="0"/>
            </w:pPr>
            <w:r>
              <w:t>Критерии: ISO 20022, финальность, SLA, комплаенс, сокращение ручных сверок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936"/>
            <w:shd w:fill="2E74B5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P4</w:t>
            </w:r>
          </w:p>
        </w:tc>
        <w:tc>
          <w:tcPr>
            <w:tcW w:type="dxa" w:w="8352"/>
            <w:shd w:fill="F3F7FA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17365D"/>
              </w:rPr>
              <w:t>Трансграничный оптовый sandbox</w:t>
            </w:r>
          </w:p>
          <w:p>
            <w:pPr>
              <w:spacing w:after="40"/>
            </w:pPr>
            <w:r>
              <w:t>Две–три валюты, регулируемые банки, токенизированные депозиты и резервы.</w:t>
            </w:r>
          </w:p>
          <w:p>
            <w:pPr>
              <w:pStyle w:val="Small"/>
              <w:spacing w:after="0"/>
            </w:pPr>
            <w:r>
              <w:t>Критерии: PvP/atomic settlement, автономия центробанков, приватность, recovery</w:t>
            </w:r>
          </w:p>
        </w:tc>
      </w:tr>
    </w:tbl>
    <w:p>
      <w:pPr>
        <w:spacing w:after="20"/>
      </w:pPr>
    </w:p>
    <w:p>
      <w:pPr>
        <w:pStyle w:val="Source"/>
      </w:pPr>
      <w:r>
        <w:t>Проект Agorá BIS уже продемонстрировал возможность совместить токенизированные депозиты и резервы на общей платформе при сохранении национальной автономии и приватности. Это подтверждает техническое направление, но не заменяет национальные правовые решения. [1][3]</w:t>
      </w:r>
    </w:p>
    <w:p>
      <w:r>
        <w:br w:type="page"/>
      </w:r>
    </w:p>
    <w:p>
      <w:pPr>
        <w:pStyle w:val="Eyebrow"/>
        <w:keepNext/>
        <w:keepLines/>
        <w:widowControl/>
      </w:pPr>
      <w:r>
        <w:t>16  /  ДОРОЖНАЯ КАРТА</w:t>
      </w:r>
    </w:p>
    <w:p>
      <w:pPr>
        <w:pStyle w:val="Heading1"/>
        <w:pBdr>
          <w:bottom w:val="single" w:sz="14" w:space="1" w:color="6DCBF4"/>
        </w:pBdr>
      </w:pPr>
      <w:r>
        <w:t>36 месяцев: от доктрины к работающему коридору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1296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Период</w:t>
            </w:r>
          </w:p>
        </w:tc>
        <w:tc>
          <w:tcPr>
            <w:tcW w:type="dxa" w:w="468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Результат этапа</w:t>
            </w:r>
          </w:p>
        </w:tc>
        <w:tc>
          <w:tcPr>
            <w:tcW w:type="dxa" w:w="3311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Условия перехода</w:t>
            </w:r>
          </w:p>
        </w:tc>
      </w:tr>
      <w:tr>
        <w:tc>
          <w:tcPr>
            <w:tcW w:type="dxa" w:w="12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0–3 мес.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Доктрина, словарь, карта права, целевая архитектура, орган управления программой.</w:t>
            </w:r>
          </w:p>
        </w:tc>
        <w:tc>
          <w:tcPr>
            <w:tcW w:type="dxa" w:w="3311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утверждённый мандат; перечень юрисдикций и инструментов</w:t>
            </w:r>
          </w:p>
        </w:tc>
      </w:tr>
      <w:tr>
        <w:tc>
          <w:tcPr>
            <w:tcW w:type="dxa" w:w="129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3–6 мес.</w:t>
            </w:r>
          </w:p>
        </w:tc>
        <w:tc>
          <w:tcPr>
            <w:tcW w:type="dxa" w:w="4680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Rulebook пилота, модель угроз, данные, KPI, финансовая модель, дизайн именного фонда.</w:t>
            </w:r>
          </w:p>
        </w:tc>
        <w:tc>
          <w:tcPr>
            <w:tcW w:type="dxa" w:w="3311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подписанные участники; legal opinions; risk appetite</w:t>
            </w:r>
          </w:p>
        </w:tc>
      </w:tr>
      <w:tr>
        <w:tc>
          <w:tcPr>
            <w:tcW w:type="dxa" w:w="12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6–12 мес.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Технический и правовой sandbox; цифровой двойник расчётов; тестовые сценарии сбоев.</w:t>
            </w:r>
          </w:p>
        </w:tc>
        <w:tc>
          <w:tcPr>
            <w:tcW w:type="dxa" w:w="3311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доказанная финальность; privacy assessment; recovery test</w:t>
            </w:r>
          </w:p>
        </w:tc>
      </w:tr>
      <w:tr>
        <w:tc>
          <w:tcPr>
            <w:tcW w:type="dxa" w:w="129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12–18 мес.</w:t>
            </w:r>
          </w:p>
        </w:tc>
        <w:tc>
          <w:tcPr>
            <w:tcW w:type="dxa" w:w="4680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P1 и P2 в одной юрисдикции; ограниченное число пользователей и проектов.</w:t>
            </w:r>
          </w:p>
        </w:tc>
        <w:tc>
          <w:tcPr>
            <w:tcW w:type="dxa" w:w="3311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KPI результата; отсутствие критических нарушений; аудит</w:t>
            </w:r>
          </w:p>
        </w:tc>
      </w:tr>
      <w:tr>
        <w:tc>
          <w:tcPr>
            <w:tcW w:type="dxa" w:w="129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18–24 мес.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P3 межрегиональный; стандартизированные сообщения и взаимная проверка.</w:t>
            </w:r>
          </w:p>
        </w:tc>
        <w:tc>
          <w:tcPr>
            <w:tcW w:type="dxa" w:w="3311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снижение ручных операций; согласованный спорный режим</w:t>
            </w:r>
          </w:p>
        </w:tc>
      </w:tr>
      <w:tr>
        <w:tc>
          <w:tcPr>
            <w:tcW w:type="dxa" w:w="129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24–36 мес.</w:t>
            </w:r>
          </w:p>
        </w:tc>
        <w:tc>
          <w:tcPr>
            <w:tcW w:type="dxa" w:w="4680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P4 трансграничный оптовый коридор; независимая оценка и пакет масштабирования.</w:t>
            </w:r>
          </w:p>
        </w:tc>
        <w:tc>
          <w:tcPr>
            <w:tcW w:type="dxa" w:w="3311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решения центральных банков и регуляторов; устойчивые показатели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Стоп-условия</w:t>
            </w:r>
          </w:p>
          <w:p>
            <w:pPr>
              <w:spacing w:after="0"/>
            </w:pPr>
            <w:r>
              <w:t>Невозможность юридически определить инструмент; отсутствие финального расчёта; неконтролируемая эмиссия; критическая утечка данных; непокрытый риск потерь; систематическая фальсификация результата.</w:t>
            </w:r>
          </w:p>
        </w:tc>
      </w:tr>
    </w:tbl>
    <w:p>
      <w:r>
        <w:br w:type="page"/>
      </w:r>
    </w:p>
    <w:p>
      <w:pPr>
        <w:pStyle w:val="Eyebrow"/>
        <w:keepNext/>
        <w:keepLines/>
        <w:widowControl/>
      </w:pPr>
      <w:r>
        <w:t>17  /  ИЗМЕРЕНИЕ</w:t>
      </w:r>
    </w:p>
    <w:p>
      <w:pPr>
        <w:pStyle w:val="Heading1"/>
        <w:pBdr>
          <w:bottom w:val="single" w:sz="14" w:space="1" w:color="6DCBF4"/>
        </w:pBdr>
      </w:pPr>
      <w:r>
        <w:t>Панель результатов: не скорость ради скорости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1512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Контур KPI</w:t>
            </w:r>
          </w:p>
        </w:tc>
        <w:tc>
          <w:tcPr>
            <w:tcW w:type="dxa" w:w="5256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Показатели</w:t>
            </w:r>
          </w:p>
        </w:tc>
        <w:tc>
          <w:tcPr>
            <w:tcW w:type="dxa" w:w="2592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Целевой смысл</w:t>
            </w:r>
          </w:p>
        </w:tc>
      </w:tr>
      <w:tr>
        <w:tc>
          <w:tcPr>
            <w:tcW w:type="dxa" w:w="151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Платёж</w:t>
            </w:r>
          </w:p>
        </w:tc>
        <w:tc>
          <w:tcPr>
            <w:tcW w:type="dxa" w:w="525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стоимость; время end-to-end; доля straight-through; время до финальности; спорные операции</w:t>
            </w:r>
          </w:p>
        </w:tc>
        <w:tc>
          <w:tcPr>
            <w:tcW w:type="dxa" w:w="259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дешевле, быстрее, прозрачнее, доступнее</w:t>
            </w:r>
          </w:p>
        </w:tc>
      </w:tr>
      <w:tr>
        <w:tc>
          <w:tcPr>
            <w:tcW w:type="dxa" w:w="151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Доверие</w:t>
            </w:r>
          </w:p>
        </w:tc>
        <w:tc>
          <w:tcPr>
            <w:tcW w:type="dxa" w:w="525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ошибки идентичности; ложные срабатывания; время расследования; подтверждённое мошенничество</w:t>
            </w:r>
          </w:p>
        </w:tc>
        <w:tc>
          <w:tcPr>
            <w:tcW w:type="dxa" w:w="259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комплаенс без избыточного исключения</w:t>
            </w:r>
          </w:p>
        </w:tc>
      </w:tr>
      <w:tr>
        <w:tc>
          <w:tcPr>
            <w:tcW w:type="dxa" w:w="151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Устойчивость</w:t>
            </w:r>
          </w:p>
        </w:tc>
        <w:tc>
          <w:tcPr>
            <w:tcW w:type="dxa" w:w="525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ликвидный разрыв; потери; RTO/RPO; киберинциденты; концентрация</w:t>
            </w:r>
          </w:p>
        </w:tc>
        <w:tc>
          <w:tcPr>
            <w:tcW w:type="dxa" w:w="259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система переживает стресс без каскада</w:t>
            </w:r>
          </w:p>
        </w:tc>
      </w:tr>
      <w:tr>
        <w:tc>
          <w:tcPr>
            <w:tcW w:type="dxa" w:w="151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Человек</w:t>
            </w:r>
          </w:p>
        </w:tc>
        <w:tc>
          <w:tcPr>
            <w:tcW w:type="dxa" w:w="525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доступ к услуге; переносимость; жалобы; раскрытие данных; изменение возможностей</w:t>
            </w:r>
          </w:p>
        </w:tc>
        <w:tc>
          <w:tcPr>
            <w:tcW w:type="dxa" w:w="259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улучшение жизни, а не рост транзакций</w:t>
            </w:r>
          </w:p>
        </w:tc>
      </w:tr>
      <w:tr>
        <w:tc>
          <w:tcPr>
            <w:tcW w:type="dxa" w:w="151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Проект</w:t>
            </w:r>
          </w:p>
        </w:tc>
        <w:tc>
          <w:tcPr>
            <w:tcW w:type="dxa" w:w="525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additionality; соблюдение бюджета/срока; денежный поток; дефолт; независимый эффект</w:t>
            </w:r>
          </w:p>
        </w:tc>
        <w:tc>
          <w:tcPr>
            <w:tcW w:type="dxa" w:w="259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капитал связан с реальным результатом</w:t>
            </w:r>
          </w:p>
        </w:tc>
      </w:tr>
      <w:tr>
        <w:tc>
          <w:tcPr>
            <w:tcW w:type="dxa" w:w="151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Территория</w:t>
            </w:r>
          </w:p>
        </w:tc>
        <w:tc>
          <w:tcPr>
            <w:tcW w:type="dxa" w:w="525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доступность инфраструктуры; локальная кооперация; налоговая/экономическая база</w:t>
            </w:r>
          </w:p>
        </w:tc>
        <w:tc>
          <w:tcPr>
            <w:tcW w:type="dxa" w:w="259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воспроизводство и снижение дисбалансов</w:t>
            </w:r>
          </w:p>
        </w:tc>
      </w:tr>
      <w:tr>
        <w:tc>
          <w:tcPr>
            <w:tcW w:type="dxa" w:w="151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Планета</w:t>
            </w:r>
          </w:p>
        </w:tc>
        <w:tc>
          <w:tcPr>
            <w:tcW w:type="dxa" w:w="5256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вода, энергия, выбросы, биоразнообразие, предотвращённый ущерб</w:t>
            </w:r>
          </w:p>
        </w:tc>
        <w:tc>
          <w:tcPr>
            <w:tcW w:type="dxa" w:w="259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верифицируемый эффект без двойного счёта</w:t>
            </w:r>
          </w:p>
        </w:tc>
      </w:tr>
      <w:tr>
        <w:tc>
          <w:tcPr>
            <w:tcW w:type="dxa" w:w="151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Управление</w:t>
            </w:r>
          </w:p>
        </w:tc>
        <w:tc>
          <w:tcPr>
            <w:tcW w:type="dxa" w:w="5256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открытые решения; конфликт интересов; время спора; выполнение аудита</w:t>
            </w:r>
          </w:p>
        </w:tc>
        <w:tc>
          <w:tcPr>
            <w:tcW w:type="dxa" w:w="259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5"/>
              </w:rPr>
              <w:t>подотчётность и корректируемость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Связь с международной повесткой</w:t>
            </w:r>
          </w:p>
          <w:p>
            <w:pPr>
              <w:spacing w:after="0"/>
            </w:pPr>
            <w:r>
              <w:t>FSB измеряет трансграничные платежи по стоимости, скорости, прозрачности и доступности. Предлагаемая панель сохраняет эти показатели, но добавляет качество денег, приватность, результат для человека и доказанный эффект проекта. [2]</w:t>
            </w:r>
          </w:p>
        </w:tc>
      </w:tr>
    </w:tbl>
    <w:p>
      <w:r>
        <w:br w:type="page"/>
      </w:r>
    </w:p>
    <w:p>
      <w:pPr>
        <w:pStyle w:val="Eyebrow"/>
        <w:keepNext/>
        <w:keepLines/>
        <w:widowControl/>
      </w:pPr>
      <w:r>
        <w:t>18  /  ПАКЕТ ЗАПУСКА</w:t>
      </w:r>
    </w:p>
    <w:p>
      <w:pPr>
        <w:pStyle w:val="Heading1"/>
        <w:pBdr>
          <w:bottom w:val="single" w:sz="14" w:space="1" w:color="6DCBF4"/>
        </w:pBdr>
      </w:pPr>
      <w:r>
        <w:t>Что необходимо утвердить первым решением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648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№</w:t>
            </w:r>
          </w:p>
        </w:tc>
        <w:tc>
          <w:tcPr>
            <w:tcW w:type="dxa" w:w="2088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Документ</w:t>
            </w:r>
          </w:p>
        </w:tc>
        <w:tc>
          <w:tcPr>
            <w:tcW w:type="dxa" w:w="6552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Содержание</w:t>
            </w:r>
          </w:p>
        </w:tc>
      </w:tr>
      <w:tr>
        <w:tc>
          <w:tcPr>
            <w:tcW w:type="dxa" w:w="64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01</w:t>
            </w:r>
          </w:p>
        </w:tc>
        <w:tc>
          <w:tcPr>
            <w:tcW w:type="dxa" w:w="208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Доктрина</w:t>
            </w:r>
          </w:p>
        </w:tc>
        <w:tc>
          <w:tcPr>
            <w:tcW w:type="dxa" w:w="655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ценности, границы допустимого, суверенитет, статус MURDE и именных фондов</w:t>
            </w:r>
          </w:p>
        </w:tc>
      </w:tr>
      <w:tr>
        <w:tc>
          <w:tcPr>
            <w:tcW w:type="dxa" w:w="64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02</w:t>
            </w:r>
          </w:p>
        </w:tc>
        <w:tc>
          <w:tcPr>
            <w:tcW w:type="dxa" w:w="208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Пилотный мандат</w:t>
            </w:r>
          </w:p>
        </w:tc>
        <w:tc>
          <w:tcPr>
            <w:tcW w:type="dxa" w:w="655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юрисдикции, участники, инструменты, лимиты, срок, критерии остановки</w:t>
            </w:r>
          </w:p>
        </w:tc>
      </w:tr>
      <w:tr>
        <w:tc>
          <w:tcPr>
            <w:tcW w:type="dxa" w:w="64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03</w:t>
            </w:r>
          </w:p>
        </w:tc>
        <w:tc>
          <w:tcPr>
            <w:tcW w:type="dxa" w:w="208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Rulebook</w:t>
            </w:r>
          </w:p>
        </w:tc>
        <w:tc>
          <w:tcPr>
            <w:tcW w:type="dxa" w:w="655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события, роли, финальность, споры, санкции, обновление версий</w:t>
            </w:r>
          </w:p>
        </w:tc>
      </w:tr>
      <w:tr>
        <w:tc>
          <w:tcPr>
            <w:tcW w:type="dxa" w:w="64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04</w:t>
            </w:r>
          </w:p>
        </w:tc>
        <w:tc>
          <w:tcPr>
            <w:tcW w:type="dxa" w:w="208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Архитектура данных</w:t>
            </w:r>
          </w:p>
        </w:tc>
        <w:tc>
          <w:tcPr>
            <w:tcW w:type="dxa" w:w="655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ISO 20022-профиль, идентификаторы, доказательства, приватность, хранение</w:t>
            </w:r>
          </w:p>
        </w:tc>
      </w:tr>
      <w:tr>
        <w:tc>
          <w:tcPr>
            <w:tcW w:type="dxa" w:w="64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05</w:t>
            </w:r>
          </w:p>
        </w:tc>
        <w:tc>
          <w:tcPr>
            <w:tcW w:type="dxa" w:w="208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Финансовая модель</w:t>
            </w:r>
          </w:p>
        </w:tc>
        <w:tc>
          <w:tcPr>
            <w:tcW w:type="dxa" w:w="655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источники, резервы, обеспечение, waterfall, stress testing, покрытие убытков</w:t>
            </w:r>
          </w:p>
        </w:tc>
      </w:tr>
      <w:tr>
        <w:tc>
          <w:tcPr>
            <w:tcW w:type="dxa" w:w="64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06</w:t>
            </w:r>
          </w:p>
        </w:tc>
        <w:tc>
          <w:tcPr>
            <w:tcW w:type="dxa" w:w="208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Методика эффекта</w:t>
            </w:r>
          </w:p>
        </w:tc>
        <w:tc>
          <w:tcPr>
            <w:tcW w:type="dxa" w:w="655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baseline, additionality, двойной счёт, верификатор, раскрытие результатов</w:t>
            </w:r>
          </w:p>
        </w:tc>
      </w:tr>
      <w:tr>
        <w:tc>
          <w:tcPr>
            <w:tcW w:type="dxa" w:w="64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07</w:t>
            </w:r>
          </w:p>
        </w:tc>
        <w:tc>
          <w:tcPr>
            <w:tcW w:type="dxa" w:w="2088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Управление риском</w:t>
            </w:r>
          </w:p>
        </w:tc>
        <w:tc>
          <w:tcPr>
            <w:tcW w:type="dxa" w:w="6552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risk appetite, владельцы рисков, recovery/resolution, киберучения</w:t>
            </w:r>
          </w:p>
        </w:tc>
      </w:tr>
      <w:tr>
        <w:tc>
          <w:tcPr>
            <w:tcW w:type="dxa" w:w="64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08</w:t>
            </w:r>
          </w:p>
        </w:tc>
        <w:tc>
          <w:tcPr>
            <w:tcW w:type="dxa" w:w="2088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Независимая оценка</w:t>
            </w:r>
          </w:p>
        </w:tc>
        <w:tc>
          <w:tcPr>
            <w:tcW w:type="dxa" w:w="6552"/>
            <w:shd w:fill="F3F7FA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tcBorders>
              <w:top w:val="single" w:sz="2" w:color="D8E2EA"/>
              <w:left w:val="single" w:sz="2" w:color="D8E2EA"/>
              <w:bottom w:val="single" w:sz="2" w:color="D8E2EA"/>
              <w:right w:val="single" w:sz="2" w:color="D8E2EA"/>
            </w:tcBorders>
          </w:tcPr>
          <w:p>
            <w:pPr>
              <w:spacing w:after="0" w:line="252" w:lineRule="auto"/>
            </w:pPr>
            <w:r>
              <w:rPr>
                <w:color w:val="172033"/>
                <w:sz w:val="16"/>
              </w:rPr>
              <w:t>юридическая, техническая, финансовая, этическая и общественная экспертиза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nil"/>
              <w:left w:val="single" w:sz="20" w:color="6DCBF4"/>
              <w:bottom w:val="nil"/>
              <w:right w:val="nil"/>
            </w:tcBorders>
          </w:tcPr>
          <w:p>
            <w:pPr>
              <w:pStyle w:val="Callout"/>
            </w:pPr>
            <w:r>
              <w:t>Итоговая формула</w:t>
            </w:r>
          </w:p>
          <w:p>
            <w:pPr>
              <w:spacing w:after="0"/>
            </w:pPr>
            <w:r>
              <w:t>Смысл → право → данные → деньги → действие → доказанный результат → корректировка. Финансовая система считается новой не потому, что использует новую технологию, а потому, что делает эту цепочку прозрачной, проверяемой и служащей человеку.</w:t>
            </w:r>
          </w:p>
        </w:tc>
      </w:tr>
    </w:tbl>
    <w:p>
      <w:pPr>
        <w:pStyle w:val="Source"/>
      </w:pPr>
      <w:r>
        <w:t>Концепция: Соколов Сергей Леонидович • ЭКВИЛИБРИУМ • редакция 1.0 • 2026</w:t>
      </w:r>
    </w:p>
    <w:p>
      <w:r>
        <w:br w:type="page"/>
      </w:r>
    </w:p>
    <w:p>
      <w:pPr>
        <w:pStyle w:val="Eyebrow"/>
        <w:keepNext/>
        <w:keepLines/>
        <w:widowControl/>
      </w:pPr>
      <w:r>
        <w:t>19  /  ИСТОЧНИКИ</w:t>
      </w:r>
    </w:p>
    <w:p>
      <w:pPr>
        <w:pStyle w:val="Heading1"/>
        <w:pBdr>
          <w:bottom w:val="single" w:sz="14" w:space="1" w:color="6DCBF4"/>
        </w:pBdr>
      </w:pPr>
      <w:r>
        <w:t>Нормативная и аналитическая опора</w:t>
      </w:r>
    </w:p>
    <w:p>
      <w:pPr>
        <w:pStyle w:val="Source"/>
        <w:spacing w:after="100"/>
      </w:pPr>
      <w:r>
        <w:rPr>
          <w:b/>
          <w:color w:val="172033"/>
        </w:rPr>
        <w:t>[1] BIS, Annual Economic Report 2026, Chapter III: “Anchoring trust in money: innovation beyond stablecoins”.</w:t>
        <w:br/>
      </w:r>
      <w:r>
        <w:rPr>
          <w:color w:val="2E74B5"/>
          <w:u w:val="single"/>
        </w:rPr>
        <w:t>https://www.bis.org/publ/arpdf/ar2026e3.htm</w:t>
      </w:r>
    </w:p>
    <w:p>
      <w:pPr>
        <w:pStyle w:val="Source"/>
        <w:spacing w:after="100"/>
      </w:pPr>
      <w:r>
        <w:rPr>
          <w:b/>
          <w:color w:val="172033"/>
        </w:rPr>
        <w:t>[2] Financial Stability Board, G20 Roadmap for Cross-border Payments: Consolidated Progress Report for 2025.</w:t>
        <w:br/>
      </w:r>
      <w:r>
        <w:rPr>
          <w:color w:val="2E74B5"/>
          <w:u w:val="single"/>
        </w:rPr>
        <w:t>https://www.fsb.org/2025/10/g20-roadmap-for-cross-border-payments-consolidated-progress-report-for-2025/</w:t>
      </w:r>
    </w:p>
    <w:p>
      <w:pPr>
        <w:pStyle w:val="Source"/>
        <w:spacing w:after="100"/>
      </w:pPr>
      <w:r>
        <w:rPr>
          <w:b/>
          <w:color w:val="172033"/>
        </w:rPr>
        <w:t>[3] BIS Innovation Hub, Project Agorá: a shared programmable platform for wholesale cross-border payments, 27 May 2026.</w:t>
        <w:br/>
      </w:r>
      <w:r>
        <w:rPr>
          <w:color w:val="2E74B5"/>
          <w:u w:val="single"/>
        </w:rPr>
        <w:t>https://www.bis.org/publ/othp110.htm</w:t>
      </w:r>
    </w:p>
    <w:p>
      <w:pPr>
        <w:pStyle w:val="Source"/>
        <w:spacing w:after="100"/>
      </w:pPr>
      <w:r>
        <w:rPr>
          <w:b/>
          <w:color w:val="172033"/>
        </w:rPr>
        <w:t>[4] World Bank, Global Findex Database 2025.</w:t>
        <w:br/>
      </w:r>
      <w:r>
        <w:rPr>
          <w:color w:val="2E74B5"/>
          <w:u w:val="single"/>
        </w:rPr>
        <w:t>https://www.worldbank.org/en/publication/globalfindex</w:t>
      </w:r>
    </w:p>
    <w:p>
      <w:pPr>
        <w:pStyle w:val="Source"/>
        <w:spacing w:after="100"/>
      </w:pPr>
      <w:r>
        <w:rPr>
          <w:b/>
          <w:color w:val="172033"/>
        </w:rPr>
        <w:t>[5] ISO 20022, official standard overview and repository.</w:t>
        <w:br/>
      </w:r>
      <w:r>
        <w:rPr>
          <w:color w:val="2E74B5"/>
          <w:u w:val="single"/>
        </w:rPr>
        <w:t>https://www.iso20022.org/iso-20022</w:t>
      </w:r>
    </w:p>
    <w:p>
      <w:pPr>
        <w:pStyle w:val="Source"/>
        <w:spacing w:after="100"/>
      </w:pPr>
      <w:r>
        <w:rPr>
          <w:b/>
          <w:color w:val="172033"/>
        </w:rPr>
        <w:t>[6] FATF, The FATF Recommendations, last updated June 2026.</w:t>
        <w:br/>
      </w:r>
      <w:r>
        <w:rPr>
          <w:color w:val="2E74B5"/>
          <w:u w:val="single"/>
        </w:rPr>
        <w:t>https://www.fatf-gafi.org/en/publications/Fatfrecommendations/Fatf-recommendations.html</w:t>
      </w:r>
    </w:p>
    <w:p>
      <w:pPr>
        <w:pStyle w:val="Source"/>
        <w:spacing w:after="100"/>
      </w:pPr>
      <w:r>
        <w:rPr>
          <w:b/>
          <w:color w:val="172033"/>
        </w:rPr>
        <w:t>[7] CPMI–IOSCO, Principles for Financial Market Infrastructures (PFMI).</w:t>
        <w:br/>
      </w:r>
      <w:r>
        <w:rPr>
          <w:color w:val="2E74B5"/>
          <w:u w:val="single"/>
        </w:rPr>
        <w:t>https://www.bis.org/cpmi/info_pfmi.htm</w:t>
      </w:r>
    </w:p>
    <w:p>
      <w:pPr>
        <w:pStyle w:val="Source"/>
        <w:spacing w:after="100"/>
      </w:pPr>
      <w:r>
        <w:rPr>
          <w:b/>
          <w:color w:val="172033"/>
        </w:rPr>
        <w:t>[8] World Bank, Remittance Prices Worldwide, global average 6.36% (highlight, 2025).</w:t>
        <w:br/>
      </w:r>
      <w:r>
        <w:rPr>
          <w:color w:val="2E74B5"/>
          <w:u w:val="single"/>
        </w:rPr>
        <w:t>https://remittanceprices.worldbank.org/</w:t>
      </w:r>
    </w:p>
    <w:p>
      <w:pPr>
        <w:pStyle w:val="Source"/>
        <w:spacing w:after="100"/>
      </w:pPr>
      <w:r>
        <w:rPr>
          <w:b/>
          <w:color w:val="172033"/>
        </w:rPr>
        <w:t>[9] IMF, “What is the SDR?”.</w:t>
        <w:br/>
      </w:r>
      <w:r>
        <w:rPr>
          <w:color w:val="2E74B5"/>
          <w:u w:val="single"/>
        </w:rPr>
        <w:t>https://www.imf.org/en/about/factsheets/sheets/2023/special-drawing-rights-sdr</w:t>
      </w:r>
    </w:p>
    <w:p>
      <w:pPr>
        <w:pStyle w:val="Source"/>
        <w:spacing w:after="100"/>
      </w:pPr>
      <w:r>
        <w:rPr>
          <w:b/>
          <w:color w:val="172033"/>
        </w:rPr>
        <w:t>[10] IMF, Central Bank Digital Currency Virtual Handbook.</w:t>
        <w:br/>
      </w:r>
      <w:r>
        <w:rPr>
          <w:color w:val="2E74B5"/>
          <w:u w:val="single"/>
        </w:rPr>
        <w:t>https://www.imf.org/en/topics/digital-payments-and-finance/central-bank-digital-currency/virtual-handbook</w:t>
      </w:r>
    </w:p>
    <w:p>
      <w:pPr>
        <w:pStyle w:val="Source"/>
        <w:spacing w:after="100"/>
      </w:pPr>
      <w:r>
        <w:rPr>
          <w:b/>
          <w:color w:val="172033"/>
        </w:rPr>
        <w:t>[11] United Nations, SDG 10.c: remittance costs below 3% and no corridor above 5% by 2030.</w:t>
        <w:br/>
      </w:r>
      <w:r>
        <w:rPr>
          <w:color w:val="2E74B5"/>
          <w:u w:val="single"/>
        </w:rPr>
        <w:t>https://sdgs.un.org/goals/goal10</w:t>
      </w:r>
    </w:p>
    <w:p>
      <w:pPr>
        <w:pStyle w:val="Source"/>
        <w:spacing w:after="100"/>
      </w:pPr>
      <w:r>
        <w:rPr>
          <w:b/>
          <w:color w:val="172033"/>
        </w:rPr>
        <w:t>[12] BIS CPMI, “Tokenisation in the context of money and other assets”, 2024.</w:t>
        <w:br/>
      </w:r>
      <w:r>
        <w:rPr>
          <w:color w:val="2E74B5"/>
          <w:u w:val="single"/>
        </w:rPr>
        <w:t>https://www.bis.org/cpmi/publ/d225.pdf</w:t>
      </w:r>
    </w:p>
    <w:p>
      <w:pPr>
        <w:pStyle w:val="Source"/>
      </w:pPr>
      <w:r>
        <w:t>Дата обращения: 29 августа 2026 года. Использованы официальные первичные источники. Проектные элементы ЭКВИЛИБРИУМ, Счётной книги, MURDE, ECO‑PPA, 260 и 741 являются авторской концепцией и не приписываются указанным организациям.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605" w:footer="64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E6878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jc w:val="left"/>
      <w:pBdr>
        <w:bottom w:val="single" w:sz="10" w:space="1" w:color="6DCBF4"/>
      </w:pBdr>
    </w:pPr>
    <w:r>
      <w:t>ЭКВИЛИБРИУМ  /  НОВАЯ МИРОВАЯ ФИНАНСОВАЯ СИСТЕМА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320" w:lineRule="auto"/>
      <w:jc w:val="both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8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736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Calibri" w:hAnsi="Calibri"/>
      <w:b w:val="0"/>
      <w:i/>
      <w:iCs/>
      <w:color w:val="5E687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spacing w:after="120" w:line="276" w:lineRule="auto"/>
      <w:jc w:val="left"/>
    </w:pPr>
    <w:rPr>
      <w:rFonts w:ascii="Calibri" w:hAnsi="Calibri"/>
      <w:b/>
      <w:color w:val="2E74B5"/>
      <w:sz w:val="18"/>
    </w:rPr>
  </w:style>
  <w:style w:type="paragraph" w:customStyle="1" w:styleId="Lead">
    <w:name w:val="Lead"/>
    <w:pPr>
      <w:spacing w:after="120" w:line="276" w:lineRule="auto"/>
      <w:jc w:val="left"/>
    </w:pPr>
    <w:rPr>
      <w:rFonts w:ascii="Calibri" w:hAnsi="Calibri"/>
      <w:b w:val="0"/>
      <w:color w:val="172033"/>
      <w:sz w:val="26"/>
    </w:rPr>
  </w:style>
  <w:style w:type="paragraph" w:customStyle="1" w:styleId="Callout">
    <w:name w:val="Callout"/>
    <w:pPr>
      <w:spacing w:after="120" w:line="276" w:lineRule="auto"/>
      <w:jc w:val="left"/>
    </w:pPr>
    <w:rPr>
      <w:rFonts w:ascii="Calibri" w:hAnsi="Calibri"/>
      <w:b/>
      <w:color w:val="17365D"/>
      <w:sz w:val="22"/>
    </w:rPr>
  </w:style>
  <w:style w:type="paragraph" w:customStyle="1" w:styleId="Small">
    <w:name w:val="Small"/>
    <w:pPr>
      <w:spacing w:after="120" w:line="276" w:lineRule="auto"/>
      <w:jc w:val="left"/>
    </w:pPr>
    <w:rPr>
      <w:rFonts w:ascii="Calibri" w:hAnsi="Calibri"/>
      <w:b w:val="0"/>
      <w:color w:val="5E6878"/>
      <w:sz w:val="17"/>
    </w:rPr>
  </w:style>
  <w:style w:type="paragraph" w:customStyle="1" w:styleId="Source">
    <w:name w:val="Source"/>
    <w:pPr>
      <w:spacing w:after="120" w:line="276" w:lineRule="auto"/>
      <w:jc w:val="left"/>
    </w:pPr>
    <w:rPr>
      <w:rFonts w:ascii="Calibri" w:hAnsi="Calibri"/>
      <w:b w:val="0"/>
      <w:color w:val="5E6878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Новая Мировая Финансовая Система</dc:title>
  <dc:subject>Человекоцентричная архитектура доверия, расчётов и развития</dc:subject>
  <dc:creator>Соколов Сергей Леонидович</dc:creator>
  <cp:keywords>ЭКВИЛИБРИУМ, Счётная книга, финансовая система, ECO-PPA, MURDE, 741</cp:keywords>
  <dc:description>Стратегическая концепция. Редакция 1.0,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