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8.png" ContentType="image/png"/>
  <Override PartName="/word/media/rId40.png" ContentType="image/png"/>
  <Override PartName="/word/media/rId7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eader"/>
    <w:bookmarkEnd w:id="9"/>
    <w:bookmarkStart w:id="112" w:name="content"/>
    <w:bookmarkStart w:id="111" w:name="X5477c4405446fca85ee8833876c9ef5cbf93e3a"/>
    <w:p>
      <w:pPr>
        <w:pStyle w:val="Heading1"/>
      </w:pPr>
      <w:r>
        <w:t xml:space="preserve">НМА: мировой опыт оценки и учёта — международные стандарты, корпоративная практика и выводы для России</w:t>
      </w:r>
    </w:p>
    <w:bookmarkStart w:id="20" w:name="исполнительное-резюме"/>
    <w:p>
      <w:pPr>
        <w:pStyle w:val="Heading2"/>
      </w:pPr>
      <w:r>
        <w:t xml:space="preserve">Исполнительное резюме</w:t>
      </w:r>
    </w:p>
    <w:p>
      <w:pPr>
        <w:pStyle w:val="FirstParagraph"/>
      </w:pPr>
      <w:r>
        <w:rPr>
          <w:b/>
          <w:bCs/>
        </w:rPr>
        <w:t xml:space="preserve">Целевая аудитория отчёта:</w:t>
      </w:r>
      <w:r>
        <w:t xml:space="preserve"> </w:t>
      </w:r>
      <w:r>
        <w:t xml:space="preserve">государственные органы Российской Федерации, органы управления государственным имуществом, крупные государственные корпорации и компании с государственным участием, институты развития, отраслевые регуляторы, финансовые директора, службы стратегии, оценки, внутреннего контроля и управления интеллектуальной собственностью.</w:t>
      </w:r>
    </w:p>
    <w:p>
      <w:pPr>
        <w:pStyle w:val="BodyText"/>
      </w:pPr>
      <w:r>
        <w:rPr>
          <w:b/>
          <w:bCs/>
        </w:rPr>
        <w:t xml:space="preserve">Главный вывод исследования:</w:t>
      </w:r>
      <w:r>
        <w:t xml:space="preserve"> </w:t>
      </w:r>
      <w:r>
        <w:t xml:space="preserve">в мировой экономике сформировался разрыв между</w:t>
      </w:r>
      <w:r>
        <w:t xml:space="preserve"> </w:t>
      </w:r>
      <w:r>
        <w:rPr>
          <w:b/>
          <w:bCs/>
        </w:rPr>
        <w:t xml:space="preserve">экономической значимостью нематериального капитала</w:t>
      </w:r>
      <w:r>
        <w:t xml:space="preserve"> </w:t>
      </w:r>
      <w:r>
        <w:t xml:space="preserve">и его</w:t>
      </w:r>
      <w:r>
        <w:t xml:space="preserve"> </w:t>
      </w:r>
      <w:r>
        <w:rPr>
          <w:b/>
          <w:bCs/>
        </w:rPr>
        <w:t xml:space="preserve">видимостью в бухгалтерском балансе</w:t>
      </w:r>
      <w:r>
        <w:t xml:space="preserve">. НМА в строгом бухгалтерском смысле — лишь часть более широкого нематериального капитала: значительные инвестиции в организационный капитал, данные, бренды, человеческий капитал, дизайн, бизнес-процессы и часть цифровых ресурсов не признаются активами по действующим правилам. Именно этот разрыв стал одной из причин, по которым IASB с 2024 года ведёт комплексный пересмотр IAS 38; в июле 2026 года Совет продолжал обсуждать, в частности, определение НМА, SaaS, программное обеспечение и новые типы нематериальных ресурсов, пока без принятия окончательных решений.</w:t>
      </w:r>
      <w:r>
        <w:t xml:space="preserve"> </w:t>
      </w:r>
      <w:hyperlink r:id="rId10">
        <w:r>
          <w:rPr>
            <w:rStyle w:val="Hyperlink"/>
          </w:rPr>
          <w:t xml:space="preserve">[1]</w:t>
        </w:r>
      </w:hyperlink>
    </w:p>
    <w:p>
      <w:pPr>
        <w:pStyle w:val="BodyText"/>
      </w:pPr>
      <w:r>
        <w:t xml:space="preserve">Масштаб проблемы уже макроэкономический. По оценке WIPO и London Business School, в выборке из 29 экономик, представляющих около 57% мирового ВВП, инвестиции в нематериальные активы в 2025 году превысили</w:t>
      </w:r>
      <w:r>
        <w:t xml:space="preserve"> </w:t>
      </w:r>
      <w:r>
        <w:rPr>
          <w:b/>
          <w:bCs/>
        </w:rPr>
        <w:t xml:space="preserve">$10 трлн</w:t>
      </w:r>
      <w:r>
        <w:t xml:space="preserve">. В реальном выражении за 2008–2025 годы они росли в среднем примерно на</w:t>
      </w:r>
      <w:r>
        <w:t xml:space="preserve"> </w:t>
      </w:r>
      <w:r>
        <w:rPr>
          <w:b/>
          <w:bCs/>
        </w:rPr>
        <w:t xml:space="preserve">3,5% ежегодно</w:t>
      </w:r>
      <w:r>
        <w:t xml:space="preserve">, то есть примерно в 3,6 раза быстрее материальных инвестиций; совокупная интенсивность нематериальных инвестиций достигла</w:t>
      </w:r>
      <w:r>
        <w:t xml:space="preserve"> </w:t>
      </w:r>
      <w:r>
        <w:rPr>
          <w:b/>
          <w:bCs/>
        </w:rPr>
        <w:t xml:space="preserve">12,8% ВВП</w:t>
      </w:r>
      <w:r>
        <w:t xml:space="preserve"> </w:t>
      </w:r>
      <w:r>
        <w:t xml:space="preserve">против</w:t>
      </w:r>
      <w:r>
        <w:t xml:space="preserve"> </w:t>
      </w:r>
      <w:r>
        <w:rPr>
          <w:b/>
          <w:bCs/>
        </w:rPr>
        <w:t xml:space="preserve">11,8% ВВП</w:t>
      </w:r>
      <w:r>
        <w:t xml:space="preserve"> </w:t>
      </w:r>
      <w:r>
        <w:t xml:space="preserve">у материальных.</w:t>
      </w:r>
      <w:r>
        <w:t xml:space="preserve"> </w:t>
      </w:r>
      <w:hyperlink r:id="rId11">
        <w:r>
          <w:rPr>
            <w:rStyle w:val="Hyperlink"/>
          </w:rPr>
          <w:t xml:space="preserve">[2]</w:t>
        </w:r>
      </w:hyperlink>
    </w:p>
    <w:p>
      <w:pPr>
        <w:pStyle w:val="BodyText"/>
      </w:pPr>
      <w:r>
        <w:t xml:space="preserve">При этом бухгалтерский баланс отражает далеко не весь этот капитал. Международная статистическая традиция, восходящая к работам Corrado—Hulten—Sichel, включает в нематериальные инвестиции не только НИОКР и программное обеспечение, но также организационный капитал, дизайн, маркетинговые активы и ряд иных компетенций. Именно этот расширенный подход используется современной базой Global INTAN-Invest WIPO.</w:t>
      </w:r>
      <w:r>
        <w:t xml:space="preserve"> </w:t>
      </w:r>
      <w:hyperlink r:id="rId12">
        <w:r>
          <w:rPr>
            <w:rStyle w:val="Hyperlink"/>
          </w:rPr>
          <w:t xml:space="preserve">[3]</w:t>
        </w:r>
      </w:hyperlink>
    </w:p>
    <w:p>
      <w:pPr>
        <w:pStyle w:val="BodyText"/>
      </w:pPr>
      <w:r>
        <w:rPr>
          <w:b/>
          <w:bCs/>
        </w:rPr>
        <w:t xml:space="preserve">IFRS/IAS 38</w:t>
      </w:r>
      <w:r>
        <w:t xml:space="preserve"> </w:t>
      </w:r>
      <w:r>
        <w:t xml:space="preserve">строит признание на идентифицируемости и контроле: НМА — идентифицируемый немонетарный актив без физической формы; он должен быть отделимым либо возникать из договорных или иных юридических прав. В числе типичных объектов IASB называет ПО, лицензии, товарные знаки, патенты, фильмы и авторские права. Собственные бренды, издательские наименования, клиентские списки и аналогичные самостоятельно созданные объекты IAS 38 прямо запрещает капитализировать.</w:t>
      </w:r>
      <w:r>
        <w:t xml:space="preserve"> </w:t>
      </w:r>
      <w:hyperlink r:id="rId10">
        <w:r>
          <w:rPr>
            <w:rStyle w:val="Hyperlink"/>
          </w:rPr>
          <w:t xml:space="preserve">[4]</w:t>
        </w:r>
      </w:hyperlink>
    </w:p>
    <w:p>
      <w:pPr>
        <w:pStyle w:val="BodyText"/>
      </w:pPr>
      <w:r>
        <w:rPr>
          <w:b/>
          <w:bCs/>
        </w:rPr>
        <w:t xml:space="preserve">US GAAP</w:t>
      </w:r>
      <w:r>
        <w:t xml:space="preserve"> </w:t>
      </w:r>
      <w:r>
        <w:t xml:space="preserve">ещё консервативнее по отношению к большинству собственной R&amp;D: Topic 730 требует, как правило, списывать затраты на исследования и разработки в расходы по мере возникновения; существуют специальные модели для программного обеспечения. Приобретённые в бизнес-комбинациях идентифицируемые НМА, напротив, признаются отдельно от goodwill по acquisition-date fair value. В сентябре 2025 года FASB выпустил ASU 2025-06 по internal-use software, а вопросы внутренне создаваемых НМА продолжают находиться в поле работы FASB.</w:t>
      </w:r>
      <w:r>
        <w:t xml:space="preserve"> </w:t>
      </w:r>
      <w:hyperlink r:id="rId13">
        <w:r>
          <w:rPr>
            <w:rStyle w:val="Hyperlink"/>
          </w:rPr>
          <w:t xml:space="preserve">[5]</w:t>
        </w:r>
      </w:hyperlink>
    </w:p>
    <w:p>
      <w:pPr>
        <w:pStyle w:val="BodyText"/>
      </w:pPr>
      <w:r>
        <w:rPr>
          <w:b/>
          <w:bCs/>
        </w:rPr>
        <w:t xml:space="preserve">ЕС</w:t>
      </w:r>
      <w:r>
        <w:t xml:space="preserve"> </w:t>
      </w:r>
      <w:r>
        <w:t xml:space="preserve">для консолидированной отчётности компаний, чьи ценные бумаги обращаются на регулируемых рынках, использует одобренные ЕС IFRS; обязательный режим действует для соответствующей консолидированной отчётности с 2005 года. Наряду с этим Accounting Directive регулирует национальные режимы: например, допускает капитализацию development costs в случаях, предусмотренных национальным правом, и предусматривает амортизационные решения для goodwill и development costs.</w:t>
      </w:r>
      <w:r>
        <w:t xml:space="preserve"> </w:t>
      </w:r>
      <w:hyperlink r:id="rId14">
        <w:r>
          <w:rPr>
            <w:rStyle w:val="Hyperlink"/>
          </w:rPr>
          <w:t xml:space="preserve">[6]</w:t>
        </w:r>
      </w:hyperlink>
    </w:p>
    <w:p>
      <w:pPr>
        <w:pStyle w:val="BodyText"/>
      </w:pPr>
      <w:r>
        <w:rPr>
          <w:b/>
          <w:bCs/>
        </w:rPr>
        <w:t xml:space="preserve">Китай</w:t>
      </w:r>
      <w:r>
        <w:t xml:space="preserve"> </w:t>
      </w:r>
      <w:r>
        <w:t xml:space="preserve">представляет особенно интересный для России пример, поскольку дополняет классическое регулирование НМА специальным режимом</w:t>
      </w:r>
      <w:r>
        <w:t xml:space="preserve"> </w:t>
      </w:r>
      <w:r>
        <w:rPr>
          <w:b/>
          <w:bCs/>
        </w:rPr>
        <w:t xml:space="preserve">data resources</w:t>
      </w:r>
      <w:r>
        <w:t xml:space="preserve">. CAS 6 разделяет исследования и разработки: исследовательская стадия относится на расходы, а затраты development stage могут признаваться активом при выполнении установленных условий. С 1 января 2024 года действуют временные правила бухгалтерского отражения корпоративных ресурсов данных, включая раскрытие ресурсов, которые не удовлетворили критериям признания активом. Параллельно Минфин КНР развивает стандартизированную инфраструктуру оценки data assets — библиотеки стандартов, правил, показателей, моделей и кейсов.</w:t>
      </w:r>
      <w:r>
        <w:t xml:space="preserve"> </w:t>
      </w:r>
      <w:hyperlink r:id="rId15">
        <w:r>
          <w:rPr>
            <w:rStyle w:val="Hyperlink"/>
          </w:rPr>
          <w:t xml:space="preserve">[7]</w:t>
        </w:r>
      </w:hyperlink>
    </w:p>
    <w:p>
      <w:pPr>
        <w:pStyle w:val="BodyText"/>
      </w:pPr>
      <w:r>
        <w:rPr>
          <w:b/>
          <w:bCs/>
        </w:rPr>
        <w:t xml:space="preserve">Для M&amp;A значение НМА особенно велико.</w:t>
      </w:r>
      <w:r>
        <w:t xml:space="preserve"> </w:t>
      </w:r>
      <w:r>
        <w:t xml:space="preserve">Покупатель признаёт те активы, которые у продавца могли вообще отсутствовать на балансе. В приобретении Activision Blizzard Microsoft окончательная purchase price составила $75,408 млрд: $21,969 млрд были отнесены на идентифицируемые НМА и $51,001 млрд — на goodwill. Из НМА $11,619 млрд пришлось на marketing-related assets, $9,689 млрд — technology-based и $0,661 млрд — customer-related.</w:t>
      </w:r>
      <w:r>
        <w:t xml:space="preserve"> </w:t>
      </w:r>
      <w:hyperlink r:id="rId16">
        <w:r>
          <w:rPr>
            <w:rStyle w:val="Hyperlink"/>
          </w:rPr>
          <w:t xml:space="preserve">[8]</w:t>
        </w:r>
      </w:hyperlink>
    </w:p>
    <w:p>
      <w:pPr>
        <w:pStyle w:val="BodyText"/>
      </w:pPr>
      <w:r>
        <w:t xml:space="preserve">Это означает, что две экономически сходные компании — одна выросшая органически, другая собранная посредством приобретений — могут демонстрировать существенно разные бухгалтерские величины НМА. Эта асимметрия уже находится в центре обсуждения IASB: Совет прямо рассматривает вопрос сопоставимости internally generated и acquired intangible assets.</w:t>
      </w:r>
      <w:r>
        <w:t xml:space="preserve"> </w:t>
      </w:r>
      <w:hyperlink r:id="rId17">
        <w:r>
          <w:rPr>
            <w:rStyle w:val="Hyperlink"/>
          </w:rPr>
          <w:t xml:space="preserve">[9]</w:t>
        </w:r>
      </w:hyperlink>
    </w:p>
    <w:p>
      <w:pPr>
        <w:pStyle w:val="BodyText"/>
      </w:pPr>
      <w:r>
        <w:rPr>
          <w:b/>
          <w:bCs/>
        </w:rPr>
        <w:t xml:space="preserve">Оценка НМА</w:t>
      </w:r>
      <w:r>
        <w:t xml:space="preserve"> </w:t>
      </w:r>
      <w:r>
        <w:t xml:space="preserve">в международной практике основана на трёх семействах подходов: рыночном, доходном и затратном. IFRS 13 прямо рассматривает market, income и cost approaches как широко применяемые valuation techniques; IVS обеспечивает международную профессиональную инфраструктуру оценки. Для брендов обычно применяется relief-from-royalty, для клиентских отношений и ключевых технологий — MPEEM, для договоров и non-compete — with-and-without, для лицензий иногда greenfield; для воспроизводимых программных систем и баз данных применим replacement-cost approach.</w:t>
      </w:r>
      <w:r>
        <w:t xml:space="preserve"> </w:t>
      </w:r>
      <w:hyperlink r:id="rId18">
        <w:r>
          <w:rPr>
            <w:rStyle w:val="Hyperlink"/>
          </w:rPr>
          <w:t xml:space="preserve">[10]</w:t>
        </w:r>
      </w:hyperlink>
    </w:p>
    <w:p>
      <w:pPr>
        <w:pStyle w:val="BodyText"/>
      </w:pPr>
      <w:r>
        <w:t xml:space="preserve">Для России ключевой вывод состоит</w:t>
      </w:r>
      <w:r>
        <w:t xml:space="preserve"> </w:t>
      </w:r>
      <w:r>
        <w:rPr>
          <w:b/>
          <w:bCs/>
        </w:rPr>
        <w:t xml:space="preserve">не в том, чтобы механически капитализировать все нематериальные расходы</w:t>
      </w:r>
      <w:r>
        <w:t xml:space="preserve">, а в создании двухконтурной системы:</w:t>
      </w:r>
    </w:p>
    <w:p>
      <w:pPr>
        <w:pStyle w:val="BlockText"/>
      </w:pPr>
      <w:r>
        <w:rPr>
          <w:b/>
          <w:bCs/>
        </w:rPr>
        <w:t xml:space="preserve">Контур А — регулируемый бухгалтерский баланс:</w:t>
      </w:r>
      <w:r>
        <w:t xml:space="preserve"> </w:t>
      </w:r>
      <w:r>
        <w:t xml:space="preserve">ФСБУ 14/2022, налоговый учёт, аудит, оценка, impairment, юридически доказуемые права.</w:t>
      </w:r>
      <w:r>
        <w:br/>
      </w:r>
      <w:r>
        <w:rPr>
          <w:b/>
          <w:bCs/>
        </w:rPr>
        <w:t xml:space="preserve">Контур Б — управленческий реестр нематериального капитала:</w:t>
      </w:r>
      <w:r>
        <w:t xml:space="preserve"> </w:t>
      </w:r>
      <w:r>
        <w:t xml:space="preserve">НИОКР, патенты, технологии, ПО, данные, модели ИИ, ноу-хау, организационный капитал, компетенции, клиентские/партнёрские сети, лицензии, цифровые двойники и иные ресурсы — в том числе те, которые не могут быть признаны бухгалтерскими НМА.</w:t>
      </w:r>
    </w:p>
    <w:p>
      <w:pPr>
        <w:pStyle w:val="FirstParagraph"/>
      </w:pPr>
      <w:r>
        <w:t xml:space="preserve">Такая архитектура сохраняет надёжность финансовой отчётности, но устраняет стратегическую «невидимость» ресурсов. В России базовая нормативная платформа уже существует: ФСБУ 14/2022 обязателен начиная с отчётности за 2024 год, а ФСО XI регулирует оценку интеллектуальной собственности и НМА. Поэтому задача 2026–2030 годов — прежде всего</w:t>
      </w:r>
      <w:r>
        <w:t xml:space="preserve"> </w:t>
      </w:r>
      <w:r>
        <w:rPr>
          <w:b/>
          <w:bCs/>
        </w:rPr>
        <w:t xml:space="preserve">интеграция бухгалтерского, оценочного, правового, технологического и управленческого контуров</w:t>
      </w:r>
      <w:r>
        <w:t xml:space="preserve">, а не создание ещё одного изолированного стандарта.</w:t>
      </w:r>
      <w:r>
        <w:t xml:space="preserve"> </w:t>
      </w:r>
      <w:hyperlink r:id="rId19">
        <w:r>
          <w:rPr>
            <w:rStyle w:val="Hyperlink"/>
          </w:rPr>
          <w:t xml:space="preserve">[11]</w:t>
        </w:r>
      </w:hyperlink>
    </w:p>
    <w:bookmarkEnd w:id="20"/>
    <w:bookmarkStart w:id="22" w:name="Xec00527be8f13ad1f66ab1f8181c0f537cbbe4a"/>
    <w:p>
      <w:pPr>
        <w:pStyle w:val="Heading2"/>
      </w:pPr>
      <w:r>
        <w:t xml:space="preserve">Экономическая природа НМА и система классификации</w:t>
      </w:r>
    </w:p>
    <w:p>
      <w:pPr>
        <w:pStyle w:val="FirstParagraph"/>
      </w:pPr>
      <w:r>
        <w:t xml:space="preserve">Термины</w:t>
      </w:r>
      <w:r>
        <w:t xml:space="preserve"> </w:t>
      </w:r>
      <w:r>
        <w:rPr>
          <w:b/>
          <w:bCs/>
        </w:rPr>
        <w:t xml:space="preserve">«нематериальный актив»</w:t>
      </w:r>
      <w:r>
        <w:t xml:space="preserve">,</w:t>
      </w:r>
      <w:r>
        <w:t xml:space="preserve"> </w:t>
      </w:r>
      <w:r>
        <w:rPr>
          <w:b/>
          <w:bCs/>
        </w:rPr>
        <w:t xml:space="preserve">«интеллектуальная собственность»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«нематериальный капитал»</w:t>
      </w:r>
      <w:r>
        <w:t xml:space="preserve"> </w:t>
      </w:r>
      <w:r>
        <w:t xml:space="preserve">не являются синонимами.</w:t>
      </w:r>
    </w:p>
    <w:p>
      <w:pPr>
        <w:pStyle w:val="BodyText"/>
      </w:pPr>
      <w:r>
        <w:t xml:space="preserve">По IAS 38 НМА — это</w:t>
      </w:r>
      <w:r>
        <w:t xml:space="preserve"> </w:t>
      </w:r>
      <w:r>
        <w:rPr>
          <w:b/>
          <w:bCs/>
        </w:rPr>
        <w:t xml:space="preserve">идентифицируемый немонетарный актив без физической субстанции</w:t>
      </w:r>
      <w:r>
        <w:t xml:space="preserve">. Идентифицируемость существует, если актив отделим — то есть потенциально продаваем, передаваем или лицензируем — либо возникает из договорных или иных юридических прав.</w:t>
      </w:r>
      <w:r>
        <w:t xml:space="preserve"> </w:t>
      </w:r>
      <w:hyperlink r:id="rId10">
        <w:r>
          <w:rPr>
            <w:rStyle w:val="Hyperlink"/>
          </w:rPr>
          <w:t xml:space="preserve">[12]</w:t>
        </w:r>
      </w:hyperlink>
    </w:p>
    <w:p>
      <w:pPr>
        <w:pStyle w:val="BodyText"/>
      </w:pPr>
      <w:r>
        <w:rPr>
          <w:b/>
          <w:bCs/>
        </w:rPr>
        <w:t xml:space="preserve">Интеллектуальная собственность</w:t>
      </w:r>
      <w:r>
        <w:t xml:space="preserve"> </w:t>
      </w:r>
      <w:r>
        <w:t xml:space="preserve">представляет юридическую категорию прав — патенты, товарные знаки, авторские права, промышленные образцы, коммерческие тайны и другие охраняемые результаты. Не каждый экономически ценный НМА является зарегистрированной IP, а зарегистрированное право само по себе ещё не гарантирует существенной экономической стоимости.</w:t>
      </w:r>
    </w:p>
    <w:p>
      <w:pPr>
        <w:pStyle w:val="BodyText"/>
      </w:pPr>
      <w:r>
        <w:rPr>
          <w:b/>
          <w:bCs/>
        </w:rPr>
        <w:t xml:space="preserve">Нематериальный капитал</w:t>
      </w:r>
      <w:r>
        <w:t xml:space="preserve"> </w:t>
      </w:r>
      <w:r>
        <w:t xml:space="preserve">— более широкая экономическая категория. Современная макроэкономическая традиция Corrado—Hulten—Sichel расширяет инвестиционную концепцию за пределы бухгалтерских НМА, включая знания, организационные компетенции и иные ресурсы, способные создавать будущий выпуск. Этот подход стал основой последующих международных исследований intangible investment.</w:t>
      </w:r>
      <w:r>
        <w:t xml:space="preserve"> </w:t>
      </w:r>
      <w:hyperlink r:id="rId12">
        <w:r>
          <w:rPr>
            <w:rStyle w:val="Hyperlink"/>
          </w:rPr>
          <w:t xml:space="preserve">[3]</w:t>
        </w:r>
      </w:hyperlink>
    </w:p>
    <w:bookmarkStart w:id="21" w:name="X9c4c7e513ace9a256dd4dcfaa60196dd472e730"/>
    <w:p>
      <w:pPr>
        <w:pStyle w:val="Heading3"/>
      </w:pPr>
      <w:r>
        <w:t xml:space="preserve">Рабочая классификация для государственного и корпоративного управления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Класс</w:t>
            </w:r>
          </w:p>
        </w:tc>
        <w:tc>
          <w:tcPr/>
          <w:p>
            <w:pPr>
              <w:pStyle w:val="Compact"/>
            </w:pPr>
            <w:r>
              <w:t xml:space="preserve">Типичные объекты</w:t>
            </w:r>
          </w:p>
        </w:tc>
        <w:tc>
          <w:tcPr/>
          <w:p>
            <w:pPr>
              <w:pStyle w:val="Compact"/>
            </w:pPr>
            <w:r>
              <w:t xml:space="preserve">Бухгалтерская признаваемость</w:t>
            </w:r>
          </w:p>
        </w:tc>
        <w:tc>
          <w:tcPr/>
          <w:p>
            <w:pPr>
              <w:pStyle w:val="Compact"/>
            </w:pPr>
            <w:r>
              <w:t xml:space="preserve">Основной источник стоимости</w:t>
            </w:r>
          </w:p>
        </w:tc>
        <w:tc>
          <w:tcPr/>
          <w:p>
            <w:pPr>
              <w:pStyle w:val="Compact"/>
            </w:pPr>
            <w:r>
              <w:t xml:space="preserve">Ключевой риск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Технологические</w:t>
            </w:r>
          </w:p>
        </w:tc>
        <w:tc>
          <w:tcPr/>
          <w:p>
            <w:pPr>
              <w:pStyle w:val="Compact"/>
            </w:pPr>
            <w:r>
              <w:t xml:space="preserve">патенты, технологии, алгоритмы, ПО, техническая документация</w:t>
            </w:r>
          </w:p>
        </w:tc>
        <w:tc>
          <w:tcPr/>
          <w:p>
            <w:pPr>
              <w:pStyle w:val="Compact"/>
            </w:pPr>
            <w:r>
              <w:t xml:space="preserve">часто возможна при приобретении; собственная разработка зависит от критериев</w:t>
            </w:r>
          </w:p>
        </w:tc>
        <w:tc>
          <w:tcPr/>
          <w:p>
            <w:pPr>
              <w:pStyle w:val="Compact"/>
            </w:pPr>
            <w:r>
              <w:t xml:space="preserve">экономия затрат, лицензирование, дополнительные cash flows</w:t>
            </w:r>
          </w:p>
        </w:tc>
        <w:tc>
          <w:tcPr/>
          <w:p>
            <w:pPr>
              <w:pStyle w:val="Compact"/>
            </w:pPr>
            <w:r>
              <w:t xml:space="preserve">технологическое устаревание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Маркетинговые</w:t>
            </w:r>
          </w:p>
        </w:tc>
        <w:tc>
          <w:tcPr/>
          <w:p>
            <w:pPr>
              <w:pStyle w:val="Compact"/>
            </w:pPr>
            <w:r>
              <w:t xml:space="preserve">товарные знаки, бренды, домены</w:t>
            </w:r>
          </w:p>
        </w:tc>
        <w:tc>
          <w:tcPr/>
          <w:p>
            <w:pPr>
              <w:pStyle w:val="Compact"/>
            </w:pPr>
            <w:r>
              <w:t xml:space="preserve">приобретённые — обычно да; собственный бренд по IAS 38 — нет</w:t>
            </w:r>
          </w:p>
        </w:tc>
        <w:tc>
          <w:tcPr/>
          <w:p>
            <w:pPr>
              <w:pStyle w:val="Compact"/>
            </w:pPr>
            <w:r>
              <w:t xml:space="preserve">royalty/economic premium</w:t>
            </w:r>
          </w:p>
        </w:tc>
        <w:tc>
          <w:tcPr/>
          <w:p>
            <w:pPr>
              <w:pStyle w:val="Compact"/>
            </w:pPr>
            <w:r>
              <w:t xml:space="preserve">репутационный риск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Клиентские</w:t>
            </w:r>
          </w:p>
        </w:tc>
        <w:tc>
          <w:tcPr/>
          <w:p>
            <w:pPr>
              <w:pStyle w:val="Compact"/>
            </w:pPr>
            <w:r>
              <w:t xml:space="preserve">договоры, customer relationships, backlog</w:t>
            </w:r>
          </w:p>
        </w:tc>
        <w:tc>
          <w:tcPr/>
          <w:p>
            <w:pPr>
              <w:pStyle w:val="Compact"/>
            </w:pPr>
            <w:r>
              <w:t xml:space="preserve">особенно часто возникают в PPA</w:t>
            </w:r>
          </w:p>
        </w:tc>
        <w:tc>
          <w:tcPr/>
          <w:p>
            <w:pPr>
              <w:pStyle w:val="Compact"/>
            </w:pPr>
            <w:r>
              <w:t xml:space="preserve">удержание клиентов и будущая маржа</w:t>
            </w:r>
          </w:p>
        </w:tc>
        <w:tc>
          <w:tcPr/>
          <w:p>
            <w:pPr>
              <w:pStyle w:val="Compact"/>
            </w:pPr>
            <w:r>
              <w:t xml:space="preserve">churn, концентрация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Художественные и медийные</w:t>
            </w:r>
          </w:p>
        </w:tc>
        <w:tc>
          <w:tcPr/>
          <w:p>
            <w:pPr>
              <w:pStyle w:val="Compact"/>
            </w:pPr>
            <w:r>
              <w:t xml:space="preserve">фильмы, музыка, авторские права, библиотеки контента</w:t>
            </w:r>
          </w:p>
        </w:tc>
        <w:tc>
          <w:tcPr/>
          <w:p>
            <w:pPr>
              <w:pStyle w:val="Compact"/>
            </w:pPr>
            <w:r>
              <w:t xml:space="preserve">зависит от прав и стандартов конкретного контента</w:t>
            </w:r>
          </w:p>
        </w:tc>
        <w:tc>
          <w:tcPr/>
          <w:p>
            <w:pPr>
              <w:pStyle w:val="Compact"/>
            </w:pPr>
            <w:r>
              <w:t xml:space="preserve">лицензии, подписки, реклама</w:t>
            </w:r>
          </w:p>
        </w:tc>
        <w:tc>
          <w:tcPr/>
          <w:p>
            <w:pPr>
              <w:pStyle w:val="Compact"/>
            </w:pPr>
            <w:r>
              <w:t xml:space="preserve">изменение спроса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Договорно-лицензионные</w:t>
            </w:r>
          </w:p>
        </w:tc>
        <w:tc>
          <w:tcPr/>
          <w:p>
            <w:pPr>
              <w:pStyle w:val="Compact"/>
            </w:pPr>
            <w:r>
              <w:t xml:space="preserve">франшизы, концессии, лицензии, права доступа</w:t>
            </w:r>
          </w:p>
        </w:tc>
        <w:tc>
          <w:tcPr/>
          <w:p>
            <w:pPr>
              <w:pStyle w:val="Compact"/>
            </w:pPr>
            <w:r>
              <w:t xml:space="preserve">при контролируемом праве — часто да</w:t>
            </w:r>
          </w:p>
        </w:tc>
        <w:tc>
          <w:tcPr/>
          <w:p>
            <w:pPr>
              <w:pStyle w:val="Compact"/>
            </w:pPr>
            <w:r>
              <w:t xml:space="preserve">право вести деятельность</w:t>
            </w:r>
          </w:p>
        </w:tc>
        <w:tc>
          <w:tcPr/>
          <w:p>
            <w:pPr>
              <w:pStyle w:val="Compact"/>
            </w:pPr>
            <w:r>
              <w:t xml:space="preserve">регуляторное прекращение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Научные</w:t>
            </w:r>
          </w:p>
        </w:tc>
        <w:tc>
          <w:tcPr/>
          <w:p>
            <w:pPr>
              <w:pStyle w:val="Compact"/>
            </w:pPr>
            <w:r>
              <w:t xml:space="preserve">capitalized development, acquired IPR&amp;D</w:t>
            </w:r>
          </w:p>
        </w:tc>
        <w:tc>
          <w:tcPr/>
          <w:p>
            <w:pPr>
              <w:pStyle w:val="Compact"/>
            </w:pPr>
            <w:r>
              <w:t xml:space="preserve">неодинаково IFRS/US GAAP</w:t>
            </w:r>
          </w:p>
        </w:tc>
        <w:tc>
          <w:tcPr/>
          <w:p>
            <w:pPr>
              <w:pStyle w:val="Compact"/>
            </w:pPr>
            <w:r>
              <w:t xml:space="preserve">вероятность коммерциализации</w:t>
            </w:r>
          </w:p>
        </w:tc>
        <w:tc>
          <w:tcPr/>
          <w:p>
            <w:pPr>
              <w:pStyle w:val="Compact"/>
            </w:pPr>
            <w:r>
              <w:t xml:space="preserve">технический/клинический провал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базы данных, структурированные datasets, обучающие наборы</w:t>
            </w:r>
          </w:p>
        </w:tc>
        <w:tc>
          <w:tcPr/>
          <w:p>
            <w:pPr>
              <w:pStyle w:val="Compact"/>
            </w:pPr>
            <w:r>
              <w:t xml:space="preserve">зависит от контроля, идентификации и затрат; Китай выделяет специальное регулирование</w:t>
            </w:r>
          </w:p>
        </w:tc>
        <w:tc>
          <w:tcPr/>
          <w:p>
            <w:pPr>
              <w:pStyle w:val="Compact"/>
            </w:pPr>
            <w:r>
              <w:t xml:space="preserve">аналитика, ИИ, оптимизация</w:t>
            </w:r>
          </w:p>
        </w:tc>
        <w:tc>
          <w:tcPr/>
          <w:p>
            <w:pPr>
              <w:pStyle w:val="Compact"/>
            </w:pPr>
            <w:r>
              <w:t xml:space="preserve">права, качество, утечка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Организационные</w:t>
            </w:r>
          </w:p>
        </w:tc>
        <w:tc>
          <w:tcPr/>
          <w:p>
            <w:pPr>
              <w:pStyle w:val="Compact"/>
            </w:pPr>
            <w:r>
              <w:t xml:space="preserve">процессы, operating model, routines, supply-chain know-how</w:t>
            </w:r>
          </w:p>
        </w:tc>
        <w:tc>
          <w:tcPr/>
          <w:p>
            <w:pPr>
              <w:pStyle w:val="Compact"/>
            </w:pPr>
            <w:r>
              <w:t xml:space="preserve">обычно вне баланса</w:t>
            </w:r>
          </w:p>
        </w:tc>
        <w:tc>
          <w:tcPr/>
          <w:p>
            <w:pPr>
              <w:pStyle w:val="Compact"/>
            </w:pPr>
            <w:r>
              <w:t xml:space="preserve">производительность</w:t>
            </w:r>
          </w:p>
        </w:tc>
        <w:tc>
          <w:tcPr/>
          <w:p>
            <w:pPr>
              <w:pStyle w:val="Compact"/>
            </w:pPr>
            <w:r>
              <w:t xml:space="preserve">зависимость от персонала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Человеческий капитал</w:t>
            </w:r>
          </w:p>
        </w:tc>
        <w:tc>
          <w:tcPr/>
          <w:p>
            <w:pPr>
              <w:pStyle w:val="Compact"/>
            </w:pPr>
            <w:r>
              <w:t xml:space="preserve">компетенции, обучение, команды</w:t>
            </w:r>
          </w:p>
        </w:tc>
        <w:tc>
          <w:tcPr/>
          <w:p>
            <w:pPr>
              <w:pStyle w:val="Compact"/>
            </w:pPr>
            <w:r>
              <w:t xml:space="preserve">как актив предприятия обычно не признаётся</w:t>
            </w:r>
          </w:p>
        </w:tc>
        <w:tc>
          <w:tcPr/>
          <w:p>
            <w:pPr>
              <w:pStyle w:val="Compact"/>
            </w:pPr>
            <w:r>
              <w:t xml:space="preserve">инновации и производительность</w:t>
            </w:r>
          </w:p>
        </w:tc>
        <w:tc>
          <w:tcPr/>
          <w:p>
            <w:pPr>
              <w:pStyle w:val="Compact"/>
            </w:pPr>
            <w:r>
              <w:t xml:space="preserve">мобильность кадров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Goodwill</w:t>
            </w:r>
          </w:p>
        </w:tc>
        <w:tc>
          <w:tcPr/>
          <w:p>
            <w:pPr>
              <w:pStyle w:val="Compact"/>
            </w:pPr>
            <w:r>
              <w:t xml:space="preserve">синергии, assembled workforce и иные неидентифицируемые эффекты сделки</w:t>
            </w:r>
          </w:p>
        </w:tc>
        <w:tc>
          <w:tcPr/>
          <w:p>
            <w:pPr>
              <w:pStyle w:val="Compact"/>
            </w:pPr>
            <w:r>
              <w:t xml:space="preserve">только приобретённый goodwill</w:t>
            </w:r>
          </w:p>
        </w:tc>
        <w:tc>
          <w:tcPr/>
          <w:p>
            <w:pPr>
              <w:pStyle w:val="Compact"/>
            </w:pPr>
            <w:r>
              <w:t xml:space="preserve">остаточная стоимость бизнеса</w:t>
            </w:r>
          </w:p>
        </w:tc>
        <w:tc>
          <w:tcPr/>
          <w:p>
            <w:pPr>
              <w:pStyle w:val="Compact"/>
            </w:pPr>
            <w:r>
              <w:t xml:space="preserve">overpayment и impairment</w:t>
            </w:r>
          </w:p>
        </w:tc>
      </w:tr>
    </w:tbl>
    <w:p>
      <w:pPr>
        <w:pStyle w:val="BodyText"/>
      </w:pPr>
      <w:r>
        <w:t xml:space="preserve">Критически важно поэтому разделять</w:t>
      </w:r>
      <w:r>
        <w:t xml:space="preserve"> </w:t>
      </w:r>
      <w:r>
        <w:rPr>
          <w:b/>
          <w:bCs/>
        </w:rPr>
        <w:t xml:space="preserve">три периметра</w:t>
      </w:r>
      <w:r>
        <w:t xml:space="preserve">: юридически охраняемые права, бухгалтерские НМА и экономический нематериальный капитал. Их пересечение неполное. IAS 38, например, прямо исключает признание самостоятельно созданных брендов, mastheads, publishing titles и customer lists, хотя они могут иметь очевидную экономическую ценность.</w:t>
      </w:r>
      <w:r>
        <w:t xml:space="preserve"> </w:t>
      </w:r>
      <w:hyperlink r:id="rId10">
        <w:r>
          <w:rPr>
            <w:rStyle w:val="Hyperlink"/>
          </w:rPr>
          <w:t xml:space="preserve">[13]</w:t>
        </w:r>
      </w:hyperlink>
    </w:p>
    <w:p>
      <w:pPr>
        <w:pStyle w:val="BodyText"/>
      </w:pPr>
      <w:r>
        <w:t xml:space="preserve">Поэтому величину «НМА в балансе» нельзя использовать как прямой показатель технологического или интеллектуального потенциала предприятия. Это особенно существенно при сравнении органического бизнеса с компанией, активно приобретающей технологии через M&amp;A. IASB именно эту проблему рассматривает в рамках текущего проекта по Intangible Assets.</w:t>
      </w:r>
      <w:r>
        <w:t xml:space="preserve"> </w:t>
      </w:r>
      <w:hyperlink r:id="rId17">
        <w:r>
          <w:rPr>
            <w:rStyle w:val="Hyperlink"/>
          </w:rPr>
          <w:t xml:space="preserve">[9]</w:t>
        </w:r>
      </w:hyperlink>
    </w:p>
    <w:bookmarkEnd w:id="21"/>
    <w:bookmarkEnd w:id="22"/>
    <w:bookmarkStart w:id="49" w:name="X26cfb1cbcd1dee0a95453fcb8c6f7f1b981d15c"/>
    <w:p>
      <w:pPr>
        <w:pStyle w:val="Heading2"/>
      </w:pPr>
      <w:r>
        <w:t xml:space="preserve">Международные стандарты признания, учёта и налогообложения</w:t>
      </w:r>
    </w:p>
    <w:bookmarkStart w:id="23" w:name="сравнение-основных-систем"/>
    <w:p>
      <w:pPr>
        <w:pStyle w:val="Heading3"/>
      </w:pPr>
      <w:r>
        <w:t xml:space="preserve">Сравнение основных систем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IFRS / IAS 38</w:t>
            </w:r>
          </w:p>
        </w:tc>
        <w:tc>
          <w:tcPr/>
          <w:p>
            <w:pPr>
              <w:pStyle w:val="Compact"/>
            </w:pPr>
            <w:r>
              <w:t xml:space="preserve">US GAAP</w:t>
            </w:r>
          </w:p>
        </w:tc>
        <w:tc>
          <w:tcPr/>
          <w:p>
            <w:pPr>
              <w:pStyle w:val="Compact"/>
            </w:pPr>
            <w:r>
              <w:t xml:space="preserve">Европейский союз</w:t>
            </w:r>
          </w:p>
        </w:tc>
        <w:tc>
          <w:tcPr/>
          <w:p>
            <w:pPr>
              <w:pStyle w:val="Compact"/>
            </w:pPr>
            <w:r>
              <w:t xml:space="preserve">Китай / CAS</w:t>
            </w:r>
          </w:p>
        </w:tc>
        <w:tc>
          <w:tcPr/>
          <w:p>
            <w:pPr>
              <w:pStyle w:val="Compact"/>
            </w:pPr>
            <w:r>
              <w:t xml:space="preserve">Россия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Базовая система</w:t>
            </w:r>
          </w:p>
        </w:tc>
        <w:tc>
          <w:tcPr/>
          <w:p>
            <w:pPr>
              <w:pStyle w:val="Compact"/>
            </w:pPr>
            <w:r>
              <w:t xml:space="preserve">IAS 38 + IAS 36 + IFRS 3 + IFRS 13</w:t>
            </w:r>
          </w:p>
        </w:tc>
        <w:tc>
          <w:tcPr/>
          <w:p>
            <w:pPr>
              <w:pStyle w:val="Compact"/>
            </w:pPr>
            <w:r>
              <w:t xml:space="preserve">ASC 350, 730, 805, 820; специальные software topics</w:t>
            </w:r>
          </w:p>
        </w:tc>
        <w:tc>
          <w:tcPr/>
          <w:p>
            <w:pPr>
              <w:pStyle w:val="Compact"/>
            </w:pPr>
            <w:r>
              <w:t xml:space="preserve">EU-endorsed IFRS для соответствующей консолидированной отчётности + Accounting Directive</w:t>
            </w:r>
          </w:p>
        </w:tc>
        <w:tc>
          <w:tcPr/>
          <w:p>
            <w:pPr>
              <w:pStyle w:val="Compact"/>
            </w:pPr>
            <w:r>
              <w:t xml:space="preserve">CAS 6 + CAS impairment + специальные правила data resources</w:t>
            </w:r>
          </w:p>
        </w:tc>
        <w:tc>
          <w:tcPr/>
          <w:p>
            <w:pPr>
              <w:pStyle w:val="Compact"/>
            </w:pPr>
            <w:r>
              <w:t xml:space="preserve">ФСБУ 14/2022 + ФСБУ 26/2020; ФСО XI для оценки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Определение</w:t>
            </w:r>
          </w:p>
        </w:tc>
        <w:tc>
          <w:tcPr/>
          <w:p>
            <w:pPr>
              <w:pStyle w:val="Compact"/>
            </w:pPr>
            <w:r>
              <w:t xml:space="preserve">идентифицируемый немонетарный актив без физической формы</w:t>
            </w:r>
          </w:p>
        </w:tc>
        <w:tc>
          <w:tcPr/>
          <w:p>
            <w:pPr>
              <w:pStyle w:val="Compact"/>
            </w:pPr>
            <w:r>
              <w:t xml:space="preserve">несколько специализированных моделей; identifiable intangibles отдельно от goodwill в M&amp;A</w:t>
            </w:r>
          </w:p>
        </w:tc>
        <w:tc>
          <w:tcPr/>
          <w:p>
            <w:pPr>
              <w:pStyle w:val="Compact"/>
            </w:pPr>
            <w:r>
              <w:t xml:space="preserve">IFRS-модель для listed groups; национальная отчётность — по Directive/нац. закону</w:t>
            </w:r>
          </w:p>
        </w:tc>
        <w:tc>
          <w:tcPr/>
          <w:p>
            <w:pPr>
              <w:pStyle w:val="Compact"/>
            </w:pPr>
            <w:r>
              <w:t xml:space="preserve">классическая модель CAS 6, близкая по логике исследования/разработки</w:t>
            </w:r>
          </w:p>
        </w:tc>
        <w:tc>
          <w:tcPr/>
          <w:p>
            <w:pPr>
              <w:pStyle w:val="Compact"/>
            </w:pPr>
            <w:r>
              <w:t xml:space="preserve">самостоятельный федеральный стандарт с 2024 г.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Research</w:t>
            </w:r>
          </w:p>
        </w:tc>
        <w:tc>
          <w:tcPr/>
          <w:p>
            <w:pPr>
              <w:pStyle w:val="Compact"/>
            </w:pPr>
            <w:r>
              <w:t xml:space="preserve">расход</w:t>
            </w:r>
          </w:p>
        </w:tc>
        <w:tc>
          <w:tcPr/>
          <w:p>
            <w:pPr>
              <w:pStyle w:val="Compact"/>
            </w:pPr>
            <w:r>
              <w:t xml:space="preserve">как правило, расход по Topic 730</w:t>
            </w:r>
          </w:p>
        </w:tc>
        <w:tc>
          <w:tcPr/>
          <w:p>
            <w:pPr>
              <w:pStyle w:val="Compact"/>
            </w:pPr>
            <w:r>
              <w:t xml:space="preserve">IFRS либо национальное право</w:t>
            </w:r>
          </w:p>
        </w:tc>
        <w:tc>
          <w:tcPr/>
          <w:p>
            <w:pPr>
              <w:pStyle w:val="Compact"/>
            </w:pPr>
            <w:r>
              <w:t xml:space="preserve">расход</w:t>
            </w:r>
          </w:p>
        </w:tc>
        <w:tc>
          <w:tcPr/>
          <w:p>
            <w:pPr>
              <w:pStyle w:val="Compact"/>
            </w:pPr>
            <w:r>
              <w:t xml:space="preserve">согласно ФСБУ и применимой модели капвложений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Development</w:t>
            </w:r>
          </w:p>
        </w:tc>
        <w:tc>
          <w:tcPr/>
          <w:p>
            <w:pPr>
              <w:pStyle w:val="Compact"/>
            </w:pPr>
            <w:r>
              <w:t xml:space="preserve">капитализация только при выполнении критериев IAS 38</w:t>
            </w:r>
          </w:p>
        </w:tc>
        <w:tc>
          <w:tcPr/>
          <w:p>
            <w:pPr>
              <w:pStyle w:val="Compact"/>
            </w:pPr>
            <w:r>
              <w:t xml:space="preserve">многие R&amp;D-затраты — расход; специальные исключения, прежде всего software</w:t>
            </w:r>
          </w:p>
        </w:tc>
        <w:tc>
          <w:tcPr/>
          <w:p>
            <w:pPr>
              <w:pStyle w:val="Compact"/>
            </w:pPr>
            <w:r>
              <w:t xml:space="preserve">зависит от IFRS/национального режима</w:t>
            </w:r>
          </w:p>
        </w:tc>
        <w:tc>
          <w:tcPr/>
          <w:p>
            <w:pPr>
              <w:pStyle w:val="Compact"/>
            </w:pPr>
            <w:r>
              <w:t xml:space="preserve">капитализация при выполнении условий CAS 6</w:t>
            </w:r>
          </w:p>
        </w:tc>
        <w:tc>
          <w:tcPr/>
          <w:p>
            <w:pPr>
              <w:pStyle w:val="Compact"/>
            </w:pPr>
            <w:r>
              <w:t xml:space="preserve">капитализация при выполнении условий ФСБУ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Собственный бренд</w:t>
            </w:r>
          </w:p>
        </w:tc>
        <w:tc>
          <w:tcPr/>
          <w:p>
            <w:pPr>
              <w:pStyle w:val="Compact"/>
            </w:pPr>
            <w:r>
              <w:t xml:space="preserve">не признаётся</w:t>
            </w:r>
          </w:p>
        </w:tc>
        <w:tc>
          <w:tcPr/>
          <w:p>
            <w:pPr>
              <w:pStyle w:val="Compact"/>
            </w:pPr>
            <w:r>
              <w:t xml:space="preserve">обычно не формирует признанный самостоятельный НМА</w:t>
            </w:r>
          </w:p>
        </w:tc>
        <w:tc>
          <w:tcPr/>
          <w:p>
            <w:pPr>
              <w:pStyle w:val="Compact"/>
            </w:pPr>
            <w:r>
              <w:t xml:space="preserve">IFRS-аналогично</w:t>
            </w:r>
          </w:p>
        </w:tc>
        <w:tc>
          <w:tcPr/>
          <w:p>
            <w:pPr>
              <w:pStyle w:val="Compact"/>
            </w:pPr>
            <w:r>
              <w:t xml:space="preserve">признание ограничено общими критериями</w:t>
            </w:r>
          </w:p>
        </w:tc>
        <w:tc>
          <w:tcPr/>
          <w:p>
            <w:pPr>
              <w:pStyle w:val="Compact"/>
            </w:pPr>
            <w:r>
              <w:t xml:space="preserve">зависит от критериев ФСБУ, юридического и фактического контроля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Купленный НМА</w:t>
            </w:r>
          </w:p>
        </w:tc>
        <w:tc>
          <w:tcPr/>
          <w:p>
            <w:pPr>
              <w:pStyle w:val="Compact"/>
            </w:pPr>
            <w:r>
              <w:t xml:space="preserve">cost; в business combination — fair value</w:t>
            </w:r>
          </w:p>
        </w:tc>
        <w:tc>
          <w:tcPr/>
          <w:p>
            <w:pPr>
              <w:pStyle w:val="Compact"/>
            </w:pPr>
            <w:r>
              <w:t xml:space="preserve">fair value в business combination</w:t>
            </w:r>
          </w:p>
        </w:tc>
        <w:tc>
          <w:tcPr/>
          <w:p>
            <w:pPr>
              <w:pStyle w:val="Compact"/>
            </w:pPr>
            <w:r>
              <w:t xml:space="preserve">IFRS/национальные правила</w:t>
            </w:r>
          </w:p>
        </w:tc>
        <w:tc>
          <w:tcPr/>
          <w:p>
            <w:pPr>
              <w:pStyle w:val="Compact"/>
            </w:pPr>
            <w:r>
              <w:t xml:space="preserve">отдельное признание по применимым CAS</w:t>
            </w:r>
          </w:p>
        </w:tc>
        <w:tc>
          <w:tcPr/>
          <w:p>
            <w:pPr>
              <w:pStyle w:val="Compact"/>
            </w:pPr>
            <w:r>
              <w:t xml:space="preserve">фактическая/справедливая стоимость по применимым нормам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НМА конечного СПИ</w:t>
            </w:r>
          </w:p>
        </w:tc>
        <w:tc>
          <w:tcPr/>
          <w:p>
            <w:pPr>
              <w:pStyle w:val="Compact"/>
            </w:pPr>
            <w:r>
              <w:t xml:space="preserve">амортизация</w:t>
            </w:r>
          </w:p>
        </w:tc>
        <w:tc>
          <w:tcPr/>
          <w:p>
            <w:pPr>
              <w:pStyle w:val="Compact"/>
            </w:pPr>
            <w:r>
              <w:t xml:space="preserve">амортизация</w:t>
            </w:r>
          </w:p>
        </w:tc>
        <w:tc>
          <w:tcPr/>
          <w:p>
            <w:pPr>
              <w:pStyle w:val="Compact"/>
            </w:pPr>
            <w:r>
              <w:t xml:space="preserve">амортизация</w:t>
            </w:r>
          </w:p>
        </w:tc>
        <w:tc>
          <w:tcPr/>
          <w:p>
            <w:pPr>
              <w:pStyle w:val="Compact"/>
            </w:pPr>
            <w:r>
              <w:t xml:space="preserve">амортизация</w:t>
            </w:r>
          </w:p>
        </w:tc>
        <w:tc>
          <w:tcPr/>
          <w:p>
            <w:pPr>
              <w:pStyle w:val="Compact"/>
            </w:pPr>
            <w:r>
              <w:t xml:space="preserve">амортизация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НМА неопределённого СПИ</w:t>
            </w:r>
          </w:p>
        </w:tc>
        <w:tc>
          <w:tcPr/>
          <w:p>
            <w:pPr>
              <w:pStyle w:val="Compact"/>
            </w:pPr>
            <w:r>
              <w:t xml:space="preserve">без амортизации + ежегодный impairment</w:t>
            </w:r>
          </w:p>
        </w:tc>
        <w:tc>
          <w:tcPr/>
          <w:p>
            <w:pPr>
              <w:pStyle w:val="Compact"/>
            </w:pPr>
            <w:r>
              <w:t xml:space="preserve">без амортизации + impairment model</w:t>
            </w:r>
          </w:p>
        </w:tc>
        <w:tc>
          <w:tcPr/>
          <w:p>
            <w:pPr>
              <w:pStyle w:val="Compact"/>
            </w:pPr>
            <w:r>
              <w:t xml:space="preserve">IFRS — аналогично</w:t>
            </w:r>
          </w:p>
        </w:tc>
        <w:tc>
          <w:tcPr/>
          <w:p>
            <w:pPr>
              <w:pStyle w:val="Compact"/>
            </w:pPr>
            <w:r>
              <w:t xml:space="preserve">специальный impairment-контроль</w:t>
            </w:r>
          </w:p>
        </w:tc>
        <w:tc>
          <w:tcPr/>
          <w:p>
            <w:pPr>
              <w:pStyle w:val="Compact"/>
            </w:pPr>
            <w:r>
              <w:t xml:space="preserve">по ФСБУ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Goodwill</w:t>
            </w:r>
          </w:p>
        </w:tc>
        <w:tc>
          <w:tcPr/>
          <w:p>
            <w:pPr>
              <w:pStyle w:val="Compact"/>
            </w:pPr>
            <w:r>
              <w:t xml:space="preserve">IFRS 3/IAS 36; не IAS 38; без амортизации, impairment</w:t>
            </w:r>
          </w:p>
        </w:tc>
        <w:tc>
          <w:tcPr/>
          <w:p>
            <w:pPr>
              <w:pStyle w:val="Compact"/>
            </w:pPr>
            <w:r>
              <w:t xml:space="preserve">публичные компании: impairment-only; существуют альтернативы для private companies</w:t>
            </w:r>
          </w:p>
        </w:tc>
        <w:tc>
          <w:tcPr/>
          <w:p>
            <w:pPr>
              <w:pStyle w:val="Compact"/>
            </w:pPr>
            <w:r>
              <w:t xml:space="preserve">IFRS для соответствующих групп; Directive допускает национальную амортизационную модель</w:t>
            </w:r>
          </w:p>
        </w:tc>
        <w:tc>
          <w:tcPr/>
          <w:p>
            <w:pPr>
              <w:pStyle w:val="Compact"/>
            </w:pPr>
            <w:r>
              <w:t xml:space="preserve">регулируется business-combination rules</w:t>
            </w:r>
          </w:p>
        </w:tc>
        <w:tc>
          <w:tcPr/>
          <w:p>
            <w:pPr>
              <w:pStyle w:val="Compact"/>
            </w:pPr>
            <w:r>
              <w:t xml:space="preserve">регулируется отдельно применимыми нормами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отдельного универсального стандарта data assets пока нет</w:t>
            </w:r>
          </w:p>
        </w:tc>
        <w:tc>
          <w:tcPr/>
          <w:p>
            <w:pPr>
              <w:pStyle w:val="Compact"/>
            </w:pPr>
            <w:r>
              <w:t xml:space="preserve">специализированные правила зависят от природы ресурса</w:t>
            </w:r>
          </w:p>
        </w:tc>
        <w:tc>
          <w:tcPr/>
          <w:p>
            <w:pPr>
              <w:pStyle w:val="Compact"/>
            </w:pPr>
            <w:r>
              <w:t xml:space="preserve">дискуссия EFRAG/ЕС</w:t>
            </w:r>
          </w:p>
        </w:tc>
        <w:tc>
          <w:tcPr/>
          <w:p>
            <w:pPr>
              <w:pStyle w:val="Compact"/>
            </w:pPr>
            <w:r>
              <w:t xml:space="preserve">с 2024 г. специальные правила enterprise data resources</w:t>
            </w:r>
          </w:p>
        </w:tc>
        <w:tc>
          <w:tcPr/>
          <w:p>
            <w:pPr>
              <w:pStyle w:val="Compact"/>
            </w:pPr>
            <w:r>
              <w:t xml:space="preserve">пока преимущественно общая модель НМА/прав/информационных активов</w:t>
            </w:r>
          </w:p>
        </w:tc>
      </w:tr>
    </w:tbl>
    <w:p>
      <w:pPr>
        <w:pStyle w:val="BodyText"/>
      </w:pPr>
      <w:r>
        <w:t xml:space="preserve">Источники сравнительной таблицы: IASB по IAS 38, IAS 36, IFRS 3 и текущему Intangible Assets project; FASB по Topics 730/805 и ASU 2025-06; Регламент ЕС 1606/2002 и Accounting Directive; Минфин КНР по CAS 6 и data resources; Минфин РФ и официальный портал правовой информации по ФСБУ 14/2022 и ФСО XI.</w:t>
      </w:r>
      <w:r>
        <w:t xml:space="preserve"> </w:t>
      </w:r>
      <w:hyperlink r:id="rId10">
        <w:r>
          <w:rPr>
            <w:rStyle w:val="Hyperlink"/>
          </w:rPr>
          <w:t xml:space="preserve">[14]</w:t>
        </w:r>
      </w:hyperlink>
    </w:p>
    <w:bookmarkEnd w:id="23"/>
    <w:bookmarkStart w:id="28" w:name="Xac98f2a7ad3f00e28db55b39ecd579a6023e02f"/>
    <w:p>
      <w:pPr>
        <w:pStyle w:val="Heading3"/>
      </w:pPr>
      <w:r>
        <w:t xml:space="preserve">IFRS: признание, последующая оценка и раскрытие</w:t>
      </w:r>
    </w:p>
    <w:p>
      <w:pPr>
        <w:pStyle w:val="FirstParagraph"/>
      </w:pPr>
      <w:r>
        <w:t xml:space="preserve">IAS 38 допускает признание только идентифицируемого ресурса, отвечающего требованиям стандарта. Для internally generated assets расходы должны быть разделены на</w:t>
      </w:r>
      <w:r>
        <w:t xml:space="preserve"> </w:t>
      </w:r>
      <w:r>
        <w:rPr>
          <w:b/>
          <w:bCs/>
        </w:rPr>
        <w:t xml:space="preserve">research phase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development phase</w:t>
      </w:r>
      <w:r>
        <w:t xml:space="preserve">. Research относится в расходы; development может капитализироваться лишь после достижения установленных критериев, включая техническую осуществимость, намерение и возможность завершить разработку/использовать или продать результат и возможность надёжно измерить соответствующие затраты. Собственные бренды и клиентские списки капитализации не подлежат.</w:t>
      </w:r>
      <w:r>
        <w:t xml:space="preserve"> </w:t>
      </w:r>
      <w:hyperlink r:id="rId24">
        <w:r>
          <w:rPr>
            <w:rStyle w:val="Hyperlink"/>
          </w:rPr>
          <w:t xml:space="preserve">[15]</w:t>
        </w:r>
      </w:hyperlink>
    </w:p>
    <w:p>
      <w:pPr>
        <w:pStyle w:val="BodyText"/>
      </w:pPr>
      <w:r>
        <w:t xml:space="preserve">После признания активы с</w:t>
      </w:r>
      <w:r>
        <w:t xml:space="preserve"> </w:t>
      </w:r>
      <w:r>
        <w:rPr>
          <w:b/>
          <w:bCs/>
        </w:rPr>
        <w:t xml:space="preserve">конечным сроком полезного использования</w:t>
      </w:r>
      <w:r>
        <w:t xml:space="preserve"> </w:t>
      </w:r>
      <w:r>
        <w:t xml:space="preserve">систематически амортизируются на протяжении этого срока и проверяются на impairment при соответствующих признаках. Активы с</w:t>
      </w:r>
      <w:r>
        <w:t xml:space="preserve"> </w:t>
      </w:r>
      <w:r>
        <w:rPr>
          <w:b/>
          <w:bCs/>
        </w:rPr>
        <w:t xml:space="preserve">неопределённым сроком</w:t>
      </w:r>
      <w:r>
        <w:t xml:space="preserve"> </w:t>
      </w:r>
      <w:r>
        <w:t xml:space="preserve">не амортизируются, однако подлежат ежегодной проверке на обесценение. Аналогично ежегодно проверяются goodwill и НМА, ещё не доступные для использования.</w:t>
      </w:r>
      <w:r>
        <w:t xml:space="preserve"> </w:t>
      </w:r>
      <w:hyperlink r:id="rId25">
        <w:r>
          <w:rPr>
            <w:rStyle w:val="Hyperlink"/>
          </w:rPr>
          <w:t xml:space="preserve">[16]</w:t>
        </w:r>
      </w:hyperlink>
    </w:p>
    <w:p>
      <w:pPr>
        <w:pStyle w:val="BodyText"/>
      </w:pPr>
      <w:r>
        <w:t xml:space="preserve">IAS 36 определяет recoverable amount как большую из</w:t>
      </w:r>
      <w:r>
        <w:t xml:space="preserve"> </w:t>
      </w:r>
      <w:r>
        <w:rPr>
          <w:b/>
          <w:bCs/>
        </w:rPr>
        <w:t xml:space="preserve">fair value less costs of disposal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value in use</w:t>
      </w:r>
      <w:r>
        <w:t xml:space="preserve">. Следовательно, impairment — не бухгалтерская формальность, а новая оценка способности актива либо cash-generating unit поддерживать его балансовую стоимость.</w:t>
      </w:r>
      <w:r>
        <w:t xml:space="preserve"> </w:t>
      </w:r>
      <w:hyperlink r:id="rId26">
        <w:r>
          <w:rPr>
            <w:rStyle w:val="Hyperlink"/>
          </w:rPr>
          <w:t xml:space="preserve">[17]</w:t>
        </w:r>
      </w:hyperlink>
    </w:p>
    <w:p>
      <w:pPr>
        <w:pStyle w:val="BodyText"/>
      </w:pPr>
      <w:r>
        <w:t xml:space="preserve">Особое значение имеет IFRS 3: в M&amp;A приобретатель должен отделять identifiable intangible assets от goodwill. Именно поэтому бренд, технология или customer relationship, отсутствовавшие в балансе приобретаемой компании, могут впервые появиться на балансе покупателя.</w:t>
      </w:r>
      <w:r>
        <w:t xml:space="preserve"> </w:t>
      </w:r>
      <w:hyperlink r:id="rId27">
        <w:r>
          <w:rPr>
            <w:rStyle w:val="Hyperlink"/>
          </w:rPr>
          <w:t xml:space="preserve">[18]</w:t>
        </w:r>
      </w:hyperlink>
    </w:p>
    <w:bookmarkEnd w:id="28"/>
    <w:bookmarkStart w:id="32" w:name="us-gaap"/>
    <w:p>
      <w:pPr>
        <w:pStyle w:val="Heading3"/>
      </w:pPr>
      <w:r>
        <w:t xml:space="preserve">US GAAP</w:t>
      </w:r>
    </w:p>
    <w:p>
      <w:pPr>
        <w:pStyle w:val="FirstParagraph"/>
      </w:pPr>
      <w:r>
        <w:t xml:space="preserve">US GAAP отличается от IFRS прежде всего в отношении собственных R&amp;D. Topic 730 предусматривает списание R&amp;D costs в расходы по мере их возникновения, что FASB исторически объясняет неопределённостью будущих выгод, проблемами измеримости и слабой прямой корреляцией между размером сегодняшних затрат и будущим экономическим результатом.</w:t>
      </w:r>
      <w:r>
        <w:t xml:space="preserve"> </w:t>
      </w:r>
      <w:hyperlink r:id="rId13">
        <w:r>
          <w:rPr>
            <w:rStyle w:val="Hyperlink"/>
          </w:rPr>
          <w:t xml:space="preserve">[19]</w:t>
        </w:r>
      </w:hyperlink>
    </w:p>
    <w:p>
      <w:pPr>
        <w:pStyle w:val="BodyText"/>
      </w:pPr>
      <w:r>
        <w:t xml:space="preserve">Для ПО действует более фрагментированная система. Для software to be sold/leased/marketed затраты до достижения technological feasibility относятся на R&amp;D expense, после достижения feasibility и до general release — капитализируются. Для internal-use software применяется Subtopic 350-40; в 2025 году FASB завершил соответствующий проект выпуском ASU 2025-06.</w:t>
      </w:r>
      <w:r>
        <w:t xml:space="preserve"> </w:t>
      </w:r>
      <w:hyperlink r:id="rId29">
        <w:r>
          <w:rPr>
            <w:rStyle w:val="Hyperlink"/>
          </w:rPr>
          <w:t xml:space="preserve">[20]</w:t>
        </w:r>
      </w:hyperlink>
    </w:p>
    <w:p>
      <w:pPr>
        <w:pStyle w:val="BodyText"/>
      </w:pPr>
      <w:r>
        <w:t xml:space="preserve">При business combination американская модель, напротив, требует признавать identifiable acquired assets и liabilities и оценивать соответствующие приобретённые НМА отдельно от goodwill.</w:t>
      </w:r>
      <w:r>
        <w:t xml:space="preserve"> </w:t>
      </w:r>
      <w:hyperlink r:id="rId30">
        <w:r>
          <w:rPr>
            <w:rStyle w:val="Hyperlink"/>
          </w:rPr>
          <w:t xml:space="preserve">[21]</w:t>
        </w:r>
      </w:hyperlink>
    </w:p>
    <w:p>
      <w:pPr>
        <w:pStyle w:val="BodyText"/>
      </w:pPr>
      <w:r>
        <w:t xml:space="preserve">Для публичных компаний goodwill не амортизируется систематически, а тестируется на impairment на уровне reporting unit; FASB также предусматривает annual impairment model для indefinite-lived intangible assets.</w:t>
      </w:r>
      <w:r>
        <w:t xml:space="preserve"> </w:t>
      </w:r>
      <w:hyperlink r:id="rId31">
        <w:r>
          <w:rPr>
            <w:rStyle w:val="Hyperlink"/>
          </w:rPr>
          <w:t xml:space="preserve">[22]</w:t>
        </w:r>
      </w:hyperlink>
    </w:p>
    <w:bookmarkEnd w:id="32"/>
    <w:bookmarkStart w:id="35" w:name="европейский-союз"/>
    <w:p>
      <w:pPr>
        <w:pStyle w:val="Heading3"/>
      </w:pPr>
      <w:r>
        <w:t xml:space="preserve">Европейский союз</w:t>
      </w:r>
    </w:p>
    <w:p>
      <w:pPr>
        <w:pStyle w:val="FirstParagraph"/>
      </w:pPr>
      <w:r>
        <w:t xml:space="preserve">Регламент № 1606/2002 сформировал европейскую инфраструктуру применения международных стандартов: соответствующие публичные группы используют IFRS, одобренные ЕС, для консолидированной отчётности. Современная кодификация одобренных международных стандартов содержится, в частности, в Regulation (EU) 2023/1803 с последующими изменениями.</w:t>
      </w:r>
      <w:r>
        <w:t xml:space="preserve"> </w:t>
      </w:r>
      <w:hyperlink r:id="rId14">
        <w:r>
          <w:rPr>
            <w:rStyle w:val="Hyperlink"/>
          </w:rPr>
          <w:t xml:space="preserve">[23]</w:t>
        </w:r>
      </w:hyperlink>
    </w:p>
    <w:p>
      <w:pPr>
        <w:pStyle w:val="BodyText"/>
      </w:pPr>
      <w:r>
        <w:t xml:space="preserve">Для компаний, находящихся вне соответствующего IFRS-периметра, существенную роль играет Accounting Directive 2013/34/EU. Она требует систематического списания НМА в течение useful economic life и предусматривает национальные решения по development costs; если срок goodwill или development costs не может быть надёжно определён, государство-член устанавливает период в разрешённом Директивой диапазоне.</w:t>
      </w:r>
      <w:r>
        <w:t xml:space="preserve"> </w:t>
      </w:r>
      <w:hyperlink r:id="rId33">
        <w:r>
          <w:rPr>
            <w:rStyle w:val="Hyperlink"/>
          </w:rPr>
          <w:t xml:space="preserve">[24]</w:t>
        </w:r>
      </w:hyperlink>
    </w:p>
    <w:p>
      <w:pPr>
        <w:pStyle w:val="BodyText"/>
      </w:pPr>
      <w:r>
        <w:t xml:space="preserve">EFRAG неоднократно фиксировал более фундаментальную проблему: действующая система не отображает значительную часть internally generated intangibles, что снижает сопоставимость asset-light и knowledge-intensive компаний.</w:t>
      </w:r>
      <w:r>
        <w:t xml:space="preserve"> </w:t>
      </w:r>
      <w:hyperlink r:id="rId34">
        <w:r>
          <w:rPr>
            <w:rStyle w:val="Hyperlink"/>
          </w:rPr>
          <w:t xml:space="preserve">[25]</w:t>
        </w:r>
      </w:hyperlink>
    </w:p>
    <w:bookmarkEnd w:id="35"/>
    <w:bookmarkStart w:id="39" w:name="китай"/>
    <w:p>
      <w:pPr>
        <w:pStyle w:val="Heading3"/>
      </w:pPr>
      <w:r>
        <w:t xml:space="preserve">Китай</w:t>
      </w:r>
    </w:p>
    <w:p>
      <w:pPr>
        <w:pStyle w:val="FirstParagraph"/>
      </w:pPr>
      <w:r>
        <w:t xml:space="preserve">CAS 6 был опубликован в 2006 году и введён в действие с 1 января 2007 года. Минфин КНР подтверждает строгую границу между research и development: расходы исследовательской стадии признаются в текущем результате, а затраты стадии разработки капитализируются только при соблюдении критериев стандарта; ранее списанные затраты нельзя задним числом восстановить как актив.</w:t>
      </w:r>
      <w:r>
        <w:t xml:space="preserve"> </w:t>
      </w:r>
      <w:hyperlink r:id="rId36">
        <w:r>
          <w:rPr>
            <w:rStyle w:val="Hyperlink"/>
          </w:rPr>
          <w:t xml:space="preserve">[26]</w:t>
        </w:r>
      </w:hyperlink>
    </w:p>
    <w:p>
      <w:pPr>
        <w:pStyle w:val="BodyText"/>
      </w:pPr>
      <w:r>
        <w:t xml:space="preserve">Особенно важен китайский эксперимент с</w:t>
      </w:r>
      <w:r>
        <w:t xml:space="preserve"> </w:t>
      </w:r>
      <w:r>
        <w:rPr>
          <w:b/>
          <w:bCs/>
        </w:rPr>
        <w:t xml:space="preserve">данными как управляемым экономическим ресурсом</w:t>
      </w:r>
      <w:r>
        <w:t xml:space="preserve">. Временные правила по enterprise data resources были изданы в августе 2023 года и вступили в силу 1 января 2024 года. Они распространяются на data resources, отвечающие требованиям признания, в том числе в качестве НМА или запасов, и предусматривают дополнительное раскрытие контролируемых ресурсов данных, которые могут создавать экономические выгоды, но не были признаны из-за несоответствия критериям.</w:t>
      </w:r>
      <w:r>
        <w:t xml:space="preserve"> </w:t>
      </w:r>
      <w:hyperlink r:id="rId37">
        <w:r>
          <w:rPr>
            <w:rStyle w:val="Hyperlink"/>
          </w:rPr>
          <w:t xml:space="preserve">[27]</w:t>
        </w:r>
      </w:hyperlink>
    </w:p>
    <w:p>
      <w:pPr>
        <w:pStyle w:val="BodyText"/>
      </w:pPr>
      <w:r>
        <w:t xml:space="preserve">В 2024 году Минфин КНР потребовал развивать систему оценки data assets и прямо обозначил создание</w:t>
      </w:r>
      <w:r>
        <w:t xml:space="preserve"> </w:t>
      </w:r>
      <w:r>
        <w:rPr>
          <w:b/>
          <w:bCs/>
        </w:rPr>
        <w:t xml:space="preserve">standard library, rule library, indicator library, model library и case library</w:t>
      </w:r>
      <w:r>
        <w:t xml:space="preserve">, а также использование цифровых технологий для прогнозирования их стоимости. Это уже не только бухгалтерский стандарт, а элемент промышленной политики управления нематериальным капиталом.</w:t>
      </w:r>
      <w:r>
        <w:t xml:space="preserve"> </w:t>
      </w:r>
      <w:hyperlink r:id="rId38">
        <w:r>
          <w:rPr>
            <w:rStyle w:val="Hyperlink"/>
          </w:rPr>
          <w:t xml:space="preserve">[28]</w:t>
        </w:r>
      </w:hyperlink>
    </w:p>
    <w:bookmarkEnd w:id="39"/>
    <w:bookmarkStart w:id="44" w:name="временная-шкала-развития-регулирования"/>
    <w:p>
      <w:pPr>
        <w:pStyle w:val="Heading3"/>
      </w:pPr>
      <w:r>
        <w:t xml:space="preserve">Временная шкала развития регулирования</w:t>
      </w:r>
    </w:p>
    <w:p>
      <w:pPr>
        <w:pStyle w:val="FirstParagraph"/>
      </w:pPr>
      <w:r>
        <w:t xml:space="preserve">Ключевые этапы — формирование IAS 38, переход US GAAP к impairment-only goodwill, европейское обязательное применение IFRS, CAS 6, российский ФСБУ 14/2022, китайские правила data resources и нынешний пересмотр IAS 38.</w:t>
      </w:r>
      <w:r>
        <w:t xml:space="preserve"> </w:t>
      </w:r>
      <w:hyperlink r:id="rId10">
        <w:r>
          <w:rPr>
            <w:rStyle w:val="Hyperlink"/>
          </w:rPr>
          <w:t xml:space="preserve">[29]</w:t>
        </w:r>
      </w:hyperlink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334000" cy="1926166"/>
                  <wp:effectExtent b="0" l="0" r="0" t="0"/>
                  <wp:docPr descr="Rendered Mermaid diagram 1" title="" id="41" name="Picture"/>
                  <a:graphic>
                    <a:graphicData uri="http://schemas.openxmlformats.org/drawingml/2006/picture">
                      <pic:pic>
                        <pic:nvPicPr>
                          <pic:cNvPr descr="data:image/png;base64,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1926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</w:tbl>
    <w:p>
      <w:pPr>
        <w:pStyle w:val="BodyText"/>
      </w:pPr>
      <w:r>
        <w:t xml:space="preserve">На 30 августа 2026 года новая редакция IAS 38</w:t>
      </w:r>
      <w:r>
        <w:t xml:space="preserve"> </w:t>
      </w:r>
      <w:r>
        <w:rPr>
          <w:b/>
          <w:bCs/>
        </w:rPr>
        <w:t xml:space="preserve">ещё не принята</w:t>
      </w:r>
      <w:r>
        <w:t xml:space="preserve">: 22 июля 2026 года IASB обсуждал потенциальные изменения к определению и supporting requirements, используя licensing/SaaS как test case, но решений по стандарту тогда принято не было. Поэтому организациям не следует преждевременно строить учёт на предполагаемой будущей модели IASB.</w:t>
      </w:r>
      <w:r>
        <w:t xml:space="preserve"> </w:t>
      </w:r>
      <w:hyperlink r:id="rId43">
        <w:r>
          <w:rPr>
            <w:rStyle w:val="Hyperlink"/>
          </w:rPr>
          <w:t xml:space="preserve">[30]</w:t>
        </w:r>
      </w:hyperlink>
    </w:p>
    <w:bookmarkEnd w:id="44"/>
    <w:bookmarkStart w:id="48" w:name="налоговые-последствия"/>
    <w:p>
      <w:pPr>
        <w:pStyle w:val="Heading3"/>
      </w:pPr>
      <w:r>
        <w:t xml:space="preserve">Налоговые последствия</w:t>
      </w:r>
    </w:p>
    <w:p>
      <w:pPr>
        <w:pStyle w:val="FirstParagraph"/>
      </w:pPr>
      <w:r>
        <w:t xml:space="preserve">Бухгалтерская стоимость НМА и налоговая база НМА могут существенно различаться, создавая temporary differences и deferred tax по IAS 12. В сделках M&amp;A это особенно заметно: fair-value step-up приобретённых НМА способен одновременно сформировать deferred tax liability, которая, в свою очередь, влияет на величину goodwill.</w:t>
      </w:r>
      <w:r>
        <w:t xml:space="preserve"> </w:t>
      </w:r>
      <w:hyperlink r:id="rId45">
        <w:r>
          <w:rPr>
            <w:rStyle w:val="Hyperlink"/>
          </w:rPr>
          <w:t xml:space="preserve">[31]</w:t>
        </w:r>
      </w:hyperlink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Юрисдикция</w:t>
            </w:r>
          </w:p>
        </w:tc>
        <w:tc>
          <w:tcPr/>
          <w:p>
            <w:pPr>
              <w:pStyle w:val="Compact"/>
            </w:pPr>
            <w:r>
              <w:t xml:space="preserve">Ключевой налоговый принцип</w:t>
            </w:r>
          </w:p>
        </w:tc>
        <w:tc>
          <w:tcPr/>
          <w:p>
            <w:pPr>
              <w:pStyle w:val="Compact"/>
            </w:pPr>
            <w:r>
              <w:t xml:space="preserve">Управленческое последствие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США</w:t>
            </w:r>
          </w:p>
        </w:tc>
        <w:tc>
          <w:tcPr/>
          <w:p>
            <w:pPr>
              <w:pStyle w:val="Compact"/>
            </w:pPr>
            <w:r>
              <w:t xml:space="preserve">приобретённые Section 197 intangibles обычно амортизируются для налога линейно за 15 лет</w:t>
            </w:r>
          </w:p>
        </w:tc>
        <w:tc>
          <w:tcPr/>
          <w:p>
            <w:pPr>
              <w:pStyle w:val="Compact"/>
            </w:pPr>
            <w:r>
              <w:t xml:space="preserve">налоговый срок может радикально отличаться от бухгалтерского useful life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США — R&amp;E</w:t>
            </w:r>
          </w:p>
        </w:tc>
        <w:tc>
          <w:tcPr/>
          <w:p>
            <w:pPr>
              <w:pStyle w:val="Compact"/>
            </w:pPr>
            <w:r>
              <w:t xml:space="preserve">с налоговых лет после 31.12.2024 Section 174A позволяет текущий вычет domestic R&amp;E либо, по выбору, капитализацию и амортизацию не менее 60 месяцев</w:t>
            </w:r>
          </w:p>
        </w:tc>
        <w:tc>
          <w:tcPr/>
          <w:p>
            <w:pPr>
              <w:pStyle w:val="Compact"/>
            </w:pPr>
            <w:r>
              <w:t xml:space="preserve">налоговая политика снова расходится с US GAAP R&amp;D expense model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Китай</w:t>
            </w:r>
          </w:p>
        </w:tc>
        <w:tc>
          <w:tcPr/>
          <w:p>
            <w:pPr>
              <w:pStyle w:val="Compact"/>
            </w:pPr>
            <w:r>
              <w:t xml:space="preserve">НМА для налога обычно амортизируются straight-line не менее 10 лет; приобретённое ПО при соблюдении условий — минимум 2 года</w:t>
            </w:r>
          </w:p>
        </w:tc>
        <w:tc>
          <w:tcPr/>
          <w:p>
            <w:pPr>
              <w:pStyle w:val="Compact"/>
            </w:pPr>
            <w:r>
              <w:t xml:space="preserve">значительное влияние классификации на cash tax</w:t>
            </w:r>
          </w:p>
        </w:tc>
      </w:tr>
      <w:tr>
        <w:tc>
          <w:tcPr/>
          <w:p>
            <w:pPr>
              <w:pStyle w:val="Compact"/>
            </w:pPr>
            <w:r>
              <w:t xml:space="preserve">ЕС</w:t>
            </w:r>
          </w:p>
        </w:tc>
        <w:tc>
          <w:tcPr/>
          <w:p>
            <w:pPr>
              <w:pStyle w:val="Compact"/>
            </w:pPr>
            <w:r>
              <w:t xml:space="preserve">бухгалтерская гармонизация не равна полной унификации corporate tax; действуют национальные regimes, плюс общеевропейские anti-avoidance рамки</w:t>
            </w:r>
          </w:p>
        </w:tc>
        <w:tc>
          <w:tcPr/>
          <w:p>
            <w:pPr>
              <w:pStyle w:val="Compact"/>
            </w:pPr>
            <w:r>
              <w:t xml:space="preserve">особенно важны transfer pricing, royalties, IP-location и exit-tax effects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  <w:r>
              <w:t xml:space="preserve">с 2025 г. для определённых высокотехнологичных НМА, российского ПО, AI и отдельных результатов НИОКР возможно повышенное налоговое признание затрат, включая коэффициент 2 при предусмотренных законом условиях</w:t>
            </w:r>
          </w:p>
        </w:tc>
        <w:tc>
          <w:tcPr/>
          <w:p>
            <w:pPr>
              <w:pStyle w:val="Compact"/>
            </w:pPr>
            <w:r>
              <w:t xml:space="preserve">целесообразно связать реестр НМА с налоговой eligibility-системой</w:t>
            </w:r>
          </w:p>
        </w:tc>
      </w:tr>
    </w:tbl>
    <w:p>
      <w:pPr>
        <w:pStyle w:val="BodyText"/>
      </w:pPr>
      <w:r>
        <w:t xml:space="preserve">Источники: IRS по §197 и §174A, налоговые органы КНР, Европейская комиссия и ФНС России.</w:t>
      </w:r>
      <w:r>
        <w:t xml:space="preserve"> </w:t>
      </w:r>
      <w:hyperlink r:id="rId46">
        <w:r>
          <w:rPr>
            <w:rStyle w:val="Hyperlink"/>
          </w:rPr>
          <w:t xml:space="preserve">[32]</w:t>
        </w:r>
      </w:hyperlink>
    </w:p>
    <w:p>
      <w:pPr>
        <w:pStyle w:val="BodyText"/>
      </w:pPr>
      <w:r>
        <w:t xml:space="preserve">Для России особенно важно, что с 1 января 2025 года ФНС указывает на возможность учитывать в двойном размере затраты при формировании первоначальной стоимости определённых высокотехнологичных НМА, включая исключительные права на российское ПО/базы данных и предусмотренные законодательством результаты НИОКР; применение соответствующей опции должно быть закреплено в налоговой учётной политике.</w:t>
      </w:r>
      <w:r>
        <w:t xml:space="preserve"> </w:t>
      </w:r>
      <w:hyperlink r:id="rId47">
        <w:r>
          <w:rPr>
            <w:rStyle w:val="Hyperlink"/>
          </w:rPr>
          <w:t xml:space="preserve">[33]</w:t>
        </w:r>
      </w:hyperlink>
    </w:p>
    <w:bookmarkEnd w:id="48"/>
    <w:bookmarkEnd w:id="49"/>
    <w:bookmarkStart w:id="62" w:name="Xf5f053dcaf6cf8fac4b0b71886228e54f76bd4d"/>
    <w:p>
      <w:pPr>
        <w:pStyle w:val="Heading2"/>
      </w:pPr>
      <w:r>
        <w:t xml:space="preserve">Методы оценки, амортизация, обесценение и раскрытие</w:t>
      </w:r>
    </w:p>
    <w:bookmarkStart w:id="50" w:name="архитектура-оценки"/>
    <w:p>
      <w:pPr>
        <w:pStyle w:val="Heading3"/>
      </w:pPr>
      <w:r>
        <w:t xml:space="preserve">Архитектура оценки</w:t>
      </w:r>
    </w:p>
    <w:p>
      <w:pPr>
        <w:pStyle w:val="FirstParagraph"/>
      </w:pPr>
      <w:r>
        <w:t xml:space="preserve">IFRS 13 устанавливает общий принцип fair value как рыночной оценки и выделяет три широко используемых valuation approaches:</w:t>
      </w:r>
      <w:r>
        <w:t xml:space="preserve"> </w:t>
      </w:r>
      <w:r>
        <w:rPr>
          <w:b/>
          <w:bCs/>
        </w:rPr>
        <w:t xml:space="preserve">market approach, income approach и cost approach</w:t>
      </w:r>
      <w:r>
        <w:t xml:space="preserve">. Международные стандарты оценки IVS обеспечивают профессиональную методологию их применения; актуальная редакция IVS была обновлена в 2024 году с датой применения в 2025 году, а в 2026 году IVSC продолжает развитие IVS 210 Intangible Assets.</w:t>
      </w:r>
      <w:r>
        <w:t xml:space="preserve"> </w:t>
      </w:r>
      <w:hyperlink r:id="rId18">
        <w:r>
          <w:rPr>
            <w:rStyle w:val="Hyperlink"/>
          </w:rPr>
          <w:t xml:space="preserve">[34]</w:t>
        </w:r>
      </w:hyperlink>
    </w:p>
    <w:p>
      <w:pPr>
        <w:pStyle w:val="BodyText"/>
      </w:pPr>
      <w:r>
        <w:t xml:space="preserve">При этом важно различать:</w:t>
      </w:r>
    </w:p>
    <w:p>
      <w:pPr>
        <w:pStyle w:val="BodyText"/>
      </w:pPr>
      <w:r>
        <w:rPr>
          <w:b/>
          <w:bCs/>
        </w:rPr>
        <w:t xml:space="preserve">стоимость для финансовой отчётности</w:t>
      </w:r>
      <w:r>
        <w:t xml:space="preserve">, определяемую в рамках IFRS/US GAAP;</w:t>
      </w:r>
    </w:p>
    <w:p>
      <w:pPr>
        <w:pStyle w:val="BodyText"/>
      </w:pPr>
      <w:r>
        <w:rPr>
          <w:b/>
          <w:bCs/>
        </w:rPr>
        <w:t xml:space="preserve">рыночную/справедливую стоимость для M&amp;A или независимой оценки</w:t>
      </w:r>
      <w:r>
        <w:t xml:space="preserve">;</w:t>
      </w:r>
    </w:p>
    <w:p>
      <w:pPr>
        <w:pStyle w:val="BodyText"/>
      </w:pPr>
      <w:r>
        <w:rPr>
          <w:b/>
          <w:bCs/>
        </w:rPr>
        <w:t xml:space="preserve">инвестиционную/стратегическую стоимость конкретному владельцу</w:t>
      </w:r>
      <w:r>
        <w:t xml:space="preserve">;</w:t>
      </w:r>
    </w:p>
    <w:p>
      <w:pPr>
        <w:pStyle w:val="BodyText"/>
      </w:pPr>
      <w:r>
        <w:rPr>
          <w:b/>
          <w:bCs/>
        </w:rPr>
        <w:t xml:space="preserve">налоговую стоимость</w:t>
      </w:r>
      <w:r>
        <w:t xml:space="preserve">;</w:t>
      </w:r>
    </w:p>
    <w:p>
      <w:pPr>
        <w:pStyle w:val="BodyText"/>
      </w:pPr>
      <w:r>
        <w:rPr>
          <w:b/>
          <w:bCs/>
        </w:rPr>
        <w:t xml:space="preserve">управленческий value-in-use или strategic value</w:t>
      </w:r>
      <w:r>
        <w:t xml:space="preserve">.</w:t>
      </w:r>
    </w:p>
    <w:p>
      <w:pPr>
        <w:pStyle w:val="BodyText"/>
      </w:pPr>
      <w:r>
        <w:t xml:space="preserve">Они не обязаны совпадать.</w:t>
      </w:r>
    </w:p>
    <w:bookmarkEnd w:id="50"/>
    <w:bookmarkStart w:id="51" w:name="сравнение-подходов-и-методов"/>
    <w:p>
      <w:pPr>
        <w:pStyle w:val="Heading3"/>
      </w:pPr>
      <w:r>
        <w:t xml:space="preserve">Сравнение подходов и методов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Подход / метод</w:t>
            </w:r>
          </w:p>
        </w:tc>
        <w:tc>
          <w:tcPr/>
          <w:p>
            <w:pPr>
              <w:pStyle w:val="Compact"/>
            </w:pPr>
            <w:r>
              <w:t xml:space="preserve">Базовая логика</w:t>
            </w:r>
          </w:p>
        </w:tc>
        <w:tc>
          <w:tcPr/>
          <w:p>
            <w:pPr>
              <w:pStyle w:val="Compact"/>
            </w:pPr>
            <w:r>
              <w:t xml:space="preserve">Наиболее типичные НМА</w:t>
            </w:r>
          </w:p>
        </w:tc>
        <w:tc>
          <w:tcPr/>
          <w:p>
            <w:pPr>
              <w:pStyle w:val="Compact"/>
            </w:pPr>
            <w:r>
              <w:t xml:space="preserve">Сильная сторона</w:t>
            </w:r>
          </w:p>
        </w:tc>
        <w:tc>
          <w:tcPr/>
          <w:p>
            <w:pPr>
              <w:pStyle w:val="Compact"/>
            </w:pPr>
            <w:r>
              <w:t xml:space="preserve">Главный риск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Рыночный — comparable transactions</w:t>
            </w:r>
          </w:p>
        </w:tc>
        <w:tc>
          <w:tcPr/>
          <w:p>
            <w:pPr>
              <w:pStyle w:val="Compact"/>
            </w:pPr>
            <w:r>
              <w:t xml:space="preserve">стоимость выводится из сделок с аналогами</w:t>
            </w:r>
          </w:p>
        </w:tc>
        <w:tc>
          <w:tcPr/>
          <w:p>
            <w:pPr>
              <w:pStyle w:val="Compact"/>
            </w:pPr>
            <w:r>
              <w:t xml:space="preserve">лицензии, патенты, домены, контент при наличии сделок</w:t>
            </w:r>
          </w:p>
        </w:tc>
        <w:tc>
          <w:tcPr/>
          <w:p>
            <w:pPr>
              <w:pStyle w:val="Compact"/>
            </w:pPr>
            <w:r>
              <w:t xml:space="preserve">опора на внешний рынок</w:t>
            </w:r>
          </w:p>
        </w:tc>
        <w:tc>
          <w:tcPr/>
          <w:p>
            <w:pPr>
              <w:pStyle w:val="Compact"/>
            </w:pPr>
            <w:r>
              <w:t xml:space="preserve">аналоги редко действительно сопоставимы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Рыночный — royalty comparables</w:t>
            </w:r>
          </w:p>
        </w:tc>
        <w:tc>
          <w:tcPr/>
          <w:p>
            <w:pPr>
              <w:pStyle w:val="Compact"/>
            </w:pPr>
            <w:r>
              <w:t xml:space="preserve">рыночные royalty rates служат benchmark</w:t>
            </w:r>
          </w:p>
        </w:tc>
        <w:tc>
          <w:tcPr/>
          <w:p>
            <w:pPr>
              <w:pStyle w:val="Compact"/>
            </w:pPr>
            <w:r>
              <w:t xml:space="preserve">бренды, patents, technology</w:t>
            </w:r>
          </w:p>
        </w:tc>
        <w:tc>
          <w:tcPr/>
          <w:p>
            <w:pPr>
              <w:pStyle w:val="Compact"/>
            </w:pPr>
            <w:r>
              <w:t xml:space="preserve">рыночное якорение income valuation</w:t>
            </w:r>
          </w:p>
        </w:tc>
        <w:tc>
          <w:tcPr/>
          <w:p>
            <w:pPr>
              <w:pStyle w:val="Compact"/>
            </w:pPr>
            <w:r>
              <w:t xml:space="preserve">условия лицензий неоднородны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Income — Relief-from-Royalty</w:t>
            </w:r>
          </w:p>
        </w:tc>
        <w:tc>
          <w:tcPr/>
          <w:p>
            <w:pPr>
              <w:pStyle w:val="Compact"/>
            </w:pPr>
            <w:r>
              <w:t xml:space="preserve">PV лицензионных платежей, которые владелец экономит, владея активом</w:t>
            </w:r>
          </w:p>
        </w:tc>
        <w:tc>
          <w:tcPr/>
          <w:p>
            <w:pPr>
              <w:pStyle w:val="Compact"/>
            </w:pPr>
            <w:r>
              <w:t xml:space="preserve">бренды, trademarks, patents, technology</w:t>
            </w:r>
          </w:p>
        </w:tc>
        <w:tc>
          <w:tcPr/>
          <w:p>
            <w:pPr>
              <w:pStyle w:val="Compact"/>
            </w:pPr>
            <w:r>
              <w:t xml:space="preserve">логично связывает право с доходом</w:t>
            </w:r>
          </w:p>
        </w:tc>
        <w:tc>
          <w:tcPr/>
          <w:p>
            <w:pPr>
              <w:pStyle w:val="Compact"/>
            </w:pPr>
            <w:r>
              <w:t xml:space="preserve">чувствительность к royalty rate и revenue forecast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Income — MPEEM</w:t>
            </w:r>
          </w:p>
        </w:tc>
        <w:tc>
          <w:tcPr/>
          <w:p>
            <w:pPr>
              <w:pStyle w:val="Compact"/>
            </w:pPr>
            <w:r>
              <w:t xml:space="preserve">PV остаточного cash flow после charges за contributory assets</w:t>
            </w:r>
          </w:p>
        </w:tc>
        <w:tc>
          <w:tcPr/>
          <w:p>
            <w:pPr>
              <w:pStyle w:val="Compact"/>
            </w:pPr>
            <w:r>
              <w:t xml:space="preserve">customer relationships, core technology, IPR&amp;D</w:t>
            </w:r>
          </w:p>
        </w:tc>
        <w:tc>
          <w:tcPr/>
          <w:p>
            <w:pPr>
              <w:pStyle w:val="Compact"/>
            </w:pPr>
            <w:r>
              <w:t xml:space="preserve">выделяет primary income-generating asset</w:t>
            </w:r>
          </w:p>
        </w:tc>
        <w:tc>
          <w:tcPr/>
          <w:p>
            <w:pPr>
              <w:pStyle w:val="Compact"/>
            </w:pPr>
            <w:r>
              <w:t xml:space="preserve">риск double counting и спорных CAC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Income — With-and-Without</w:t>
            </w:r>
          </w:p>
        </w:tc>
        <w:tc>
          <w:tcPr/>
          <w:p>
            <w:pPr>
              <w:pStyle w:val="Compact"/>
            </w:pPr>
            <w:r>
              <w:t xml:space="preserve">PV бизнеса «с активом» минус PV бизнеса «без него»</w:t>
            </w:r>
          </w:p>
        </w:tc>
        <w:tc>
          <w:tcPr/>
          <w:p>
            <w:pPr>
              <w:pStyle w:val="Compact"/>
            </w:pPr>
            <w:r>
              <w:t xml:space="preserve">non-compete, contracts, customer relations</w:t>
            </w:r>
          </w:p>
        </w:tc>
        <w:tc>
          <w:tcPr/>
          <w:p>
            <w:pPr>
              <w:pStyle w:val="Compact"/>
            </w:pPr>
            <w:r>
              <w:t xml:space="preserve">прямо измеряет incremental economics</w:t>
            </w:r>
          </w:p>
        </w:tc>
        <w:tc>
          <w:tcPr/>
          <w:p>
            <w:pPr>
              <w:pStyle w:val="Compact"/>
            </w:pPr>
            <w:r>
              <w:t xml:space="preserve">контрфактический сценарий субъективен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Income — Greenfield</w:t>
            </w:r>
          </w:p>
        </w:tc>
        <w:tc>
          <w:tcPr/>
          <w:p>
            <w:pPr>
              <w:pStyle w:val="Compact"/>
            </w:pPr>
            <w:r>
              <w:t xml:space="preserve">cash flow актива после затрат/времени на создание остальных необходимых ресурсов</w:t>
            </w:r>
          </w:p>
        </w:tc>
        <w:tc>
          <w:tcPr/>
          <w:p>
            <w:pPr>
              <w:pStyle w:val="Compact"/>
            </w:pPr>
            <w:r>
              <w:t xml:space="preserve">licences, franchises, permits</w:t>
            </w:r>
          </w:p>
        </w:tc>
        <w:tc>
          <w:tcPr/>
          <w:p>
            <w:pPr>
              <w:pStyle w:val="Compact"/>
            </w:pPr>
            <w:r>
              <w:t xml:space="preserve">полезен для прав, требующих supporting assets</w:t>
            </w:r>
          </w:p>
        </w:tc>
        <w:tc>
          <w:tcPr/>
          <w:p>
            <w:pPr>
              <w:pStyle w:val="Compact"/>
            </w:pPr>
            <w:r>
              <w:t xml:space="preserve">модель чувствительна к времени ramp-up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 — Replacement Cost</w:t>
            </w:r>
          </w:p>
        </w:tc>
        <w:tc>
          <w:tcPr/>
          <w:p>
            <w:pPr>
              <w:pStyle w:val="Compact"/>
            </w:pPr>
            <w:r>
              <w:t xml:space="preserve">текущая стоимость создания equivalent utility минус obsolescence</w:t>
            </w:r>
          </w:p>
        </w:tc>
        <w:tc>
          <w:tcPr/>
          <w:p>
            <w:pPr>
              <w:pStyle w:val="Compact"/>
            </w:pPr>
            <w:r>
              <w:t xml:space="preserve">ПО, базы данных, content libraries</w:t>
            </w:r>
          </w:p>
        </w:tc>
        <w:tc>
          <w:tcPr/>
          <w:p>
            <w:pPr>
              <w:pStyle w:val="Compact"/>
            </w:pPr>
            <w:r>
              <w:t xml:space="preserve">проще при воспроизводимом объекте</w:t>
            </w:r>
          </w:p>
        </w:tc>
        <w:tc>
          <w:tcPr/>
          <w:p>
            <w:pPr>
              <w:pStyle w:val="Compact"/>
            </w:pPr>
            <w:r>
              <w:t xml:space="preserve">затраты могут почти не коррелировать с будущими выгодами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 — Reproduction Cost</w:t>
            </w:r>
          </w:p>
        </w:tc>
        <w:tc>
          <w:tcPr/>
          <w:p>
            <w:pPr>
              <w:pStyle w:val="Compact"/>
            </w:pPr>
            <w:r>
              <w:t xml:space="preserve">стоимость точного воспроизведения</w:t>
            </w:r>
          </w:p>
        </w:tc>
        <w:tc>
          <w:tcPr/>
          <w:p>
            <w:pPr>
              <w:pStyle w:val="Compact"/>
            </w:pPr>
            <w:r>
              <w:t xml:space="preserve">специализированные базы, документация</w:t>
            </w:r>
          </w:p>
        </w:tc>
        <w:tc>
          <w:tcPr/>
          <w:p>
            <w:pPr>
              <w:pStyle w:val="Compact"/>
            </w:pPr>
            <w:r>
              <w:t xml:space="preserve">полезен при необходимости exact replica</w:t>
            </w:r>
          </w:p>
        </w:tc>
        <w:tc>
          <w:tcPr/>
          <w:p>
            <w:pPr>
              <w:pStyle w:val="Compact"/>
            </w:pPr>
            <w:r>
              <w:t xml:space="preserve">может оценивать ненужную историческую сложность</w:t>
            </w:r>
          </w:p>
        </w:tc>
      </w:tr>
    </w:tbl>
    <w:p>
      <w:pPr>
        <w:pStyle w:val="BodyText"/>
      </w:pPr>
      <w:r>
        <w:t xml:space="preserve">IFRS 13 прямо допускает market, cost и income approaches, но</w:t>
      </w:r>
      <w:r>
        <w:t xml:space="preserve"> </w:t>
      </w:r>
      <w:r>
        <w:rPr>
          <w:b/>
          <w:bCs/>
        </w:rPr>
        <w:t xml:space="preserve">не предписывает один универсальный метод для НМА</w:t>
      </w:r>
      <w:r>
        <w:t xml:space="preserve">. Выбор метода определяется характеристиками актива и доступностью данных. В практике PPA Big Four широко описывают RFR, MPEEM, with-and-without и greenfield как варианты доходного подхода к приобретённым intangible assets.</w:t>
      </w:r>
      <w:r>
        <w:t xml:space="preserve"> </w:t>
      </w:r>
      <w:hyperlink r:id="rId18">
        <w:r>
          <w:rPr>
            <w:rStyle w:val="Hyperlink"/>
          </w:rPr>
          <w:t xml:space="preserve">[35]</w:t>
        </w:r>
      </w:hyperlink>
    </w:p>
    <w:bookmarkEnd w:id="51"/>
    <w:bookmarkStart w:id="55" w:name="примечания-к-основным-методам"/>
    <w:p>
      <w:pPr>
        <w:pStyle w:val="Heading3"/>
      </w:pPr>
      <w:r>
        <w:t xml:space="preserve">Примечания к основным методам</w:t>
      </w:r>
    </w:p>
    <w:p>
      <w:pPr>
        <w:pStyle w:val="FirstParagraph"/>
      </w:pPr>
      <w:r>
        <w:rPr>
          <w:b/>
          <w:bCs/>
        </w:rPr>
        <w:t xml:space="preserve">Relief-from-Royalty.</w:t>
      </w:r>
      <w:r>
        <w:t xml:space="preserve"> </w:t>
      </w:r>
      <w:r>
        <w:t xml:space="preserve">Упрощённая концептуальная формула: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t>R</m:t>
              </m:r>
              <m:r>
                <m:t>F</m:t>
              </m:r>
              <m:r>
                <m:t>R</m:t>
              </m:r>
            </m:sub>
          </m:sSub>
          <m:r>
            <m:rPr>
              <m:sty m:val="p"/>
            </m:rPr>
            <m:t>=</m:t>
          </m:r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t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f>
                <m:fPr>
                  <m:type m:val="bar"/>
                </m:fPr>
                <m:num>
                  <m:r>
                    <m:t>R</m:t>
                  </m:r>
                  <m:r>
                    <m:t>e</m:t>
                  </m:r>
                  <m:r>
                    <m:t>v</m:t>
                  </m:r>
                  <m:r>
                    <m:t>e</m:t>
                  </m:r>
                  <m:r>
                    <m:t>n</m:t>
                  </m:r>
                  <m:r>
                    <m:t>u</m:t>
                  </m:r>
                  <m:sSub>
                    <m:e>
                      <m:r>
                        <m:t>e</m:t>
                      </m:r>
                    </m:e>
                    <m:sub>
                      <m:r>
                        <m:t>t</m:t>
                      </m:r>
                    </m:sub>
                  </m:sSub>
                  <m:r>
                    <m:rPr>
                      <m:sty m:val="p"/>
                    </m:rPr>
                    <m:t>×</m:t>
                  </m:r>
                  <m:r>
                    <m:t>R</m:t>
                  </m:r>
                  <m:r>
                    <m:t>o</m:t>
                  </m:r>
                  <m:r>
                    <m:t>y</m:t>
                  </m:r>
                  <m:r>
                    <m:t>a</m:t>
                  </m:r>
                  <m:r>
                    <m:t>l</m:t>
                  </m:r>
                  <m:r>
                    <m:t>t</m:t>
                  </m:r>
                  <m:r>
                    <m:t>y</m:t>
                  </m:r>
                  <m:r>
                    <m:t>R</m:t>
                  </m:r>
                  <m:r>
                    <m:t>a</m:t>
                  </m:r>
                  <m:r>
                    <m:t>t</m:t>
                  </m:r>
                  <m:sSub>
                    <m:e>
                      <m:r>
                        <m:t>e</m:t>
                      </m:r>
                    </m:e>
                    <m:sub>
                      <m:r>
                        <m:t>t</m:t>
                      </m:r>
                    </m:sub>
                  </m:sSub>
                  <m:r>
                    <m:rPr>
                      <m:sty m:val="p"/>
                    </m:rPr>
                    <m:t>×</m:t>
                  </m:r>
                  <m:r>
                    <m:rPr>
                      <m:sty m:val="p"/>
                    </m:rPr>
                    <m:t>(</m:t>
                  </m:r>
                  <m:r>
                    <m:t>1</m:t>
                  </m:r>
                  <m:r>
                    <m:rPr>
                      <m:sty m:val="p"/>
                    </m:rPr>
                    <m:t>−</m:t>
                  </m:r>
                  <m:r>
                    <m:t>T</m:t>
                  </m:r>
                  <m:r>
                    <m:rPr>
                      <m:sty m:val="p"/>
                    </m:rPr>
                    <m:t>)</m:t>
                  </m:r>
                </m:num>
                <m:den>
                  <m:r>
                    <m:rPr>
                      <m:sty m:val="p"/>
                    </m:rPr>
                    <m:t>(</m:t>
                  </m:r>
                  <m:r>
                    <m:t>1</m:t>
                  </m:r>
                  <m:r>
                    <m:rPr>
                      <m:sty m:val="p"/>
                    </m:rPr>
                    <m:t>+</m:t>
                  </m:r>
                  <m:r>
                    <m:t>r</m:t>
                  </m:r>
                  <m:sSup>
                    <m:e>
                      <m:r>
                        <m:rPr>
                          <m:sty m:val="p"/>
                        </m:rPr>
                        <m:t>)</m:t>
                      </m:r>
                    </m:e>
                    <m:sup>
                      <m:r>
                        <m:t>t</m:t>
                      </m:r>
                    </m:sup>
                  </m:sSup>
                </m:den>
              </m:f>
            </m:e>
          </m:nary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T</m:t>
              </m:r>
              <m:r>
                <m:t>V</m:t>
              </m:r>
            </m:num>
            <m:den>
              <m:r>
                <m:rPr>
                  <m:sty m:val="p"/>
                </m:rPr>
                <m:t>(</m:t>
              </m:r>
              <m:r>
                <m:t>1</m:t>
              </m:r>
              <m:r>
                <m:rPr>
                  <m:sty m:val="p"/>
                </m:rPr>
                <m:t>+</m:t>
              </m:r>
              <m:r>
                <m:t>r</m:t>
              </m:r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n</m:t>
                  </m:r>
                </m:sup>
              </m:sSup>
            </m:den>
          </m:f>
        </m:oMath>
      </m:oMathPara>
    </w:p>
    <w:p>
      <w:pPr>
        <w:pStyle w:val="FirstParagraph"/>
      </w:pPr>
      <w:r>
        <w:t xml:space="preserve">где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— применимый налоговый эффект,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— ставка дисконтирования, а terminal value допустима только там, где она совместима с экономическим сроком актива. Метод рассматривает стоимость как приведённую стоимость гипотетических royalty payments, которых собственник избегает благодаря владению объектом.</w:t>
      </w:r>
      <w:r>
        <w:t xml:space="preserve"> </w:t>
      </w:r>
      <w:hyperlink r:id="rId52">
        <w:r>
          <w:rPr>
            <w:rStyle w:val="Hyperlink"/>
          </w:rPr>
          <w:t xml:space="preserve">[36]</w:t>
        </w:r>
      </w:hyperlink>
    </w:p>
    <w:p>
      <w:pPr>
        <w:pStyle w:val="BodyText"/>
      </w:pPr>
      <w:r>
        <w:t xml:space="preserve">Критические assumptions: forecast revenue, royalty benchmark, юридическая территория права, remaining useful life, ставка налога, discount rate, конкурентное устаревание.</w:t>
      </w:r>
    </w:p>
    <w:p>
      <w:pPr>
        <w:pStyle w:val="BodyText"/>
      </w:pPr>
      <w:r>
        <w:rPr>
          <w:b/>
          <w:bCs/>
        </w:rPr>
        <w:t xml:space="preserve">MPEEM.</w:t>
      </w:r>
    </w:p>
    <w:p>
      <w:pPr>
        <w:pStyle w:val="BodyText"/>
      </w:pPr>
      <m:oMathPara>
        <m:oMathParaPr>
          <m:jc m:val="center"/>
        </m:oMathParaPr>
        <m:oMath>
          <m:r>
            <m:t>V</m:t>
          </m:r>
          <m:r>
            <m:rPr>
              <m:sty m:val="p"/>
            </m:rPr>
            <m:t>=</m:t>
          </m:r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t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f>
                <m:fPr>
                  <m:type m:val="bar"/>
                </m:fPr>
                <m:num>
                  <m:r>
                    <m:t>C</m:t>
                  </m:r>
                  <m:sSub>
                    <m:e>
                      <m:r>
                        <m:t>F</m:t>
                      </m:r>
                    </m:e>
                    <m:sub>
                      <m:r>
                        <m:t>t</m:t>
                      </m:r>
                    </m:sub>
                  </m:sSub>
                  <m:r>
                    <m:rPr>
                      <m:sty m:val="p"/>
                    </m:rPr>
                    <m:t>−</m:t>
                  </m:r>
                  <m:r>
                    <m:t>C</m:t>
                  </m:r>
                  <m:r>
                    <m:t>A</m:t>
                  </m:r>
                  <m:sSub>
                    <m:e>
                      <m:r>
                        <m:t>C</m:t>
                      </m:r>
                    </m:e>
                    <m:sub>
                      <m:r>
                        <m:t>t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m:t>(</m:t>
                  </m:r>
                  <m:r>
                    <m:t>1</m:t>
                  </m:r>
                  <m:r>
                    <m:rPr>
                      <m:sty m:val="p"/>
                    </m:rPr>
                    <m:t>+</m:t>
                  </m:r>
                  <m:r>
                    <m:t>r</m:t>
                  </m:r>
                  <m:sSup>
                    <m:e>
                      <m:r>
                        <m:rPr>
                          <m:sty m:val="p"/>
                        </m:rPr>
                        <m:t>)</m:t>
                      </m:r>
                    </m:e>
                    <m:sup>
                      <m:r>
                        <m:t>t</m:t>
                      </m:r>
                    </m:sup>
                  </m:sSup>
                </m:den>
              </m:f>
            </m:e>
          </m:nary>
        </m:oMath>
      </m:oMathPara>
    </w:p>
    <w:p>
      <w:pPr>
        <w:pStyle w:val="FirstParagraph"/>
      </w:pPr>
      <w:r>
        <w:t xml:space="preserve">где</w:t>
      </w:r>
      <w:r>
        <w:t xml:space="preserve"> </w:t>
      </w:r>
      <m:oMath>
        <m:r>
          <m:t>C</m:t>
        </m:r>
        <m:r>
          <m:t>A</m:t>
        </m:r>
        <m:sSub>
          <m:e>
            <m:r>
              <m:t>C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— contributory asset charges за использование других ресурсов, без которых оцениваемый НМА не создавал бы cash flow.</w:t>
      </w:r>
    </w:p>
    <w:p>
      <w:pPr>
        <w:pStyle w:val="BodyText"/>
      </w:pPr>
      <w:r>
        <w:t xml:space="preserve">Ключевой риск — неправильно отнести избыточно большую часть доходности на один intangible asset либо дважды учесть выгоды в нескольких активах. Именно поэтому MPEEM наиболее уместен для одного доминирующего доходообразующего актива, а не одновременно для нескольких взаимозависимых НМА. Практика PPA Big Four применяет MPEEM, в частности, к customer relationships, технологиям и IPR&amp;D.</w:t>
      </w:r>
      <w:r>
        <w:t xml:space="preserve"> </w:t>
      </w:r>
      <w:hyperlink r:id="rId53">
        <w:r>
          <w:rPr>
            <w:rStyle w:val="Hyperlink"/>
          </w:rPr>
          <w:t xml:space="preserve">[37]</w:t>
        </w:r>
      </w:hyperlink>
    </w:p>
    <w:p>
      <w:pPr>
        <w:pStyle w:val="BodyText"/>
      </w:pPr>
      <w:r>
        <w:rPr>
          <w:b/>
          <w:bCs/>
        </w:rPr>
        <w:t xml:space="preserve">With-and-Without.</w:t>
      </w:r>
    </w:p>
    <w:p>
      <w:pPr>
        <w:pStyle w:val="BodyText"/>
      </w:pPr>
      <m:oMathPara>
        <m:oMathParaPr>
          <m:jc m:val="center"/>
        </m:oMathParaPr>
        <m:oMath>
          <m:r>
            <m:t>V</m:t>
          </m:r>
          <m:r>
            <m:rPr>
              <m:sty m:val="p"/>
            </m:rPr>
            <m:t>=</m:t>
          </m:r>
          <m:r>
            <m:t>P</m:t>
          </m:r>
          <m:r>
            <m:t>V</m:t>
          </m:r>
          <m:r>
            <m:rPr>
              <m:sty m:val="p"/>
            </m:rPr>
            <m:t>(</m:t>
          </m:r>
          <m:r>
            <m:t>C</m:t>
          </m:r>
          <m:sSub>
            <m:e>
              <m:r>
                <m:t>F</m:t>
              </m:r>
            </m:e>
            <m:sub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−</m:t>
          </m:r>
          <m:r>
            <m:t>P</m:t>
          </m:r>
          <m:r>
            <m:t>V</m:t>
          </m:r>
          <m:r>
            <m:rPr>
              <m:sty m:val="p"/>
            </m:rPr>
            <m:t>(</m:t>
          </m:r>
          <m:r>
            <m:t>C</m:t>
          </m:r>
          <m:sSub>
            <m:e>
              <m:r>
                <m:t>F</m:t>
              </m:r>
            </m:e>
            <m:sub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o</m:t>
              </m:r>
              <m:r>
                <m:t>u</m:t>
              </m:r>
              <m:r>
                <m:t>t</m:t>
              </m:r>
            </m:sub>
          </m:sSub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Метод требует построить реалистичный контрфактический сценарий. При оценке non-compete, лицензии или customer relationship нужно моделировать не «исчезновение всей компании», а именно экономическое последствие отсутствия конкретного права.</w:t>
      </w:r>
    </w:p>
    <w:p>
      <w:pPr>
        <w:pStyle w:val="BodyText"/>
      </w:pPr>
      <w:r>
        <w:rPr>
          <w:b/>
          <w:bCs/>
        </w:rPr>
        <w:t xml:space="preserve">Cost Approach.</w:t>
      </w:r>
      <w:r>
        <w:t xml:space="preserve"> </w:t>
      </w:r>
      <w:r>
        <w:t xml:space="preserve">Для ПО IFRS 13 иллюстрирует логику current replacement cost: сколько сегодня заплатил бы market participant за создание substitute asset comparable utility с поправкой на functional/economic obsolescence.</w:t>
      </w:r>
      <w:r>
        <w:t xml:space="preserve"> </w:t>
      </w:r>
      <w:hyperlink r:id="rId54">
        <w:r>
          <w:rPr>
            <w:rStyle w:val="Hyperlink"/>
          </w:rPr>
          <w:t xml:space="preserve">[38]</w:t>
        </w:r>
      </w:hyperlink>
    </w:p>
    <w:p>
      <w:pPr>
        <w:pStyle w:val="BodyText"/>
      </w:pPr>
      <w:r>
        <w:t xml:space="preserve">Именно поэтому затратный подход особенно полезен для инфраструктурного ПО, datasets или библиотек, но значительно слабее для бренда: бренд стоимостью миллиарды может быть создан историческими расходами, которые сами по себе не объясняют будущую premium margin.</w:t>
      </w:r>
    </w:p>
    <w:bookmarkEnd w:id="55"/>
    <w:bookmarkStart w:id="57" w:name="бренды-и-iso-10668"/>
    <w:p>
      <w:pPr>
        <w:pStyle w:val="Heading3"/>
      </w:pPr>
      <w:r>
        <w:t xml:space="preserve">Бренды и ISO 10668</w:t>
      </w:r>
    </w:p>
    <w:p>
      <w:pPr>
        <w:pStyle w:val="FirstParagraph"/>
      </w:pPr>
      <w:r>
        <w:t xml:space="preserve">ISO 10668 задаёт рамку monetary brand valuation: цель оценки, basis, подходы, методы, качество данных и требования к отчёту. В 2026 году ISO также ведёт работу над обновлением соответствующей стандартизации, что отражает растущую значимость brand valuation.</w:t>
      </w:r>
      <w:r>
        <w:t xml:space="preserve"> </w:t>
      </w:r>
      <w:hyperlink r:id="rId56">
        <w:r>
          <w:rPr>
            <w:rStyle w:val="Hyperlink"/>
          </w:rPr>
          <w:t xml:space="preserve">[39]</w:t>
        </w:r>
      </w:hyperlink>
    </w:p>
    <w:bookmarkEnd w:id="57"/>
    <w:bookmarkStart w:id="58" w:name="useful-life-и-амортизация"/>
    <w:p>
      <w:pPr>
        <w:pStyle w:val="Heading3"/>
      </w:pPr>
      <w:r>
        <w:t xml:space="preserve">Useful life и амортизация</w:t>
      </w:r>
    </w:p>
    <w:p>
      <w:pPr>
        <w:pStyle w:val="FirstParagraph"/>
      </w:pPr>
      <w:r>
        <w:t xml:space="preserve">Экономический срок НМА определяется не только юридическим сроком охраны. Он должен учитывать технологический цикл, поведение клиентов, вероятность замещения, конкуренцию, maintenance expenditure, договорные ограничения и способность предприятия продолжать получать выгоды.</w:t>
      </w:r>
    </w:p>
    <w:p>
      <w:pPr>
        <w:pStyle w:val="BodyText"/>
      </w:pPr>
      <w:r>
        <w:t xml:space="preserve">Для быстро устаревающих алгоритмов или технологий экономический life может быть намного короче срока патента; напротив, товарный знак юридически можно продлевать многократно, что при соответствующих обстоятельствах может поддерживать indefinite-life assessment.</w:t>
      </w:r>
    </w:p>
    <w:p>
      <w:pPr>
        <w:pStyle w:val="BodyText"/>
      </w:pPr>
      <w:r>
        <w:t xml:space="preserve">В Microsoft после покупки Activision Blizzard окончательная PPA дала резко различающиеся сроки: marketing-related intangibles —</w:t>
      </w:r>
      <w:r>
        <w:t xml:space="preserve"> </w:t>
      </w:r>
      <w:r>
        <w:rPr>
          <w:b/>
          <w:bCs/>
        </w:rPr>
        <w:t xml:space="preserve">24 года</w:t>
      </w:r>
      <w:r>
        <w:t xml:space="preserve">, technology-based —</w:t>
      </w:r>
      <w:r>
        <w:t xml:space="preserve"> </w:t>
      </w:r>
      <w:r>
        <w:rPr>
          <w:b/>
          <w:bCs/>
        </w:rPr>
        <w:t xml:space="preserve">4 года</w:t>
      </w:r>
      <w:r>
        <w:t xml:space="preserve">, customer-related —</w:t>
      </w:r>
      <w:r>
        <w:t xml:space="preserve"> </w:t>
      </w:r>
      <w:r>
        <w:rPr>
          <w:b/>
          <w:bCs/>
        </w:rPr>
        <w:t xml:space="preserve">4 года</w:t>
      </w:r>
      <w:r>
        <w:t xml:space="preserve">. Это наглядный пример того, почему единый «нормативный срок НМА» экономически некорректен.</w:t>
      </w:r>
      <w:r>
        <w:t xml:space="preserve"> </w:t>
      </w:r>
      <w:hyperlink r:id="rId16">
        <w:r>
          <w:rPr>
            <w:rStyle w:val="Hyperlink"/>
          </w:rPr>
          <w:t xml:space="preserve">[40]</w:t>
        </w:r>
      </w:hyperlink>
    </w:p>
    <w:bookmarkEnd w:id="58"/>
    <w:bookmarkStart w:id="60" w:name="обесценение-как-зона-оценочного-риска"/>
    <w:p>
      <w:pPr>
        <w:pStyle w:val="Heading3"/>
      </w:pPr>
      <w:r>
        <w:t xml:space="preserve">Обесценение как зона оценочного риска</w:t>
      </w:r>
    </w:p>
    <w:p>
      <w:pPr>
        <w:pStyle w:val="FirstParagraph"/>
      </w:pPr>
      <w:r>
        <w:t xml:space="preserve">Impairment особенно чувствителен к:</w:t>
      </w:r>
    </w:p>
    <w:p>
      <w:pPr>
        <w:pStyle w:val="Compact"/>
        <w:numPr>
          <w:ilvl w:val="0"/>
          <w:numId w:val="1001"/>
        </w:numPr>
      </w:pPr>
      <w:r>
        <w:t xml:space="preserve">forecasts выручки и margins;</w:t>
      </w:r>
    </w:p>
    <w:p>
      <w:pPr>
        <w:pStyle w:val="Compact"/>
        <w:numPr>
          <w:ilvl w:val="0"/>
          <w:numId w:val="1001"/>
        </w:numPr>
      </w:pPr>
      <w:r>
        <w:t xml:space="preserve">discount rate/WACC;</w:t>
      </w:r>
    </w:p>
    <w:p>
      <w:pPr>
        <w:pStyle w:val="Compact"/>
        <w:numPr>
          <w:ilvl w:val="0"/>
          <w:numId w:val="1001"/>
        </w:numPr>
      </w:pPr>
      <w:r>
        <w:t xml:space="preserve">долгосрочному growth rate;</w:t>
      </w:r>
    </w:p>
    <w:p>
      <w:pPr>
        <w:pStyle w:val="Compact"/>
        <w:numPr>
          <w:ilvl w:val="0"/>
          <w:numId w:val="1001"/>
        </w:numPr>
      </w:pPr>
      <w:r>
        <w:t xml:space="preserve">вероятностям успешной разработки;</w:t>
      </w:r>
    </w:p>
    <w:p>
      <w:pPr>
        <w:pStyle w:val="Compact"/>
        <w:numPr>
          <w:ilvl w:val="0"/>
          <w:numId w:val="1001"/>
        </w:numPr>
      </w:pPr>
      <w:r>
        <w:t xml:space="preserve">срокам regulatory approval;</w:t>
      </w:r>
    </w:p>
    <w:p>
      <w:pPr>
        <w:pStyle w:val="Compact"/>
        <w:numPr>
          <w:ilvl w:val="0"/>
          <w:numId w:val="1001"/>
        </w:numPr>
      </w:pPr>
      <w:r>
        <w:t xml:space="preserve">market share и churn;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технологическому замещению;</w:t>
      </w:r>
    </w:p>
    <w:p>
      <w:pPr>
        <w:pStyle w:val="Compact"/>
        <w:numPr>
          <w:ilvl w:val="0"/>
          <w:numId w:val="1001"/>
        </w:numPr>
      </w:pPr>
      <w:r>
        <w:t xml:space="preserve">royalty rates и useful lives.</w:t>
      </w:r>
    </w:p>
    <w:p>
      <w:pPr>
        <w:pStyle w:val="FirstParagraph"/>
      </w:pPr>
      <w:r>
        <w:t xml:space="preserve">У Pfizer, например, impairment НМА за 2023 год включал около</w:t>
      </w:r>
      <w:r>
        <w:t xml:space="preserve"> </w:t>
      </w:r>
      <w:r>
        <w:rPr>
          <w:b/>
          <w:bCs/>
        </w:rPr>
        <w:t xml:space="preserve">$2,8 млрд</w:t>
      </w:r>
      <w:r>
        <w:t xml:space="preserve">, в том числе $1,4 млрд по IPR&amp;D etrasimod и $964 млн по developed technology rights Prevnar 13; причины включали изменения development plans, revenue expectations, transition к вакцинам с более широким покрытием и competitive pressures.</w:t>
      </w:r>
      <w:r>
        <w:t xml:space="preserve"> </w:t>
      </w:r>
      <w:hyperlink r:id="rId59">
        <w:r>
          <w:rPr>
            <w:rStyle w:val="Hyperlink"/>
          </w:rPr>
          <w:t xml:space="preserve">[41]</w:t>
        </w:r>
      </w:hyperlink>
    </w:p>
    <w:bookmarkEnd w:id="60"/>
    <w:bookmarkStart w:id="61" w:name="раскрытие"/>
    <w:p>
      <w:pPr>
        <w:pStyle w:val="Heading3"/>
      </w:pPr>
      <w:r>
        <w:t xml:space="preserve">Раскрытие</w:t>
      </w:r>
    </w:p>
    <w:p>
      <w:pPr>
        <w:pStyle w:val="FirstParagraph"/>
      </w:pPr>
      <w:r>
        <w:t xml:space="preserve">Хорошее раскрытие НМА должно отвечать не только на вопрос</w:t>
      </w:r>
      <w:r>
        <w:t xml:space="preserve"> </w:t>
      </w:r>
      <w:r>
        <w:rPr>
          <w:b/>
          <w:bCs/>
        </w:rPr>
        <w:t xml:space="preserve">«сколько стоит актив на балансе?»</w:t>
      </w:r>
      <w:r>
        <w:t xml:space="preserve">, но минимум на пять вопросов:</w:t>
      </w:r>
    </w:p>
    <w:p>
      <w:pPr>
        <w:pStyle w:val="BodyText"/>
      </w:pPr>
      <w:r>
        <w:rPr>
          <w:b/>
          <w:bCs/>
        </w:rPr>
        <w:t xml:space="preserve">что это за ресурс → почему он контролируется → как сформирована стоимость → сколько продлится экономическая жизнь → какие assumptions могут вызвать impairment.</w:t>
      </w:r>
    </w:p>
    <w:p>
      <w:pPr>
        <w:pStyle w:val="BodyText"/>
      </w:pPr>
      <w:r>
        <w:t xml:space="preserve">Для государственных корпораций целесообразно идти дальше минимальных требований бухгалтерских стандартов и раскрывать управленчески значимые данные о</w:t>
      </w:r>
      <w:r>
        <w:t xml:space="preserve"> </w:t>
      </w:r>
      <w:r>
        <w:rPr>
          <w:b/>
          <w:bCs/>
        </w:rPr>
        <w:t xml:space="preserve">патентных семьях, технологиях, ПО, data assets, critical know-how, сроках правовой охраны, monetization models, лицензировании, зависимости от ключевых специалистов и cybersecurity</w:t>
      </w:r>
      <w:r>
        <w:t xml:space="preserve"> </w:t>
      </w:r>
      <w:r>
        <w:t xml:space="preserve">— при условии режима государственной, коммерческой и технологической тайны.</w:t>
      </w:r>
    </w:p>
    <w:bookmarkEnd w:id="61"/>
    <w:bookmarkEnd w:id="62"/>
    <w:bookmarkStart w:id="73" w:name="Xf06f7781bfce07663000471c8d21bda98e8c6bb"/>
    <w:p>
      <w:pPr>
        <w:pStyle w:val="Heading2"/>
      </w:pPr>
      <w:r>
        <w:t xml:space="preserve">Корпоративная практика, отрасли и влияние на M&amp;A</w:t>
      </w:r>
    </w:p>
    <w:bookmarkStart w:id="63" w:name="кейсы-транснациональных-компаний"/>
    <w:p>
      <w:pPr>
        <w:pStyle w:val="Heading3"/>
      </w:pPr>
      <w:r>
        <w:t xml:space="preserve">Кейсы транснациональных компаний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Компания / кейс</w:t>
            </w:r>
          </w:p>
        </w:tc>
        <w:tc>
          <w:tcPr/>
          <w:p>
            <w:pPr>
              <w:pStyle w:val="Compact"/>
            </w:pPr>
            <w:r>
              <w:t xml:space="preserve">НМА и событие</w:t>
            </w:r>
          </w:p>
        </w:tc>
        <w:tc>
          <w:tcPr/>
          <w:p>
            <w:pPr>
              <w:pStyle w:val="Compact"/>
            </w:pPr>
            <w:r>
              <w:t xml:space="preserve">Метод / модель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 кейс</w:t>
            </w:r>
          </w:p>
        </w:tc>
        <w:tc>
          <w:tcPr/>
          <w:p>
            <w:pPr>
              <w:pStyle w:val="Compact"/>
            </w:pPr>
            <w:r>
              <w:t xml:space="preserve">Основная проблема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Microsoft — Activision Blizzard</w:t>
            </w:r>
          </w:p>
        </w:tc>
        <w:tc>
          <w:tcPr/>
          <w:p>
            <w:pPr>
              <w:pStyle w:val="Compact"/>
            </w:pPr>
            <w:r>
              <w:t xml:space="preserve">purchase price $75,408 млрд; $21,969 млрд identifiable intangibles; $51,001 млрд goodwill</w:t>
            </w:r>
          </w:p>
        </w:tc>
        <w:tc>
          <w:tcPr/>
          <w:p>
            <w:pPr>
              <w:pStyle w:val="Compact"/>
            </w:pPr>
            <w:r>
              <w:t xml:space="preserve">acquisition-date fair-value PPA; последующий goodwill test Microsoft использует DCF с risk-adjusted WACC</w:t>
            </w:r>
          </w:p>
        </w:tc>
        <w:tc>
          <w:tcPr/>
          <w:p>
            <w:pPr>
              <w:pStyle w:val="Compact"/>
            </w:pPr>
            <w:r>
              <w:t xml:space="preserve">огромная часть цены технологической сделки существует как НМА и goodwill</w:t>
            </w:r>
          </w:p>
        </w:tc>
        <w:tc>
          <w:tcPr/>
          <w:p>
            <w:pPr>
              <w:pStyle w:val="Compact"/>
            </w:pPr>
            <w:r>
              <w:t xml:space="preserve">отделение brand/technology/customer value от synergies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Microsoft — последующий учёт</w:t>
            </w:r>
          </w:p>
        </w:tc>
        <w:tc>
          <w:tcPr/>
          <w:p>
            <w:pPr>
              <w:pStyle w:val="Compact"/>
            </w:pPr>
            <w:r>
              <w:t xml:space="preserve">Activision: marketing $11,619 млрд / 24 года; technology $9,689 млрд / 4 года; customer $0,661 млрд / 4 года</w:t>
            </w:r>
          </w:p>
        </w:tc>
        <w:tc>
          <w:tcPr/>
          <w:p>
            <w:pPr>
              <w:pStyle w:val="Compact"/>
            </w:pPr>
            <w:r>
              <w:t xml:space="preserve">useful-life amortization; goodwill impairment DCF</w:t>
            </w:r>
          </w:p>
        </w:tc>
        <w:tc>
          <w:tcPr/>
          <w:p>
            <w:pPr>
              <w:pStyle w:val="Compact"/>
            </w:pPr>
            <w:r>
              <w:t xml:space="preserve">экономический life разных НМА радикально различается</w:t>
            </w:r>
          </w:p>
        </w:tc>
        <w:tc>
          <w:tcPr/>
          <w:p>
            <w:pPr>
              <w:pStyle w:val="Compact"/>
            </w:pPr>
            <w:r>
              <w:t xml:space="preserve">forecast и технологическое устаревание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Pfizer</w:t>
            </w:r>
          </w:p>
        </w:tc>
        <w:tc>
          <w:tcPr/>
          <w:p>
            <w:pPr>
              <w:pStyle w:val="Compact"/>
            </w:pPr>
            <w:r>
              <w:t xml:space="preserve">$2,8 млрд impairment НМА за 2023 г., включая IPR&amp;D и developed technology</w:t>
            </w:r>
          </w:p>
        </w:tc>
        <w:tc>
          <w:tcPr/>
          <w:p>
            <w:pPr>
              <w:pStyle w:val="Compact"/>
            </w:pPr>
            <w:r>
              <w:t xml:space="preserve">income/DCF; в практике Pfizer для ряда НМА используется MPEEM</w:t>
            </w:r>
          </w:p>
        </w:tc>
        <w:tc>
          <w:tcPr/>
          <w:p>
            <w:pPr>
              <w:pStyle w:val="Compact"/>
            </w:pPr>
            <w:r>
              <w:t xml:space="preserve">стоимость лекарства зависит от клинической, конкурентной и коммерческой вероятности</w:t>
            </w:r>
          </w:p>
        </w:tc>
        <w:tc>
          <w:tcPr/>
          <w:p>
            <w:pPr>
              <w:pStyle w:val="Compact"/>
            </w:pPr>
            <w:r>
              <w:t xml:space="preserve">бинарные/вероятностные исходы R&amp;D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Disney / TFCF и media assets</w:t>
            </w:r>
          </w:p>
        </w:tc>
        <w:tc>
          <w:tcPr/>
          <w:p>
            <w:pPr>
              <w:pStyle w:val="Compact"/>
            </w:pPr>
            <w:r>
              <w:t xml:space="preserve">в fiscal 2020 около $5 млрд goodwill/intangible impairments, частично вследствие COVID-19</w:t>
            </w:r>
          </w:p>
        </w:tc>
        <w:tc>
          <w:tcPr/>
          <w:p>
            <w:pPr>
              <w:pStyle w:val="Compact"/>
            </w:pPr>
            <w:r>
              <w:t xml:space="preserve">impairment models, forecast cash flows</w:t>
            </w:r>
          </w:p>
        </w:tc>
        <w:tc>
          <w:tcPr/>
          <w:p>
            <w:pPr>
              <w:pStyle w:val="Compact"/>
            </w:pPr>
            <w:r>
              <w:t xml:space="preserve">стоимость media brands, channels и rights чувствительна к структурному изменению аудитории</w:t>
            </w:r>
          </w:p>
        </w:tc>
        <w:tc>
          <w:tcPr/>
          <w:p>
            <w:pPr>
              <w:pStyle w:val="Compact"/>
            </w:pPr>
            <w:r>
              <w:t xml:space="preserve">streaming disruption, content economics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Disney — современный портфель</w:t>
            </w:r>
          </w:p>
        </w:tc>
        <w:tc>
          <w:tcPr/>
          <w:p>
            <w:pPr>
              <w:pStyle w:val="Compact"/>
            </w:pPr>
            <w:r>
              <w:t xml:space="preserve">в fiscal 2024 $1,3 млрд goodwill impairment по entertainment linear networks</w:t>
            </w:r>
          </w:p>
        </w:tc>
        <w:tc>
          <w:tcPr/>
          <w:p>
            <w:pPr>
              <w:pStyle w:val="Compact"/>
            </w:pPr>
            <w:r>
              <w:t xml:space="preserve">impairment testing</w:t>
            </w:r>
          </w:p>
        </w:tc>
        <w:tc>
          <w:tcPr/>
          <w:p>
            <w:pPr>
              <w:pStyle w:val="Compact"/>
            </w:pPr>
            <w:r>
              <w:t xml:space="preserve">устаревание бизнес-модели может разрушать НМА без физического износа</w:t>
            </w:r>
          </w:p>
        </w:tc>
        <w:tc>
          <w:tcPr/>
          <w:p>
            <w:pPr>
              <w:pStyle w:val="Compact"/>
            </w:pPr>
            <w:r>
              <w:t xml:space="preserve">secular decline linear TV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BP / энергетический сектор</w:t>
            </w:r>
          </w:p>
        </w:tc>
        <w:tc>
          <w:tcPr/>
          <w:p>
            <w:pPr>
              <w:pStyle w:val="Compact"/>
            </w:pPr>
            <w:r>
              <w:t xml:space="preserve">E&amp;E rights, licences, software, patents и иные права взаимодействуют с IFRS 6/IAS 38</w:t>
            </w:r>
          </w:p>
        </w:tc>
        <w:tc>
          <w:tcPr/>
          <w:p>
            <w:pPr>
              <w:pStyle w:val="Compact"/>
            </w:pPr>
            <w:r>
              <w:t xml:space="preserve">historical cost/impairment; fair value при M&amp;A</w:t>
            </w:r>
          </w:p>
        </w:tc>
        <w:tc>
          <w:tcPr/>
          <w:p>
            <w:pPr>
              <w:pStyle w:val="Compact"/>
            </w:pPr>
            <w:r>
              <w:t xml:space="preserve">энергетический НМА часто является правом доступа к ресурсу или технологии, а не только патентом</w:t>
            </w:r>
          </w:p>
        </w:tc>
        <w:tc>
          <w:tcPr/>
          <w:p>
            <w:pPr>
              <w:pStyle w:val="Compact"/>
            </w:pPr>
            <w:r>
              <w:t xml:space="preserve">резервный потенциал, лицензия, регуляторные условия и commodity prices</w:t>
            </w:r>
          </w:p>
        </w:tc>
      </w:tr>
    </w:tbl>
    <w:p>
      <w:pPr>
        <w:pStyle w:val="BodyText"/>
      </w:pPr>
      <w:r>
        <w:t xml:space="preserve">Источники по Microsoft, Pfizer, Disney и отраслевой модели extractive industries.</w:t>
      </w:r>
      <w:r>
        <w:t xml:space="preserve"> </w:t>
      </w:r>
      <w:hyperlink r:id="rId16">
        <w:r>
          <w:rPr>
            <w:rStyle w:val="Hyperlink"/>
          </w:rPr>
          <w:t xml:space="preserve">[42]</w:t>
        </w:r>
      </w:hyperlink>
    </w:p>
    <w:p>
      <w:pPr>
        <w:pStyle w:val="BodyText"/>
      </w:pPr>
      <w:r>
        <w:t xml:space="preserve">Microsoft также показывает прямое влияние PPA на последующую прибыль: amortization intangible assets в fiscal 2025 составила</w:t>
      </w:r>
      <w:r>
        <w:t xml:space="preserve"> </w:t>
      </w:r>
      <w:r>
        <w:rPr>
          <w:b/>
          <w:bCs/>
        </w:rPr>
        <w:t xml:space="preserve">$6,0 млрд</w:t>
      </w:r>
      <w:r>
        <w:t xml:space="preserve">, против $4,8 млрд в 2024 и $2,5 млрд в 2023. Это означает, что распределение purchase price между амортизируемыми НМА и goodwill непосредственно меняет post-deal earnings profile.</w:t>
      </w:r>
      <w:r>
        <w:t xml:space="preserve"> </w:t>
      </w:r>
      <w:hyperlink r:id="rId16">
        <w:r>
          <w:rPr>
            <w:rStyle w:val="Hyperlink"/>
          </w:rPr>
          <w:t xml:space="preserve">[43]</w:t>
        </w:r>
      </w:hyperlink>
    </w:p>
    <w:p>
      <w:pPr>
        <w:pStyle w:val="BodyText"/>
      </w:pPr>
      <w:r>
        <w:t xml:space="preserve">Goodwill по Activision составил $51,001 млрд и, по объяснению Microsoft, был главным образом связан с ожидаемыми integration synergies; практически весь этот goodwill компания считала не подлежащим налоговому вычету. Это наглядно показывает, что goodwill — не просто «плохая детализация стоимости», а остаток, который включает синергетические эффекты, не являющиеся отдельно идентифицируемым НМА.</w:t>
      </w:r>
      <w:r>
        <w:t xml:space="preserve"> </w:t>
      </w:r>
      <w:hyperlink r:id="rId16">
        <w:r>
          <w:rPr>
            <w:rStyle w:val="Hyperlink"/>
          </w:rPr>
          <w:t xml:space="preserve">[44]</w:t>
        </w:r>
      </w:hyperlink>
    </w:p>
    <w:bookmarkEnd w:id="63"/>
    <w:bookmarkStart w:id="65" w:name="технологический-сектор"/>
    <w:p>
      <w:pPr>
        <w:pStyle w:val="Heading3"/>
      </w:pPr>
      <w:r>
        <w:t xml:space="preserve">Технологический сектор</w:t>
      </w:r>
    </w:p>
    <w:p>
      <w:pPr>
        <w:pStyle w:val="FirstParagraph"/>
      </w:pPr>
      <w:r>
        <w:t xml:space="preserve">Здесь доминируют:</w:t>
      </w:r>
    </w:p>
    <w:p>
      <w:pPr>
        <w:pStyle w:val="BodyText"/>
      </w:pPr>
      <w:r>
        <w:t xml:space="preserve">ПО и алгоритмы; базы данных; patents; trained models и model-related know-how; developer ecosystems; customer relations; cloud/SaaS contractual rights; brand; organisational know-how.</w:t>
      </w:r>
    </w:p>
    <w:p>
      <w:pPr>
        <w:pStyle w:val="BodyText"/>
      </w:pPr>
      <w:r>
        <w:t xml:space="preserve">Главная бухгалтерская проблема —</w:t>
      </w:r>
      <w:r>
        <w:t xml:space="preserve"> </w:t>
      </w:r>
      <w:r>
        <w:rPr>
          <w:b/>
          <w:bCs/>
        </w:rPr>
        <w:t xml:space="preserve">разрыв между созданием стоимости и капитализацией</w:t>
      </w:r>
      <w:r>
        <w:t xml:space="preserve">. Огромные расходы на разработчиков и исследования могут сразу уменьшать прибыль, тогда как приобретение аналогичной технологии через M&amp;A создаёт identifiable intangible asset. FASB и IASB поэтому оба продолжают работу над software/intangibles; IASB специально рассматривает agile development, cloud/SaaS, AI и data как test cases современности.</w:t>
      </w:r>
      <w:r>
        <w:t xml:space="preserve"> </w:t>
      </w:r>
      <w:hyperlink r:id="rId64">
        <w:r>
          <w:rPr>
            <w:rStyle w:val="Hyperlink"/>
          </w:rPr>
          <w:t xml:space="preserve">[45]</w:t>
        </w:r>
      </w:hyperlink>
    </w:p>
    <w:p>
      <w:pPr>
        <w:pStyle w:val="BodyText"/>
      </w:pPr>
      <w:r>
        <w:t xml:space="preserve">Для государства это означает: баланс государственной IT-компании</w:t>
      </w:r>
      <w:r>
        <w:t xml:space="preserve"> </w:t>
      </w:r>
      <w:r>
        <w:rPr>
          <w:b/>
          <w:bCs/>
        </w:rPr>
        <w:t xml:space="preserve">не может быть единственным источником оценки её технологического капитала</w:t>
      </w:r>
      <w:r>
        <w:t xml:space="preserve">.</w:t>
      </w:r>
    </w:p>
    <w:bookmarkEnd w:id="65"/>
    <w:bookmarkStart w:id="66" w:name="фармацевтика-и-биотехнологии"/>
    <w:p>
      <w:pPr>
        <w:pStyle w:val="Heading3"/>
      </w:pPr>
      <w:r>
        <w:t xml:space="preserve">Фармацевтика и биотехнологии</w:t>
      </w:r>
    </w:p>
    <w:p>
      <w:pPr>
        <w:pStyle w:val="FirstParagraph"/>
      </w:pPr>
      <w:r>
        <w:t xml:space="preserve">Критические НМА: patents, compound rights, licenses, IPR&amp;D, regulatory dossiers, developed technology, trademarks.</w:t>
      </w:r>
    </w:p>
    <w:p>
      <w:pPr>
        <w:pStyle w:val="BodyText"/>
      </w:pPr>
      <w:r>
        <w:t xml:space="preserve">Уникальная особенность —</w:t>
      </w:r>
      <w:r>
        <w:t xml:space="preserve"> </w:t>
      </w:r>
      <w:r>
        <w:rPr>
          <w:b/>
          <w:bCs/>
        </w:rPr>
        <w:t xml:space="preserve">опционная и вероятностная природа стоимости</w:t>
      </w:r>
      <w:r>
        <w:t xml:space="preserve">. Препарат до окончания испытаний может иметь огромную expected value, но эта стоимость определяется вероятностями перехода между фазами, сроком до запуска, patent exclusivity, pricing/reimbursement и competitive landscape.</w:t>
      </w:r>
    </w:p>
    <w:p>
      <w:pPr>
        <w:pStyle w:val="BodyText"/>
      </w:pPr>
      <w:r>
        <w:t xml:space="preserve">Кейс Pfizer демонстрирует эту волатильность: корректировка development plans и коммерческих прогнозов способна вызвать миллиардные impairment charges.</w:t>
      </w:r>
      <w:r>
        <w:t xml:space="preserve"> </w:t>
      </w:r>
      <w:hyperlink r:id="rId59">
        <w:r>
          <w:rPr>
            <w:rStyle w:val="Hyperlink"/>
          </w:rPr>
          <w:t xml:space="preserve">[41]</w:t>
        </w:r>
      </w:hyperlink>
    </w:p>
    <w:p>
      <w:pPr>
        <w:pStyle w:val="BodyText"/>
      </w:pPr>
      <w:r>
        <w:t xml:space="preserve">Для оценки фармацевтического IPR&amp;D поэтому полезнее probability-adjusted DCF/rNPV, чем механическая капитализация historical R&amp;D cost.</w:t>
      </w:r>
    </w:p>
    <w:bookmarkEnd w:id="66"/>
    <w:bookmarkStart w:id="68" w:name="медиа-и-entertainment"/>
    <w:p>
      <w:pPr>
        <w:pStyle w:val="Heading3"/>
      </w:pPr>
      <w:r>
        <w:t xml:space="preserve">Медиа и entertainment</w:t>
      </w:r>
    </w:p>
    <w:p>
      <w:pPr>
        <w:pStyle w:val="FirstParagraph"/>
      </w:pPr>
      <w:r>
        <w:t xml:space="preserve">Критические объекты: content libraries, copyrights, character franchises, brands, distribution rights, subscriber/customer relationships.</w:t>
      </w:r>
    </w:p>
    <w:p>
      <w:pPr>
        <w:pStyle w:val="BodyText"/>
      </w:pPr>
      <w:r>
        <w:t xml:space="preserve">Здесь основным риском является не физический износ, а</w:t>
      </w:r>
      <w:r>
        <w:t xml:space="preserve"> </w:t>
      </w:r>
      <w:r>
        <w:rPr>
          <w:b/>
          <w:bCs/>
        </w:rPr>
        <w:t xml:space="preserve">смена способа потребления</w:t>
      </w:r>
      <w:r>
        <w:t xml:space="preserve">. Disney уже фиксировал крупные impairment charges как во время COVID-19, так и позднее в linear entertainment.</w:t>
      </w:r>
      <w:r>
        <w:t xml:space="preserve"> </w:t>
      </w:r>
      <w:hyperlink r:id="rId67">
        <w:r>
          <w:rPr>
            <w:rStyle w:val="Hyperlink"/>
          </w:rPr>
          <w:t xml:space="preserve">[46]</w:t>
        </w:r>
      </w:hyperlink>
    </w:p>
    <w:p>
      <w:pPr>
        <w:pStyle w:val="BodyText"/>
      </w:pPr>
      <w:r>
        <w:t xml:space="preserve">Стоимость медийного актива поэтому должна связываться с активной аудиторией, engagement, retention, monetization per user, licensing potential и remaining economic relevance контента.</w:t>
      </w:r>
    </w:p>
    <w:bookmarkEnd w:id="68"/>
    <w:bookmarkStart w:id="70" w:name="энергетика"/>
    <w:p>
      <w:pPr>
        <w:pStyle w:val="Heading3"/>
      </w:pPr>
      <w:r>
        <w:t xml:space="preserve">Энергетика</w:t>
      </w:r>
    </w:p>
    <w:p>
      <w:pPr>
        <w:pStyle w:val="FirstParagraph"/>
      </w:pPr>
      <w:r>
        <w:t xml:space="preserve">В энергетике существенная часть нематериальной экономики распределена между несколькими стандартами: mineral/exploration rights, licences, concessions, seismic/geological data, patents, software, control algorithms, grid models, customer contracts, carbon-related rights.</w:t>
      </w:r>
    </w:p>
    <w:p>
      <w:pPr>
        <w:pStyle w:val="BodyText"/>
      </w:pPr>
      <w:r>
        <w:t xml:space="preserve">IFRS 6 специально регулирует exploration and evaluation expenditure; расходы уже на development mineral resources выходят из этого периметра и взаимодействуют с другими IFRS, включая IAS 38 в соответствующих случаях. Это делает энергетический сектор хорошим примером того, почему единый корпоративный реестр нематериального капитала должен быть</w:t>
      </w:r>
      <w:r>
        <w:t xml:space="preserve"> </w:t>
      </w:r>
      <w:r>
        <w:rPr>
          <w:b/>
          <w:bCs/>
        </w:rPr>
        <w:t xml:space="preserve">шире одной бухгалтерской строки «НМА»</w:t>
      </w:r>
      <w:r>
        <w:t xml:space="preserve">.</w:t>
      </w:r>
      <w:r>
        <w:t xml:space="preserve"> </w:t>
      </w:r>
      <w:hyperlink r:id="rId69">
        <w:r>
          <w:rPr>
            <w:rStyle w:val="Hyperlink"/>
          </w:rPr>
          <w:t xml:space="preserve">[47]</w:t>
        </w:r>
      </w:hyperlink>
    </w:p>
    <w:p>
      <w:pPr>
        <w:pStyle w:val="BodyText"/>
      </w:pPr>
      <w:r>
        <w:t xml:space="preserve">Для России это особенно существенно для геологических данных, лицензий недропользования, технологических моделей добычи, software, цифровых двойников месторождений, proprietary process know-how и результатов НИОКР.</w:t>
      </w:r>
    </w:p>
    <w:bookmarkEnd w:id="70"/>
    <w:bookmarkStart w:id="72" w:name="нма-в-ma-системный-эффект"/>
    <w:p>
      <w:pPr>
        <w:pStyle w:val="Heading3"/>
      </w:pPr>
      <w:r>
        <w:t xml:space="preserve">НМА в M&amp;A: системный эффект</w:t>
      </w:r>
    </w:p>
    <w:p>
      <w:pPr>
        <w:pStyle w:val="FirstParagraph"/>
      </w:pPr>
      <w:r>
        <w:t xml:space="preserve">Упрощённо purchase price allocation можно представить как:</w:t>
      </w:r>
    </w:p>
    <w:p>
      <w:pPr>
        <w:pStyle w:val="BodyText"/>
      </w:pPr>
      <m:oMathPara>
        <m:oMathParaPr>
          <m:jc m:val="center"/>
        </m:oMathParaPr>
        <m:oMath>
          <m:r>
            <m:t>P</m:t>
          </m:r>
          <m:r>
            <m:t>u</m:t>
          </m:r>
          <m:r>
            <m:t>r</m:t>
          </m:r>
          <m:r>
            <m:t>c</m:t>
          </m:r>
          <m:r>
            <m:t>h</m:t>
          </m:r>
          <m:r>
            <m:t>a</m:t>
          </m:r>
          <m:r>
            <m:t>s</m:t>
          </m:r>
          <m:r>
            <m:t>e</m:t>
          </m:r>
          <m:r>
            <m:t> </m:t>
          </m:r>
          <m:r>
            <m:t>P</m:t>
          </m:r>
          <m:r>
            <m:t>r</m:t>
          </m:r>
          <m:r>
            <m:t>i</m:t>
          </m:r>
          <m:r>
            <m:t>c</m:t>
          </m:r>
          <m:r>
            <m:t>e</m:t>
          </m:r>
          <m:r>
            <m:rPr>
              <m:sty m:val="p"/>
            </m:rPr>
            <m:t>=</m:t>
          </m:r>
          <m:r>
            <m:t>F</m:t>
          </m:r>
          <m:r>
            <m:t>V</m:t>
          </m:r>
          <m:r>
            <m:rPr>
              <m:sty m:val="p"/>
            </m:rPr>
            <m:t>(</m:t>
          </m:r>
          <m:r>
            <m:t>T</m:t>
          </m:r>
          <m:r>
            <m:t>a</m:t>
          </m:r>
          <m:r>
            <m:t>n</m:t>
          </m:r>
          <m:r>
            <m:t>g</m:t>
          </m:r>
          <m:r>
            <m:t>i</m:t>
          </m:r>
          <m:r>
            <m:t>b</m:t>
          </m:r>
          <m:r>
            <m:t>l</m:t>
          </m:r>
          <m:r>
            <m:t>e</m:t>
          </m:r>
          <m:r>
            <m:t> </m:t>
          </m:r>
          <m:r>
            <m:t>N</m:t>
          </m:r>
          <m:r>
            <m:t>e</m:t>
          </m:r>
          <m:r>
            <m:t>t</m:t>
          </m:r>
          <m:r>
            <m:t> </m:t>
          </m:r>
          <m:r>
            <m:t>A</m:t>
          </m:r>
          <m:r>
            <m:t>s</m:t>
          </m:r>
          <m:r>
            <m:t>s</m:t>
          </m:r>
          <m:r>
            <m:t>e</m:t>
          </m:r>
          <m:r>
            <m:t>t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+</m:t>
          </m:r>
          <m:r>
            <m:t>F</m:t>
          </m:r>
          <m:r>
            <m:t>V</m:t>
          </m:r>
          <m:r>
            <m:rPr>
              <m:sty m:val="p"/>
            </m:rPr>
            <m:t>(</m:t>
          </m:r>
          <m:r>
            <m:t>I</m:t>
          </m:r>
          <m:r>
            <m:t>d</m:t>
          </m:r>
          <m:r>
            <m:t>e</m:t>
          </m:r>
          <m:r>
            <m:t>n</m:t>
          </m:r>
          <m:r>
            <m:t>t</m:t>
          </m:r>
          <m:r>
            <m:t>i</m:t>
          </m:r>
          <m:r>
            <m:t>f</m:t>
          </m:r>
          <m:r>
            <m:t>i</m:t>
          </m:r>
          <m:r>
            <m:t>a</m:t>
          </m:r>
          <m:r>
            <m:t>b</m:t>
          </m:r>
          <m:r>
            <m:t>l</m:t>
          </m:r>
          <m:r>
            <m:t>e</m:t>
          </m:r>
          <m:r>
            <m:t> </m:t>
          </m:r>
          <m:r>
            <m:t>I</m:t>
          </m:r>
          <m:r>
            <m:t>n</m:t>
          </m:r>
          <m:r>
            <m:t>t</m:t>
          </m:r>
          <m:r>
            <m:t>a</m:t>
          </m:r>
          <m:r>
            <m:t>n</m:t>
          </m:r>
          <m:r>
            <m:t>g</m:t>
          </m:r>
          <m:r>
            <m:t>i</m:t>
          </m:r>
          <m:r>
            <m:t>b</m:t>
          </m:r>
          <m:r>
            <m:t>l</m:t>
          </m:r>
          <m:r>
            <m:t>e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+</m:t>
          </m:r>
          <m:r>
            <m:t>G</m:t>
          </m:r>
          <m:r>
            <m:t>o</m:t>
          </m:r>
          <m:r>
            <m:t>o</m:t>
          </m:r>
          <m:r>
            <m:t>d</m:t>
          </m:r>
          <m:r>
            <m:t>w</m:t>
          </m:r>
          <m:r>
            <m:t>i</m:t>
          </m:r>
          <m:r>
            <m:t>l</m:t>
          </m:r>
          <m:r>
            <m:t>l</m:t>
          </m:r>
        </m:oMath>
      </m:oMathPara>
    </w:p>
    <w:p>
      <w:pPr>
        <w:pStyle w:val="FirstParagraph"/>
      </w:pPr>
      <w:r>
        <w:t xml:space="preserve">с учётом иных активов, обязательств, deferred taxes и требований применимого стандарта.</w:t>
      </w:r>
    </w:p>
    <w:p>
      <w:pPr>
        <w:pStyle w:val="BodyText"/>
      </w:pPr>
      <w:r>
        <w:t xml:space="preserve">Поэтому</w:t>
      </w:r>
      <w:r>
        <w:t xml:space="preserve"> </w:t>
      </w:r>
      <w:r>
        <w:rPr>
          <w:b/>
          <w:bCs/>
        </w:rPr>
        <w:t xml:space="preserve">оценка НМА меняет одновременно</w:t>
      </w:r>
      <w:r>
        <w:t xml:space="preserve">:</w:t>
      </w:r>
    </w:p>
    <w:p>
      <w:pPr>
        <w:pStyle w:val="BodyText"/>
      </w:pPr>
      <w:r>
        <w:t xml:space="preserve">стоимость goodwill; будущую амортизацию; EBIT/operating profit; deferred tax; будущий impairment risk; ROA/ROIC; post-merger KPI.</w:t>
      </w:r>
    </w:p>
    <w:p>
      <w:pPr>
        <w:pStyle w:val="BodyText"/>
      </w:pPr>
      <w:r>
        <w:t xml:space="preserve">Это создаёт конфликт стимулов. При прочих равных большее распределение на finite-lived intangibles увеличивает будущую амортизацию; большее распределение в goodwill снижает плановую амортизацию для публичной IFRS/US-GAAP модели, но повышает концентрацию impairment risk. Научная литература действительно рассматривает goodwill/PPA как область значительного managerial discretion и потенциального earnings management.</w:t>
      </w:r>
      <w:r>
        <w:t xml:space="preserve"> </w:t>
      </w:r>
      <w:hyperlink r:id="rId71">
        <w:r>
          <w:rPr>
            <w:rStyle w:val="Hyperlink"/>
          </w:rPr>
          <w:t xml:space="preserve">[48]</w:t>
        </w:r>
      </w:hyperlink>
    </w:p>
    <w:p>
      <w:pPr>
        <w:pStyle w:val="BodyText"/>
      </w:pPr>
      <w:r>
        <w:t xml:space="preserve">Именно поэтому для крупных государственных M&amp;A независимость valuation function должна быть институционально отделена от команды, KPI которой зависят от немедленного улучшения post-deal earnings.</w:t>
      </w:r>
    </w:p>
    <w:bookmarkEnd w:id="72"/>
    <w:bookmarkEnd w:id="73"/>
    <w:bookmarkStart w:id="92" w:name="Xdeec0f49f7446b44e1a69bebb0b874c53c9e49c"/>
    <w:p>
      <w:pPr>
        <w:pStyle w:val="Heading2"/>
      </w:pPr>
      <w:r>
        <w:t xml:space="preserve">НМА в национальной экономике: данные, инфраструктура, риски и новые инструменты</w:t>
      </w:r>
    </w:p>
    <w:bookmarkStart w:id="75" w:name="Xed9f696d999ad0d9711f95c4116c89df7f6f473"/>
    <w:p>
      <w:pPr>
        <w:pStyle w:val="Heading3"/>
      </w:pPr>
      <w:r>
        <w:t xml:space="preserve">Нематериальные инвестиции как макроэкономическая категория</w:t>
      </w:r>
    </w:p>
    <w:p>
      <w:pPr>
        <w:pStyle w:val="FirstParagraph"/>
      </w:pPr>
      <w:r>
        <w:t xml:space="preserve">Современная структура капитала меняется быстрее системы финансовой отчётности. По WIPO, в 2025 году нематериальные инвестиции в 29 наблюдаемых экономиках превысили $10 трлн; aggregate intangible-investment intensity достигла 12,8% ВВП. При этом США имели 15,6%, Франция 15,2%, а Швеция — 17,4% ВВП.</w:t>
      </w:r>
      <w:r>
        <w:t xml:space="preserve"> </w:t>
      </w:r>
      <w:hyperlink r:id="rId11">
        <w:r>
          <w:rPr>
            <w:rStyle w:val="Hyperlink"/>
          </w:rPr>
          <w:t xml:space="preserve">[2]</w:t>
        </w:r>
      </w:hyperlink>
    </w:p>
    <w:p>
      <w:pPr>
        <w:pStyle w:val="BodyText"/>
      </w:pPr>
      <w:r>
        <w:t xml:space="preserve">Важно: эти показатели</w:t>
      </w:r>
      <w:r>
        <w:t xml:space="preserve"> </w:t>
      </w:r>
      <w:r>
        <w:rPr>
          <w:b/>
          <w:bCs/>
        </w:rPr>
        <w:t xml:space="preserve">не являются балансовой стоимостью НМА</w:t>
      </w:r>
      <w:r>
        <w:t xml:space="preserve">. Это макроэкономические инвестиционные оценки более широкого intangible capital. Нельзя, например, взять показатель WIPO 12,8% и использовать его как нормативную долю НМА в российском корпоративном балансе.</w:t>
      </w:r>
    </w:p>
    <w:p>
      <w:pPr>
        <w:pStyle w:val="BodyText"/>
      </w:pPr>
      <w:r>
        <w:t xml:space="preserve">Для ЕС связь интеллектуальной собственности с экономической структурой также значительна. По исследованию EUIPO 2026, IPR-intensive industries обеспечивали</w:t>
      </w:r>
      <w:r>
        <w:t xml:space="preserve"> </w:t>
      </w:r>
      <w:r>
        <w:rPr>
          <w:b/>
          <w:bCs/>
        </w:rPr>
        <w:t xml:space="preserve">30,6% занятости ЕС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47,9% его экономической активности/ВВП</w:t>
      </w:r>
      <w:r>
        <w:t xml:space="preserve"> </w:t>
      </w:r>
      <w:r>
        <w:t xml:space="preserve">в среднем за 2021–2023 годы; они получили более 88% рассматриваемого private-equity/venture funding стартапов.</w:t>
      </w:r>
      <w:r>
        <w:t xml:space="preserve"> </w:t>
      </w:r>
      <w:hyperlink r:id="rId74">
        <w:r>
          <w:rPr>
            <w:rStyle w:val="Hyperlink"/>
          </w:rPr>
          <w:t xml:space="preserve">[49]</w:t>
        </w:r>
      </w:hyperlink>
    </w:p>
    <w:p>
      <w:pPr>
        <w:pStyle w:val="BodyText"/>
      </w:pPr>
      <w:r>
        <w:t xml:space="preserve">Это не означает, что 47,9% ВВП «создано только патентами»: EUIPO классифицирует отрасль как IPR-intensive по интенсивности использования IP и подчёркивает пересечения различных видов прав. Но показатель хорошо демонстрирует системную связь IP и наиболее капиталоёмких инновационных цепочек.</w:t>
      </w:r>
      <w:r>
        <w:t xml:space="preserve"> </w:t>
      </w:r>
      <w:hyperlink r:id="rId74">
        <w:r>
          <w:rPr>
            <w:rStyle w:val="Hyperlink"/>
          </w:rPr>
          <w:t xml:space="preserve">[50]</w:t>
        </w:r>
      </w:hyperlink>
    </w:p>
    <w:bookmarkEnd w:id="75"/>
    <w:bookmarkStart w:id="79" w:name="Xe4eba79deb39a7704d9eb05809007a10b5a4551"/>
    <w:p>
      <w:pPr>
        <w:pStyle w:val="Heading3"/>
      </w:pPr>
      <w:r>
        <w:t xml:space="preserve">Предлагаемая круговая диаграмма структуры intangible investment</w:t>
      </w:r>
    </w:p>
    <w:p>
      <w:pPr>
        <w:pStyle w:val="FirstParagraph"/>
      </w:pPr>
      <w:r>
        <w:t xml:space="preserve">Для международного benchmark целесообразно визуализировать структуру на основе категорий WIPO/Global INTAN-Invest.</w:t>
      </w:r>
      <w:r>
        <w:t xml:space="preserve"> </w:t>
      </w:r>
      <w:r>
        <w:rPr>
          <w:b/>
          <w:bCs/>
        </w:rPr>
        <w:t xml:space="preserve">Диаграмма ниже иллюстративна</w:t>
      </w:r>
      <w:r>
        <w:t xml:space="preserve">: доли округлены до целых значений из опубликованного распределения и не должны интерпретироваться как структура российских НМА или как бухгалтерский баланс.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334000" cy="3341981"/>
                  <wp:effectExtent b="0" l="0" r="0" t="0"/>
                  <wp:docPr descr="Rendered Mermaid diagram 2" title="" id="77" name="Picture"/>
                  <a:graphic>
                    <a:graphicData uri="http://schemas.openxmlformats.org/drawingml/2006/picture">
                      <pic:pic>
                        <pic:nvPicPr>
                          <pic:cNvPr descr="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" id="7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341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</w:tbl>
    <w:p>
      <w:pPr>
        <w:pStyle w:val="BodyText"/>
      </w:pPr>
      <w:r>
        <w:t xml:space="preserve">Главный аналитический смысл этой диаграммы —</w:t>
      </w:r>
      <w:r>
        <w:t xml:space="preserve"> </w:t>
      </w:r>
      <w:r>
        <w:rPr>
          <w:b/>
          <w:bCs/>
        </w:rPr>
        <w:t xml:space="preserve">организационные ресурсы, НИОКР и software/data сопоставимы по экономической значимости с традиционной патентно-брендовой концепцией НМА</w:t>
      </w:r>
      <w:r>
        <w:t xml:space="preserve">, но значительная их часть не появляется как recognised asset. Международная база WIPO развивает именно расширенную концепцию Corrado—Hulten—Sichel.</w:t>
      </w:r>
      <w:r>
        <w:t xml:space="preserve"> </w:t>
      </w:r>
      <w:hyperlink r:id="rId12">
        <w:r>
          <w:rPr>
            <w:rStyle w:val="Hyperlink"/>
          </w:rPr>
          <w:t xml:space="preserve">[51]</w:t>
        </w:r>
      </w:hyperlink>
    </w:p>
    <w:bookmarkEnd w:id="79"/>
    <w:bookmarkStart w:id="81" w:name="регуляторный-сдвиг-к-данным"/>
    <w:p>
      <w:pPr>
        <w:pStyle w:val="Heading3"/>
      </w:pPr>
      <w:r>
        <w:t xml:space="preserve">Регуляторный сдвиг к данным</w:t>
      </w:r>
    </w:p>
    <w:p>
      <w:pPr>
        <w:pStyle w:val="FirstParagraph"/>
      </w:pPr>
      <w:r>
        <w:t xml:space="preserve">Китайский опыт показывает возможное направление следующего поколения регулирования: не объявлять всякие данные активом, а создавать</w:t>
      </w:r>
      <w:r>
        <w:t xml:space="preserve"> </w:t>
      </w:r>
      <w:r>
        <w:rPr>
          <w:b/>
          <w:bCs/>
        </w:rPr>
        <w:t xml:space="preserve">условия признания, раскрытия и отдельную инфраструктуру управления data resources</w:t>
      </w:r>
      <w:r>
        <w:t xml:space="preserve">. С 2024 года китайские компании получили специальный accounting framework, а государственная политика одновременно требует развивать стандарты оценки и контроля data assets.</w:t>
      </w:r>
      <w:r>
        <w:t xml:space="preserve"> </w:t>
      </w:r>
      <w:hyperlink r:id="rId37">
        <w:r>
          <w:rPr>
            <w:rStyle w:val="Hyperlink"/>
          </w:rPr>
          <w:t xml:space="preserve">[52]</w:t>
        </w:r>
      </w:hyperlink>
    </w:p>
    <w:p>
      <w:pPr>
        <w:pStyle w:val="BodyText"/>
      </w:pPr>
      <w:r>
        <w:t xml:space="preserve">В 2026 году в КНР опубликован также национальный стандарт классификации и кодирования data assets, который ссылается на существующие китайские стандарты классификации НМА и на ISO 55013 по управлению data assets. Это свидетельствует о переходе от единичных бухгалтерских проводок к</w:t>
      </w:r>
      <w:r>
        <w:t xml:space="preserve"> </w:t>
      </w:r>
      <w:r>
        <w:rPr>
          <w:b/>
          <w:bCs/>
        </w:rPr>
        <w:t xml:space="preserve">машиночитаемой инфраструктуре управления классом активов</w:t>
      </w:r>
      <w:r>
        <w:t xml:space="preserve">.</w:t>
      </w:r>
      <w:r>
        <w:t xml:space="preserve"> </w:t>
      </w:r>
      <w:hyperlink r:id="rId80">
        <w:r>
          <w:rPr>
            <w:rStyle w:val="Hyperlink"/>
          </w:rPr>
          <w:t xml:space="preserve">[53]</w:t>
        </w:r>
      </w:hyperlink>
    </w:p>
    <w:bookmarkEnd w:id="81"/>
    <w:bookmarkStart w:id="84" w:name="реестры-как-базовый-инструмент"/>
    <w:p>
      <w:pPr>
        <w:pStyle w:val="Heading3"/>
      </w:pPr>
      <w:r>
        <w:t xml:space="preserve">Реестры как базовый инструмент</w:t>
      </w:r>
    </w:p>
    <w:p>
      <w:pPr>
        <w:pStyle w:val="FirstParagraph"/>
      </w:pPr>
      <w:r>
        <w:t xml:space="preserve">Для крупной корпорации качественный реестр НМА должен содержать как минимум:</w:t>
      </w:r>
    </w:p>
    <w:p>
      <w:pPr>
        <w:pStyle w:val="BodyText"/>
      </w:pPr>
      <w:r>
        <w:rPr>
          <w:b/>
          <w:bCs/>
        </w:rPr>
        <w:t xml:space="preserve">идентификатор ресурса → владелец/контролирующая организация → юридическое основание → автор/разработчик → территория → срок права → бухгалтерский статус → налоговый статус → valuation basis → стоимость → метод → дата оценки → useful life → impairment triggers → связи с продуктами/НИОКР → cybersecurity classification → KPI → history.</w:t>
      </w:r>
    </w:p>
    <w:p>
      <w:pPr>
        <w:pStyle w:val="BodyText"/>
      </w:pPr>
      <w:r>
        <w:t xml:space="preserve">Российская инфраструктура уже имеет отдельные элементы такой системы. Роспатент ведёт открытые реестры объектов промышленной собственности; развивается ГИС/единая электронная инфраструктура ведения государственных реестров результатов интеллектуальной деятельности.</w:t>
      </w:r>
      <w:r>
        <w:t xml:space="preserve"> </w:t>
      </w:r>
      <w:hyperlink r:id="rId82">
        <w:r>
          <w:rPr>
            <w:rStyle w:val="Hyperlink"/>
          </w:rPr>
          <w:t xml:space="preserve">[54]</w:t>
        </w:r>
      </w:hyperlink>
    </w:p>
    <w:p>
      <w:pPr>
        <w:pStyle w:val="BodyText"/>
      </w:pPr>
      <w:r>
        <w:t xml:space="preserve">Для недропользования Роснедра используют информационную систему лицензирования с GIS-функциональностью пространственного анализа. Это даёт естественную основу для соединения</w:t>
      </w:r>
      <w:r>
        <w:t xml:space="preserve"> </w:t>
      </w:r>
      <w:r>
        <w:rPr>
          <w:b/>
          <w:bCs/>
        </w:rPr>
        <w:t xml:space="preserve">права + географии + ресурса + технологии + стоимостной оценки</w:t>
      </w:r>
      <w:r>
        <w:t xml:space="preserve"> </w:t>
      </w:r>
      <w:r>
        <w:t xml:space="preserve">в энергетической сфере.</w:t>
      </w:r>
      <w:r>
        <w:t xml:space="preserve"> </w:t>
      </w:r>
      <w:hyperlink r:id="rId83">
        <w:r>
          <w:rPr>
            <w:rStyle w:val="Hyperlink"/>
          </w:rPr>
          <w:t xml:space="preserve">[55]</w:t>
        </w:r>
      </w:hyperlink>
    </w:p>
    <w:bookmarkEnd w:id="84"/>
    <w:bookmarkStart w:id="85" w:name="gis"/>
    <w:p>
      <w:pPr>
        <w:pStyle w:val="Heading3"/>
      </w:pPr>
      <w:r>
        <w:t xml:space="preserve">GIS</w:t>
      </w:r>
    </w:p>
    <w:p>
      <w:pPr>
        <w:pStyle w:val="FirstParagraph"/>
      </w:pPr>
      <w:r>
        <w:t xml:space="preserve">GIS особенно полезна там, где value НМА привязана к территории:</w:t>
      </w:r>
    </w:p>
    <w:p>
      <w:pPr>
        <w:pStyle w:val="BodyText"/>
      </w:pPr>
      <w:r>
        <w:t xml:space="preserve">лицензии недропользования; концессии; инфраструктурные права; права на спектр; природные ресурсы; геологические datasets; территориальные бренды; селекционные достижения; IP, используемая на конкретных производственных объектах.</w:t>
      </w:r>
    </w:p>
    <w:p>
      <w:pPr>
        <w:pStyle w:val="BodyText"/>
      </w:pPr>
      <w:r>
        <w:t xml:space="preserve">Для государственного управления это позволяет перейти от таблицы НМА к</w:t>
      </w:r>
      <w:r>
        <w:t xml:space="preserve"> </w:t>
      </w:r>
      <w:r>
        <w:rPr>
          <w:b/>
          <w:bCs/>
        </w:rPr>
        <w:t xml:space="preserve">пространственному балансу интеллектуальных и технологических прав</w:t>
      </w:r>
      <w:r>
        <w:t xml:space="preserve">.</w:t>
      </w:r>
    </w:p>
    <w:bookmarkEnd w:id="85"/>
    <w:bookmarkStart w:id="88" w:name="blockchain-distributed-ledger"/>
    <w:p>
      <w:pPr>
        <w:pStyle w:val="Heading3"/>
      </w:pPr>
      <w:r>
        <w:t xml:space="preserve">Blockchain / distributed ledger</w:t>
      </w:r>
    </w:p>
    <w:p>
      <w:pPr>
        <w:pStyle w:val="FirstParagraph"/>
      </w:pPr>
      <w:r>
        <w:t xml:space="preserve">Распределённый реестр потенциально полезен не для «создания стоимости» НМА, а прежде всего для:</w:t>
      </w:r>
    </w:p>
    <w:p>
      <w:pPr>
        <w:pStyle w:val="BodyText"/>
      </w:pPr>
      <w:r>
        <w:rPr>
          <w:b/>
          <w:bCs/>
        </w:rPr>
        <w:t xml:space="preserve">timestamping происхождения → доказательства версии → chain of title → лицензирования → фиксации передачи прав → audit trail.</w:t>
      </w:r>
    </w:p>
    <w:p>
      <w:pPr>
        <w:pStyle w:val="BodyText"/>
      </w:pPr>
      <w:r>
        <w:t xml:space="preserve">WIPO отмечала потенциал blockchain для фиксации времени создания и rights information, а EUIPO с 2021 года развивало European IP Registers in Blockchain.</w:t>
      </w:r>
      <w:r>
        <w:t xml:space="preserve"> </w:t>
      </w:r>
      <w:hyperlink r:id="rId86">
        <w:r>
          <w:rPr>
            <w:rStyle w:val="Hyperlink"/>
          </w:rPr>
          <w:t xml:space="preserve">[56]</w:t>
        </w:r>
      </w:hyperlink>
    </w:p>
    <w:p>
      <w:pPr>
        <w:pStyle w:val="BodyText"/>
      </w:pPr>
      <w:r>
        <w:t xml:space="preserve">Однако blockchain нельзя превращать в самоцель. Он не доказывает автоматически экономическую стоимость, не заменяет юридическую действительность права и не устраняет ошибку исходных данных. Показательно, что собственный сервис WIPO PROOF был прекращён в январе 2022 года: наличие технологии timestamping ещё не гарантирует долгосрочную институциональную модель сервиса.</w:t>
      </w:r>
      <w:r>
        <w:t xml:space="preserve"> </w:t>
      </w:r>
      <w:hyperlink r:id="rId87">
        <w:r>
          <w:rPr>
            <w:rStyle w:val="Hyperlink"/>
          </w:rPr>
          <w:t xml:space="preserve">[57]</w:t>
        </w:r>
      </w:hyperlink>
    </w:p>
    <w:p>
      <w:pPr>
        <w:pStyle w:val="BodyText"/>
      </w:pPr>
      <w:r>
        <w:t xml:space="preserve">Поэтому для России приоритет должен быть:</w:t>
      </w:r>
    </w:p>
    <w:p>
      <w:pPr>
        <w:pStyle w:val="BodyText"/>
      </w:pPr>
      <w:r>
        <w:rPr>
          <w:b/>
          <w:bCs/>
        </w:rPr>
        <w:t xml:space="preserve">единая семантика и идентификатор НМА → юридически значимый реестр → API → versioning/audit trail → только затем выбор blockchain или обычной доверенной БД.</w:t>
      </w:r>
    </w:p>
    <w:bookmarkEnd w:id="88"/>
    <w:bookmarkStart w:id="89" w:name="оценочная-неопределённость-и-манипуляции"/>
    <w:p>
      <w:pPr>
        <w:pStyle w:val="Heading3"/>
      </w:pPr>
      <w:r>
        <w:t xml:space="preserve">Оценочная неопределённость и манипуляции</w:t>
      </w:r>
    </w:p>
    <w:p>
      <w:pPr>
        <w:pStyle w:val="FirstParagraph"/>
      </w:pPr>
      <w:r>
        <w:t xml:space="preserve">НМА относятся к наиболее judgement-intensive объектам отчётности. Чем меньше наблюдаемых сделок, тем больше роль Level 3 assumptions: прогнозов продаж, royalty rates, churn, полезного срока, terminal growth и discount rate.</w:t>
      </w:r>
    </w:p>
    <w:p>
      <w:pPr>
        <w:pStyle w:val="BodyText"/>
      </w:pPr>
      <w:r>
        <w:t xml:space="preserve">Основные каналы манипуляций:</w:t>
      </w:r>
    </w:p>
    <w:p>
      <w:pPr>
        <w:pStyle w:val="BodyText"/>
      </w:pPr>
      <w:r>
        <w:rPr>
          <w:b/>
          <w:bCs/>
        </w:rPr>
        <w:t xml:space="preserve">завышенная капитализация собственных затрат</w:t>
      </w:r>
      <w:r>
        <w:t xml:space="preserve"> </w:t>
      </w:r>
      <w:r>
        <w:t xml:space="preserve">→ искусственное увеличение прибыли;</w:t>
      </w:r>
    </w:p>
    <w:p>
      <w:pPr>
        <w:pStyle w:val="BodyText"/>
      </w:pPr>
      <w:r>
        <w:rPr>
          <w:b/>
          <w:bCs/>
        </w:rPr>
        <w:t xml:space="preserve">завышенный useful life</w:t>
      </w:r>
      <w:r>
        <w:t xml:space="preserve"> </w:t>
      </w:r>
      <w:r>
        <w:t xml:space="preserve">→ занижение amortization expense;</w:t>
      </w:r>
    </w:p>
    <w:p>
      <w:pPr>
        <w:pStyle w:val="BodyText"/>
      </w:pPr>
      <w:r>
        <w:rPr>
          <w:b/>
          <w:bCs/>
        </w:rPr>
        <w:t xml:space="preserve">агрессивный royalty rate или optimistic DCF</w:t>
      </w:r>
      <w:r>
        <w:t xml:space="preserve"> </w:t>
      </w:r>
      <w:r>
        <w:t xml:space="preserve">→ завышенная fair value;</w:t>
      </w:r>
    </w:p>
    <w:p>
      <w:pPr>
        <w:pStyle w:val="BodyText"/>
      </w:pPr>
      <w:r>
        <w:rPr>
          <w:b/>
          <w:bCs/>
        </w:rPr>
        <w:t xml:space="preserve">слишком высокий goodwill в PPA</w:t>
      </w:r>
      <w:r>
        <w:t xml:space="preserve"> </w:t>
      </w:r>
      <w:r>
        <w:t xml:space="preserve">→ более низкая систематическая post-deal amortization;</w:t>
      </w:r>
    </w:p>
    <w:p>
      <w:pPr>
        <w:pStyle w:val="BodyText"/>
      </w:pPr>
      <w:r>
        <w:rPr>
          <w:b/>
          <w:bCs/>
        </w:rPr>
        <w:t xml:space="preserve">отсроченный impairment</w:t>
      </w:r>
      <w:r>
        <w:t xml:space="preserve"> </w:t>
      </w:r>
      <w:r>
        <w:t xml:space="preserve">→ сохранение завышенных assets и earnings;</w:t>
      </w:r>
    </w:p>
    <w:p>
      <w:pPr>
        <w:pStyle w:val="BodyText"/>
      </w:pPr>
      <w:r>
        <w:rPr>
          <w:b/>
          <w:bCs/>
        </w:rPr>
        <w:t xml:space="preserve">трансфертная цена IP</w:t>
      </w:r>
      <w:r>
        <w:t xml:space="preserve"> </w:t>
      </w:r>
      <w:r>
        <w:t xml:space="preserve">→ перенос прибыли между юрисдикциями.</w:t>
      </w:r>
    </w:p>
    <w:p>
      <w:pPr>
        <w:pStyle w:val="BodyText"/>
      </w:pPr>
      <w:r>
        <w:t xml:space="preserve">Исследования действительно находят связь discretion по goodwill/impairment и PPA с earnings-management incentives, а европейские налоговые органы отдельно рассматривают transfer pricing и размещение patents как потенциальный канал profit shifting.</w:t>
      </w:r>
      <w:r>
        <w:t xml:space="preserve"> </w:t>
      </w:r>
      <w:hyperlink r:id="rId71">
        <w:r>
          <w:rPr>
            <w:rStyle w:val="Hyperlink"/>
          </w:rPr>
          <w:t xml:space="preserve">[58]</w:t>
        </w:r>
      </w:hyperlink>
    </w:p>
    <w:bookmarkEnd w:id="89"/>
    <w:bookmarkStart w:id="91" w:name="киберриски"/>
    <w:p>
      <w:pPr>
        <w:pStyle w:val="Heading3"/>
      </w:pPr>
      <w:r>
        <w:t xml:space="preserve">Киберриски</w:t>
      </w:r>
    </w:p>
    <w:p>
      <w:pPr>
        <w:pStyle w:val="FirstParagraph"/>
      </w:pPr>
      <w:r>
        <w:t xml:space="preserve">Нематериальный актив может потерять стоимость</w:t>
      </w:r>
      <w:r>
        <w:t xml:space="preserve"> </w:t>
      </w:r>
      <w:r>
        <w:rPr>
          <w:b/>
          <w:bCs/>
        </w:rPr>
        <w:t xml:space="preserve">без уничтожения физической инфраструктуры</w:t>
      </w:r>
      <w:r>
        <w:t xml:space="preserve">. Утечка source code, trade secrets, обучающего набора, инженерной документации или ключей доступа способна лишить ресурс эксклюзивности, снизить licensing potential или уничтожить competitive advantage.</w:t>
      </w:r>
    </w:p>
    <w:p>
      <w:pPr>
        <w:pStyle w:val="BodyText"/>
      </w:pPr>
      <w:r>
        <w:t xml:space="preserve">NIST в исследованиях промышленной кибербезопасности отмечал IP theft как один из ведущих cyberthreats для advanced manufacturing; более широкие NIST-материалы относят к экономическим последствиям cyber incidents business interruption, штрафы, response costs и misappropriation of information.</w:t>
      </w:r>
      <w:r>
        <w:t xml:space="preserve"> </w:t>
      </w:r>
      <w:hyperlink r:id="rId90">
        <w:r>
          <w:rPr>
            <w:rStyle w:val="Hyperlink"/>
          </w:rPr>
          <w:t xml:space="preserve">[59]</w:t>
        </w:r>
      </w:hyperlink>
    </w:p>
    <w:p>
      <w:pPr>
        <w:pStyle w:val="BodyText"/>
      </w:pPr>
      <w:r>
        <w:t xml:space="preserve">Отсюда принципиальный вывод:</w:t>
      </w:r>
    </w:p>
    <w:p>
      <w:pPr>
        <w:pStyle w:val="BlockText"/>
      </w:pPr>
      <w:r>
        <w:rPr>
          <w:b/>
          <w:bCs/>
        </w:rPr>
        <w:t xml:space="preserve">cybersecurity НМА должна быть частью valuation и impairment system, а не только функцией ИБ.</w:t>
      </w:r>
    </w:p>
    <w:p>
      <w:pPr>
        <w:pStyle w:val="FirstParagraph"/>
      </w:pPr>
      <w:r>
        <w:t xml:space="preserve">Для критического актива реестр должен содержать его cyber-classification, location, backup/recovery status, privileged-access map, third-party exposure и оценку влияния loss-of-exclusivity на стоимость.</w:t>
      </w:r>
    </w:p>
    <w:bookmarkEnd w:id="91"/>
    <w:bookmarkEnd w:id="92"/>
    <w:bookmarkStart w:id="107" w:name="X77f92283126f1dd41985b6141c925c0e499b990"/>
    <w:p>
      <w:pPr>
        <w:pStyle w:val="Heading2"/>
      </w:pPr>
      <w:r>
        <w:t xml:space="preserve">Рекомендации для российской практики и государственно-корпоративной политики</w:t>
      </w:r>
    </w:p>
    <w:p>
      <w:pPr>
        <w:pStyle w:val="FirstParagraph"/>
      </w:pPr>
      <w:r>
        <w:t xml:space="preserve">Россия уже сделала значимый шаг: ФСБУ 14/2022 применяется с отчётности за 2024 год, а ФСО XI формирует профессиональную основу оценки интеллектуальной собственности и НМА. Следующий этап следует строить не как очередную реформу плана счетов, а как</w:t>
      </w:r>
      <w:r>
        <w:t xml:space="preserve"> </w:t>
      </w:r>
      <w:r>
        <w:rPr>
          <w:b/>
          <w:bCs/>
        </w:rPr>
        <w:t xml:space="preserve">национальную систему управления нематериальным капиталом</w:t>
      </w:r>
      <w:r>
        <w:t xml:space="preserve">.</w:t>
      </w:r>
      <w:r>
        <w:t xml:space="preserve"> </w:t>
      </w:r>
      <w:hyperlink r:id="rId93">
        <w:r>
          <w:rPr>
            <w:rStyle w:val="Hyperlink"/>
          </w:rPr>
          <w:t xml:space="preserve">[60]</w:t>
        </w:r>
      </w:hyperlink>
    </w:p>
    <w:bookmarkStart w:id="94" w:name="правовой-контур"/>
    <w:p>
      <w:pPr>
        <w:pStyle w:val="Heading3"/>
      </w:pPr>
      <w:r>
        <w:t xml:space="preserve">Правовой контур</w:t>
      </w:r>
    </w:p>
    <w:p>
      <w:pPr>
        <w:pStyle w:val="FirstParagraph"/>
      </w:pPr>
      <w:r>
        <w:t xml:space="preserve">Первое направление — создать единый</w:t>
      </w:r>
      <w:r>
        <w:t xml:space="preserve"> </w:t>
      </w:r>
      <w:r>
        <w:rPr>
          <w:b/>
          <w:bCs/>
        </w:rPr>
        <w:t xml:space="preserve">паспорт нематериального ресурса</w:t>
      </w:r>
      <w:r>
        <w:t xml:space="preserve">, применимый к госкорпорациям и крупнейшим компаниям с государственным участием.</w:t>
      </w:r>
    </w:p>
    <w:p>
      <w:pPr>
        <w:pStyle w:val="BodyText"/>
      </w:pPr>
      <w:r>
        <w:t xml:space="preserve">Он не должен означать автоматического признания каждого объекта НМА в бухгалтерском балансе. В паспорте следует независимо указывать:</w:t>
      </w:r>
    </w:p>
    <w:p>
      <w:pPr>
        <w:pStyle w:val="BodyText"/>
      </w:pPr>
      <w:r>
        <w:rPr>
          <w:b/>
          <w:bCs/>
        </w:rPr>
        <w:t xml:space="preserve">правовой статус; бухгалтерский статус; налоговый статус; оценочный статус; security status; государственную значимость.</w:t>
      </w:r>
    </w:p>
    <w:p>
      <w:pPr>
        <w:pStyle w:val="BodyText"/>
      </w:pPr>
      <w:r>
        <w:t xml:space="preserve">Это устраняет фундаментальную ошибку «если объект не стоит в бухгалтерском балансе, значит его не существует как экономического актива».</w:t>
      </w:r>
    </w:p>
    <w:p>
      <w:pPr>
        <w:pStyle w:val="BodyText"/>
      </w:pPr>
      <w:r>
        <w:t xml:space="preserve">Для IP, созданной по государственному контракту или с бюджетным софинансированием, следует обеспечить машиночитаемую цепочку:</w:t>
      </w:r>
    </w:p>
    <w:p>
      <w:pPr>
        <w:pStyle w:val="BodyText"/>
      </w:pPr>
      <m:oMathPara>
        <m:oMathParaPr>
          <m:jc m:val="center"/>
        </m:oMathParaPr>
        <m:oMath>
          <m:r>
            <m:t>Н</m:t>
          </m:r>
          <m:r>
            <m:t>И</m:t>
          </m:r>
          <m:r>
            <m:t>О</m:t>
          </m:r>
          <m:r>
            <m:t>К</m:t>
          </m:r>
          <m:r>
            <m:t>Р</m:t>
          </m:r>
          <m:r>
            <m:rPr>
              <m:sty m:val="p"/>
            </m:rPr>
            <m:t>→</m:t>
          </m:r>
          <m:r>
            <m:t>Р</m:t>
          </m:r>
          <m:r>
            <m:t>И</m:t>
          </m:r>
          <m:r>
            <m:t>Д</m:t>
          </m:r>
          <m:r>
            <m:rPr>
              <m:sty m:val="p"/>
            </m:rPr>
            <m:t>→</m:t>
          </m:r>
          <m:r>
            <m:t>п</m:t>
          </m:r>
          <m:r>
            <m:t>р</m:t>
          </m:r>
          <m:r>
            <m:t>а</m:t>
          </m:r>
          <m:r>
            <m:t>в</m:t>
          </m:r>
          <m:r>
            <m:t>о</m:t>
          </m:r>
          <m:r>
            <m:t>о</m:t>
          </m:r>
          <m:r>
            <m:t>б</m:t>
          </m:r>
          <m:r>
            <m:t>л</m:t>
          </m:r>
          <m:r>
            <m:t>а</m:t>
          </m:r>
          <m:r>
            <m:t>д</m:t>
          </m:r>
          <m:r>
            <m:t>а</m:t>
          </m:r>
          <m:r>
            <m:t>т</m:t>
          </m:r>
          <m:r>
            <m:t>е</m:t>
          </m:r>
          <m:r>
            <m:t>л</m:t>
          </m:r>
          <m:r>
            <m:t>ь</m:t>
          </m:r>
          <m:r>
            <m:rPr>
              <m:sty m:val="p"/>
            </m:rPr>
            <m:t>→</m:t>
          </m:r>
          <m:r>
            <m:t>п</m:t>
          </m:r>
          <m:r>
            <m:t>а</m:t>
          </m:r>
          <m:r>
            <m:t>т</m:t>
          </m:r>
          <m:r>
            <m:t>е</m:t>
          </m:r>
          <m:r>
            <m:t>н</m:t>
          </m:r>
          <m:r>
            <m:t>т</m:t>
          </m:r>
          <m:r>
            <m:rPr>
              <m:sty m:val="p"/>
            </m:rPr>
            <m:t>/</m:t>
          </m:r>
          <m:r>
            <m:t>k</m:t>
          </m:r>
          <m:r>
            <m:t>n</m:t>
          </m:r>
          <m:r>
            <m:t>o</m:t>
          </m:r>
          <m:r>
            <m:t>w</m:t>
          </m:r>
          <m:r>
            <m:rPr>
              <m:sty m:val="p"/>
            </m:rPr>
            <m:t>−</m:t>
          </m:r>
          <m:r>
            <m:t>h</m:t>
          </m:r>
          <m:r>
            <m:t>o</m:t>
          </m:r>
          <m:r>
            <m:t>w</m:t>
          </m:r>
          <m:r>
            <m:rPr>
              <m:sty m:val="p"/>
            </m:rPr>
            <m:t>/</m:t>
          </m:r>
          <m:r>
            <m:t>s</m:t>
          </m:r>
          <m:r>
            <m:t>o</m:t>
          </m:r>
          <m:r>
            <m:t>f</m:t>
          </m:r>
          <m:r>
            <m:t>t</m:t>
          </m:r>
          <m:r>
            <m:t>w</m:t>
          </m:r>
          <m:r>
            <m:t>a</m:t>
          </m:r>
          <m:r>
            <m:t>r</m:t>
          </m:r>
          <m:r>
            <m:t>e</m:t>
          </m:r>
          <m:r>
            <m:rPr>
              <m:sty m:val="p"/>
            </m:rPr>
            <m:t>/</m:t>
          </m:r>
          <m:r>
            <m:t>d</m:t>
          </m:r>
          <m:r>
            <m:t>a</m:t>
          </m:r>
          <m:r>
            <m:t>t</m:t>
          </m:r>
          <m:r>
            <m:t>a</m:t>
          </m:r>
          <m:r>
            <m:rPr>
              <m:sty m:val="p"/>
            </m:rPr>
            <m:t>→</m:t>
          </m:r>
          <m:r>
            <m:t>п</m:t>
          </m:r>
          <m:r>
            <m:t>р</m:t>
          </m:r>
          <m:r>
            <m:t>о</m:t>
          </m:r>
          <m:r>
            <m:t>и</m:t>
          </m:r>
          <m:r>
            <m:t>з</m:t>
          </m:r>
          <m:r>
            <m:t>в</m:t>
          </m:r>
          <m:r>
            <m:t>о</m:t>
          </m:r>
          <m:r>
            <m:t>д</m:t>
          </m:r>
          <m:r>
            <m:t>с</m:t>
          </m:r>
          <m:r>
            <m:t>т</m:t>
          </m:r>
          <m:r>
            <m:t>в</m:t>
          </m:r>
          <m:r>
            <m:t>о</m:t>
          </m:r>
          <m:r>
            <m:rPr>
              <m:sty m:val="p"/>
            </m:rPr>
            <m:t>→</m:t>
          </m:r>
          <m:r>
            <m:t>л</m:t>
          </m:r>
          <m:r>
            <m:t>и</m:t>
          </m:r>
          <m:r>
            <m:t>ц</m:t>
          </m:r>
          <m:r>
            <m:t>е</m:t>
          </m:r>
          <m:r>
            <m:t>н</m:t>
          </m:r>
          <m:r>
            <m:t>з</m:t>
          </m:r>
          <m:r>
            <m:t>и</m:t>
          </m:r>
          <m:r>
            <m:t>р</m:t>
          </m:r>
          <m:r>
            <m:t>о</m:t>
          </m:r>
          <m:r>
            <m:t>в</m:t>
          </m:r>
          <m:r>
            <m:t>а</m:t>
          </m:r>
          <m:r>
            <m:t>н</m:t>
          </m:r>
          <m:r>
            <m:t>и</m:t>
          </m:r>
          <m:r>
            <m:t>е</m:t>
          </m:r>
          <m:r>
            <m:rPr>
              <m:sty m:val="p"/>
            </m:rPr>
            <m:t>→</m:t>
          </m:r>
          <m:r>
            <m:t>э</m:t>
          </m:r>
          <m:r>
            <m:t>к</m:t>
          </m:r>
          <m:r>
            <m:t>о</m:t>
          </m:r>
          <m:r>
            <m:t>н</m:t>
          </m:r>
          <m:r>
            <m:t>о</m:t>
          </m:r>
          <m:r>
            <m:t>м</m:t>
          </m:r>
          <m:r>
            <m:t>и</m:t>
          </m:r>
          <m:r>
            <m:t>ч</m:t>
          </m:r>
          <m:r>
            <m:t>е</m:t>
          </m:r>
          <m:r>
            <m:t>с</m:t>
          </m:r>
          <m:r>
            <m:t>к</m:t>
          </m:r>
          <m:r>
            <m:t>и</m:t>
          </m:r>
          <m:r>
            <m:t>й</m:t>
          </m:r>
          <m:r>
            <m:t>э</m:t>
          </m:r>
          <m:r>
            <m:t>ф</m:t>
          </m:r>
          <m:r>
            <m:t>ф</m:t>
          </m:r>
          <m:r>
            <m:t>е</m:t>
          </m:r>
          <m:r>
            <m:t>к</m:t>
          </m:r>
          <m:r>
            <m:t>т</m:t>
          </m:r>
          <m:r>
            <m:rPr>
              <m:sty m:val="p"/>
            </m:rPr>
            <m:t>.</m:t>
          </m:r>
        </m:oMath>
      </m:oMathPara>
    </w:p>
    <w:bookmarkEnd w:id="94"/>
    <w:bookmarkStart w:id="95" w:name="методологический-контур"/>
    <w:p>
      <w:pPr>
        <w:pStyle w:val="Heading3"/>
      </w:pPr>
      <w:r>
        <w:t xml:space="preserve">Методологический контур</w:t>
      </w:r>
    </w:p>
    <w:p>
      <w:pPr>
        <w:pStyle w:val="FirstParagraph"/>
      </w:pPr>
      <w:r>
        <w:t xml:space="preserve">Следует утвердить</w:t>
      </w:r>
      <w:r>
        <w:t xml:space="preserve"> </w:t>
      </w:r>
      <w:r>
        <w:rPr>
          <w:b/>
          <w:bCs/>
        </w:rPr>
        <w:t xml:space="preserve">отраслевые методические профили НМА</w:t>
      </w:r>
      <w:r>
        <w:t xml:space="preserve">, а не пытаться применять одну модель ко всей экономике.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Отрасль</w:t>
            </w:r>
          </w:p>
        </w:tc>
        <w:tc>
          <w:tcPr/>
          <w:p>
            <w:pPr>
              <w:pStyle w:val="Compact"/>
            </w:pPr>
            <w:r>
              <w:t xml:space="preserve">Приоритетные НМА</w:t>
            </w:r>
          </w:p>
        </w:tc>
        <w:tc>
          <w:tcPr/>
          <w:p>
            <w:pPr>
              <w:pStyle w:val="Compact"/>
            </w:pPr>
            <w:r>
              <w:t xml:space="preserve">Приоритет оценки</w:t>
            </w:r>
          </w:p>
        </w:tc>
        <w:tc>
          <w:tcPr/>
          <w:p>
            <w:pPr>
              <w:pStyle w:val="Compact"/>
            </w:pPr>
            <w:r>
              <w:t xml:space="preserve">KPI стоимости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 / AI</w:t>
            </w:r>
          </w:p>
        </w:tc>
        <w:tc>
          <w:tcPr/>
          <w:p>
            <w:pPr>
              <w:pStyle w:val="Compact"/>
            </w:pPr>
            <w:r>
              <w:t xml:space="preserve">ПО, модели, datasets, алгоритмы, patents</w:t>
            </w:r>
          </w:p>
        </w:tc>
        <w:tc>
          <w:tcPr/>
          <w:p>
            <w:pPr>
              <w:pStyle w:val="Compact"/>
            </w:pPr>
            <w:r>
              <w:t xml:space="preserve">income + cost + technology benchmark</w:t>
            </w:r>
          </w:p>
        </w:tc>
        <w:tc>
          <w:tcPr/>
          <w:p>
            <w:pPr>
              <w:pStyle w:val="Compact"/>
            </w:pPr>
            <w:r>
              <w:t xml:space="preserve">revenue enabled, reuse, deployment, time-to-market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Фарма</w:t>
            </w:r>
          </w:p>
        </w:tc>
        <w:tc>
          <w:tcPr/>
          <w:p>
            <w:pPr>
              <w:pStyle w:val="Compact"/>
            </w:pPr>
            <w:r>
              <w:t xml:space="preserve">patents, IPR&amp;D, licenses, dossiers</w:t>
            </w:r>
          </w:p>
        </w:tc>
        <w:tc>
          <w:tcPr/>
          <w:p>
            <w:pPr>
              <w:pStyle w:val="Compact"/>
            </w:pPr>
            <w:r>
              <w:t xml:space="preserve">probability-adjusted income</w:t>
            </w:r>
          </w:p>
        </w:tc>
        <w:tc>
          <w:tcPr/>
          <w:p>
            <w:pPr>
              <w:pStyle w:val="Compact"/>
            </w:pPr>
            <w:r>
              <w:t xml:space="preserve">risk-adjusted NPV, approvals, exclusivity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Медиа</w:t>
            </w:r>
          </w:p>
        </w:tc>
        <w:tc>
          <w:tcPr/>
          <w:p>
            <w:pPr>
              <w:pStyle w:val="Compact"/>
            </w:pPr>
            <w:r>
              <w:t xml:space="preserve">rights, brands, libraries, characters</w:t>
            </w:r>
          </w:p>
        </w:tc>
        <w:tc>
          <w:tcPr/>
          <w:p>
            <w:pPr>
              <w:pStyle w:val="Compact"/>
            </w:pPr>
            <w:r>
              <w:t xml:space="preserve">RFR + income</w:t>
            </w:r>
          </w:p>
        </w:tc>
        <w:tc>
          <w:tcPr/>
          <w:p>
            <w:pPr>
              <w:pStyle w:val="Compact"/>
            </w:pPr>
            <w:r>
              <w:t xml:space="preserve">audience, ARPU, licensing, retention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Энергетика</w:t>
            </w:r>
          </w:p>
        </w:tc>
        <w:tc>
          <w:tcPr/>
          <w:p>
            <w:pPr>
              <w:pStyle w:val="Compact"/>
            </w:pPr>
            <w:r>
              <w:t xml:space="preserve">licenses, geological data, software, process know-how</w:t>
            </w:r>
          </w:p>
        </w:tc>
        <w:tc>
          <w:tcPr/>
          <w:p>
            <w:pPr>
              <w:pStyle w:val="Compact"/>
            </w:pPr>
            <w:r>
              <w:t xml:space="preserve">income/cost + GIS</w:t>
            </w:r>
          </w:p>
        </w:tc>
        <w:tc>
          <w:tcPr/>
          <w:p>
            <w:pPr>
              <w:pStyle w:val="Compact"/>
            </w:pPr>
            <w:r>
              <w:t xml:space="preserve">reserves enabled, production efficiency, licensing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Машиностроение</w:t>
            </w:r>
          </w:p>
        </w:tc>
        <w:tc>
          <w:tcPr/>
          <w:p>
            <w:pPr>
              <w:pStyle w:val="Compact"/>
            </w:pPr>
            <w:r>
              <w:t xml:space="preserve">patents, engineering know-how, digital twins</w:t>
            </w:r>
          </w:p>
        </w:tc>
        <w:tc>
          <w:tcPr/>
          <w:p>
            <w:pPr>
              <w:pStyle w:val="Compact"/>
            </w:pPr>
            <w:r>
              <w:t xml:space="preserve">cost + income</w:t>
            </w:r>
          </w:p>
        </w:tc>
        <w:tc>
          <w:tcPr/>
          <w:p>
            <w:pPr>
              <w:pStyle w:val="Compact"/>
            </w:pPr>
            <w:r>
              <w:t xml:space="preserve">localization, yield, lifecycle cost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ОПК / критические технологии</w:t>
            </w:r>
          </w:p>
        </w:tc>
        <w:tc>
          <w:tcPr/>
          <w:p>
            <w:pPr>
              <w:pStyle w:val="Compact"/>
            </w:pPr>
            <w:r>
              <w:t xml:space="preserve">know-how, software, trade secrets, documentation</w:t>
            </w:r>
          </w:p>
        </w:tc>
        <w:tc>
          <w:tcPr/>
          <w:p>
            <w:pPr>
              <w:pStyle w:val="Compact"/>
            </w:pPr>
            <w:r>
              <w:t xml:space="preserve">secure internal valuation</w:t>
            </w:r>
          </w:p>
        </w:tc>
        <w:tc>
          <w:tcPr/>
          <w:p>
            <w:pPr>
              <w:pStyle w:val="Compact"/>
            </w:pPr>
            <w:r>
              <w:t xml:space="preserve">technological sovereignty, substitutability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Транспорт / инфраструктура</w:t>
            </w:r>
          </w:p>
        </w:tc>
        <w:tc>
          <w:tcPr/>
          <w:p>
            <w:pPr>
              <w:pStyle w:val="Compact"/>
            </w:pPr>
            <w:r>
              <w:t xml:space="preserve">software, concession rights, traffic data, models</w:t>
            </w:r>
          </w:p>
        </w:tc>
        <w:tc>
          <w:tcPr/>
          <w:p>
            <w:pPr>
              <w:pStyle w:val="Compact"/>
            </w:pPr>
            <w:r>
              <w:t xml:space="preserve">income/cost</w:t>
            </w:r>
          </w:p>
        </w:tc>
        <w:tc>
          <w:tcPr/>
          <w:p>
            <w:pPr>
              <w:pStyle w:val="Compact"/>
            </w:pPr>
            <w:r>
              <w:t xml:space="preserve">capacity, reliability, cost reduction</w:t>
            </w:r>
          </w:p>
        </w:tc>
      </w:tr>
    </w:tbl>
    <w:p>
      <w:pPr>
        <w:pStyle w:val="BodyText"/>
      </w:pPr>
      <w:r>
        <w:t xml:space="preserve">Методические требования должны запрещать использование</w:t>
      </w:r>
      <w:r>
        <w:t xml:space="preserve"> </w:t>
      </w:r>
      <w:r>
        <w:rPr>
          <w:b/>
          <w:bCs/>
        </w:rPr>
        <w:t xml:space="preserve">одного числа стоимости без interval/sensitivity analysis</w:t>
      </w:r>
      <w:r>
        <w:t xml:space="preserve"> </w:t>
      </w:r>
      <w:r>
        <w:t xml:space="preserve">для material Level-3-type valuations.</w:t>
      </w:r>
    </w:p>
    <w:p>
      <w:pPr>
        <w:pStyle w:val="BodyText"/>
      </w:pPr>
      <w:r>
        <w:t xml:space="preserve">Для значимых НМА отчёт должен показывать минимум base/downside/upside case и чувствительность к трём главным assumptions.</w:t>
      </w:r>
    </w:p>
    <w:bookmarkEnd w:id="95"/>
    <w:bookmarkStart w:id="96" w:name="институциональный-контур"/>
    <w:p>
      <w:pPr>
        <w:pStyle w:val="Heading3"/>
      </w:pPr>
      <w:r>
        <w:t xml:space="preserve">Институциональный контур</w:t>
      </w:r>
    </w:p>
    <w:p>
      <w:pPr>
        <w:pStyle w:val="FirstParagraph"/>
      </w:pPr>
      <w:r>
        <w:t xml:space="preserve">Целесообразно сформировать национальную</w:t>
      </w:r>
      <w:r>
        <w:t xml:space="preserve"> </w:t>
      </w:r>
      <w:r>
        <w:rPr>
          <w:b/>
          <w:bCs/>
        </w:rPr>
        <w:t xml:space="preserve">методическую платформу оценки и статистики НМА</w:t>
      </w:r>
      <w:r>
        <w:t xml:space="preserve"> </w:t>
      </w:r>
      <w:r>
        <w:t xml:space="preserve">по принципу, близкому китайской архитектуре:</w:t>
      </w:r>
    </w:p>
    <w:p>
      <w:pPr>
        <w:pStyle w:val="BodyText"/>
      </w:pPr>
      <w:r>
        <w:rPr>
          <w:b/>
          <w:bCs/>
        </w:rPr>
        <w:t xml:space="preserve">библиотека объектов → библиотека методов → библиотека параметров → библиотека royalty/transaction benchmarks → библиотека useful lives → библиотека impairment cases → отраслевые индексы.</w:t>
      </w:r>
    </w:p>
    <w:p>
      <w:pPr>
        <w:pStyle w:val="BodyText"/>
      </w:pPr>
      <w:r>
        <w:t xml:space="preserve">Китайская политика data assets прямо предполагает аналогичные standard/rule/indicator/model/case libraries.</w:t>
      </w:r>
      <w:r>
        <w:t xml:space="preserve"> </w:t>
      </w:r>
      <w:hyperlink r:id="rId38">
        <w:r>
          <w:rPr>
            <w:rStyle w:val="Hyperlink"/>
          </w:rPr>
          <w:t xml:space="preserve">[61]</w:t>
        </w:r>
      </w:hyperlink>
    </w:p>
    <w:p>
      <w:pPr>
        <w:pStyle w:val="BodyText"/>
      </w:pPr>
      <w:r>
        <w:t xml:space="preserve">Российский контур можно строить на связке:</w:t>
      </w:r>
    </w:p>
    <w:p>
      <w:pPr>
        <w:pStyle w:val="BodyText"/>
      </w:pPr>
      <w:r>
        <w:rPr>
          <w:b/>
          <w:bCs/>
        </w:rPr>
        <w:t xml:space="preserve">Минфин → Минэкономразвития/оценочное сообщество → Роспатент → Росстат → ФНС → отраслевые ведомства → Росимущество → госкорпорации → институты развития.</w:t>
      </w:r>
    </w:p>
    <w:p>
      <w:pPr>
        <w:pStyle w:val="BodyText"/>
      </w:pPr>
      <w:r>
        <w:t xml:space="preserve">Бухгалтерская стоимость при этом остаётся в компетенции применимых стандартов, а единая платформа создаёт</w:t>
      </w:r>
      <w:r>
        <w:t xml:space="preserve"> </w:t>
      </w:r>
      <w:r>
        <w:rPr>
          <w:b/>
          <w:bCs/>
        </w:rPr>
        <w:t xml:space="preserve">benchmark infrastructure</w:t>
      </w:r>
      <w:r>
        <w:t xml:space="preserve">, не административную «государственную цену патента».</w:t>
      </w:r>
    </w:p>
    <w:bookmarkEnd w:id="96"/>
    <w:bookmarkStart w:id="97" w:name="X93ef718349eb9c47c7282133810416cb30a0833"/>
    <w:p>
      <w:pPr>
        <w:pStyle w:val="Heading3"/>
      </w:pPr>
      <w:r>
        <w:t xml:space="preserve">Двухконтурный баланс нематериального капитала</w:t>
      </w:r>
    </w:p>
    <w:p>
      <w:pPr>
        <w:pStyle w:val="FirstParagraph"/>
      </w:pPr>
      <w:r>
        <w:t xml:space="preserve">Для государственных корпораций рекомендуется ежегодно формировать:</w:t>
      </w:r>
    </w:p>
    <w:p>
      <w:pPr>
        <w:pStyle w:val="BodyText"/>
      </w:pPr>
      <w:r>
        <w:rPr>
          <w:b/>
          <w:bCs/>
        </w:rPr>
        <w:t xml:space="preserve">Финансовый слой:</w:t>
      </w:r>
      <w:r>
        <w:t xml:space="preserve"> </w:t>
      </w:r>
      <w:r>
        <w:t xml:space="preserve">recognised intangible assets + goodwill + amortization + impairment.</w:t>
      </w:r>
    </w:p>
    <w:p>
      <w:pPr>
        <w:pStyle w:val="BodyText"/>
      </w:pPr>
      <w:r>
        <w:rPr>
          <w:b/>
          <w:bCs/>
        </w:rPr>
        <w:t xml:space="preserve">Стратегический слой:</w:t>
      </w:r>
      <w:r>
        <w:t xml:space="preserve"> </w:t>
      </w:r>
      <w:r>
        <w:t xml:space="preserve">весь контролируемый intangible capital, включая непризнанные ресурсы.</w:t>
      </w:r>
    </w:p>
    <w:p>
      <w:pPr>
        <w:pStyle w:val="BodyText"/>
      </w:pPr>
      <w:r>
        <w:t xml:space="preserve">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Ресурс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В бухбалансе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В стратегическом реестре</w:t>
            </w:r>
          </w:p>
        </w:tc>
        <w:tc>
          <w:tcPr/>
          <w:p>
            <w:pPr>
              <w:pStyle w:val="Compact"/>
            </w:pPr>
            <w:r>
              <w:t xml:space="preserve">Оценка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приобретённый патент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RFR/DCF</w:t>
            </w:r>
          </w:p>
        </w:tc>
        <w:tc>
          <w:tcPr/>
          <w:p>
            <w:pPr>
              <w:pStyle w:val="Compact"/>
            </w:pPr>
            <w:r>
              <w:t xml:space="preserve">licensing revenue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собственный бренд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часто нет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RFR</w:t>
            </w:r>
          </w:p>
        </w:tc>
        <w:tc>
          <w:tcPr/>
          <w:p>
            <w:pPr>
              <w:pStyle w:val="Compact"/>
            </w:pPr>
            <w:r>
              <w:t xml:space="preserve">brand premium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собственное know-how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часто нет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income/cost</w:t>
            </w:r>
          </w:p>
        </w:tc>
        <w:tc>
          <w:tcPr/>
          <w:p>
            <w:pPr>
              <w:pStyle w:val="Compact"/>
            </w:pPr>
            <w:r>
              <w:t xml:space="preserve">cost advantage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разработанное ПО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зависит от критериев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cost/income</w:t>
            </w:r>
          </w:p>
        </w:tc>
        <w:tc>
          <w:tcPr/>
          <w:p>
            <w:pPr>
              <w:pStyle w:val="Compact"/>
            </w:pPr>
            <w:r>
              <w:t xml:space="preserve">reuse + savings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зависит от критериев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income/cost</w:t>
            </w:r>
          </w:p>
        </w:tc>
        <w:tc>
          <w:tcPr/>
          <w:p>
            <w:pPr>
              <w:pStyle w:val="Compact"/>
            </w:pPr>
            <w:r>
              <w:t xml:space="preserve">monetisation / productivity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компетенции команды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да, агрегированно</w:t>
            </w:r>
          </w:p>
        </w:tc>
        <w:tc>
          <w:tcPr/>
          <w:p>
            <w:pPr>
              <w:pStyle w:val="Compact"/>
            </w:pPr>
            <w:r>
              <w:t xml:space="preserve">не обязательно monetary</w:t>
            </w:r>
          </w:p>
        </w:tc>
        <w:tc>
          <w:tcPr/>
          <w:p>
            <w:pPr>
              <w:pStyle w:val="Compact"/>
            </w:pPr>
            <w:r>
              <w:t xml:space="preserve">critical-skills coverage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organisational capital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преимущественно KPI</w:t>
            </w:r>
          </w:p>
        </w:tc>
        <w:tc>
          <w:tcPr/>
          <w:p>
            <w:pPr>
              <w:pStyle w:val="Compact"/>
            </w:pPr>
            <w:r>
              <w:t xml:space="preserve">productivity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goodwill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 после M&amp;A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impairment model</w:t>
            </w:r>
          </w:p>
        </w:tc>
        <w:tc>
          <w:tcPr/>
          <w:p>
            <w:pPr>
              <w:pStyle w:val="Compact"/>
            </w:pPr>
            <w:r>
              <w:t xml:space="preserve">realization of synergies</w:t>
            </w:r>
          </w:p>
        </w:tc>
      </w:tr>
    </w:tbl>
    <w:p>
      <w:pPr>
        <w:pStyle w:val="BodyText"/>
      </w:pPr>
      <w:r>
        <w:t xml:space="preserve">Именно этот подход позволяет</w:t>
      </w:r>
      <w:r>
        <w:t xml:space="preserve"> </w:t>
      </w:r>
      <w:r>
        <w:rPr>
          <w:b/>
          <w:bCs/>
        </w:rPr>
        <w:t xml:space="preserve">не разрушить достоверность бухгалтерского учёта чрезмерной капитализацией</w:t>
      </w:r>
      <w:r>
        <w:t xml:space="preserve">, но одновременно дать государству реальную карту интеллектуального капитала.</w:t>
      </w:r>
    </w:p>
    <w:bookmarkEnd w:id="97"/>
    <w:bookmarkStart w:id="101" w:name="нма-и-система-kpi"/>
    <w:p>
      <w:pPr>
        <w:pStyle w:val="Heading3"/>
      </w:pPr>
      <w:r>
        <w:t xml:space="preserve">НМА и система KPI</w:t>
      </w:r>
    </w:p>
    <w:p>
      <w:pPr>
        <w:pStyle w:val="FirstParagraph"/>
      </w:pPr>
      <w:r>
        <w:t xml:space="preserve">В государственном секторе опасно стимулировать менеджмент KPI «рост балансовой стоимости НМА»: его можно выполнить через M&amp;A, капитализацию затрат или оптимистичные оценки, не создав реального экономического эффекта.</w:t>
      </w:r>
    </w:p>
    <w:p>
      <w:pPr>
        <w:pStyle w:val="BodyText"/>
      </w:pPr>
      <w:r>
        <w:t xml:space="preserve">Правильнее строить цепочку от ресурса к результату: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334000" cy="1596907"/>
                  <wp:effectExtent b="0" l="0" r="0" t="0"/>
                  <wp:docPr descr="Rendered Mermaid diagram 3" title="" id="99" name="Picture"/>
                  <a:graphic>
                    <a:graphicData uri="http://schemas.openxmlformats.org/drawingml/2006/picture">
                      <pic:pic>
                        <pic:nvPicPr>
                          <pic:cNvPr descr="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" id="10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1596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</w:tbl>
    <w:p>
      <w:pPr>
        <w:pStyle w:val="BodyText"/>
      </w:pPr>
      <w:r>
        <w:t xml:space="preserve">Содержательно это означает:</w:t>
      </w:r>
      <w:r>
        <w:t xml:space="preserve"> </w:t>
      </w:r>
      <w:r>
        <w:rPr>
          <w:b/>
          <w:bCs/>
        </w:rPr>
        <w:t xml:space="preserve">единицей эффективности становится не сам патент, а economic outcome контролируемой технологии</w:t>
      </w:r>
      <w:r>
        <w:t xml:space="preserve">.</w:t>
      </w:r>
    </w:p>
    <w:bookmarkEnd w:id="101"/>
    <w:bookmarkStart w:id="102" w:name="X27587272e5704a19311242c2719d18a6b444086"/>
    <w:p>
      <w:pPr>
        <w:pStyle w:val="Heading3"/>
      </w:pPr>
      <w:r>
        <w:t xml:space="preserve">KPI национального и корпоративного уровня</w:t>
      </w:r>
    </w:p>
    <w:p>
      <w:pPr>
        <w:pStyle w:val="FirstParagraph"/>
      </w:pPr>
      <w:r>
        <w:t xml:space="preserve">Для органов власти и госкорпораций целесообразен ограниченный набор сквозных показателей.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Формула / смысл</w:t>
            </w:r>
          </w:p>
        </w:tc>
        <w:tc>
          <w:tcPr/>
          <w:p>
            <w:pPr>
              <w:pStyle w:val="Compact"/>
            </w:pPr>
            <w:r>
              <w:t xml:space="preserve">Целевой эффект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Coverage of intangible inventory</w:t>
            </w:r>
          </w:p>
        </w:tc>
        <w:tc>
          <w:tcPr/>
          <w:p>
            <w:pPr>
              <w:pStyle w:val="Compact"/>
            </w:pPr>
            <w:r>
              <w:t xml:space="preserve">идентифицированные material resources / оценочная генеральная совокупность</w:t>
            </w:r>
          </w:p>
        </w:tc>
        <w:tc>
          <w:tcPr/>
          <w:p>
            <w:pPr>
              <w:pStyle w:val="Compact"/>
            </w:pPr>
            <w:r>
              <w:t xml:space="preserve">устранить «бесхозные» НМА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Legal protection coverage</w:t>
            </w:r>
          </w:p>
        </w:tc>
        <w:tc>
          <w:tcPr/>
          <w:p>
            <w:pPr>
              <w:pStyle w:val="Compact"/>
            </w:pPr>
            <w:r>
              <w:t xml:space="preserve">критические НМА с документированным режимом прав / все критические НМА</w:t>
            </w:r>
          </w:p>
        </w:tc>
        <w:tc>
          <w:tcPr/>
          <w:p>
            <w:pPr>
              <w:pStyle w:val="Compact"/>
            </w:pPr>
            <w:r>
              <w:t xml:space="preserve">защита ownership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Commercialization rate</w:t>
            </w:r>
          </w:p>
        </w:tc>
        <w:tc>
          <w:tcPr/>
          <w:p>
            <w:pPr>
              <w:pStyle w:val="Compact"/>
            </w:pPr>
            <w:r>
              <w:t xml:space="preserve">НМА с промышленным/коммерческим использованием / коммерциализируемый портфель</w:t>
            </w:r>
          </w:p>
        </w:tc>
        <w:tc>
          <w:tcPr/>
          <w:p>
            <w:pPr>
              <w:pStyle w:val="Compact"/>
            </w:pPr>
            <w:r>
              <w:t xml:space="preserve">от патентов к выпуску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External IP revenue</w:t>
            </w:r>
          </w:p>
        </w:tc>
        <w:tc>
          <w:tcPr/>
          <w:p>
            <w:pPr>
              <w:pStyle w:val="Compact"/>
            </w:pPr>
            <w:r>
              <w:t xml:space="preserve">royalties + licensing income</w:t>
            </w:r>
          </w:p>
        </w:tc>
        <w:tc>
          <w:tcPr/>
          <w:p>
            <w:pPr>
              <w:pStyle w:val="Compact"/>
            </w:pPr>
            <w:r>
              <w:t xml:space="preserve">измерять рынок технологий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Internal technology effect</w:t>
            </w:r>
          </w:p>
        </w:tc>
        <w:tc>
          <w:tcPr/>
          <w:p>
            <w:pPr>
              <w:pStyle w:val="Compact"/>
            </w:pPr>
            <w:r>
              <w:t xml:space="preserve">подтверждённая экономия/добавленная EBITDA от собственных технологий</w:t>
            </w:r>
          </w:p>
        </w:tc>
        <w:tc>
          <w:tcPr/>
          <w:p>
            <w:pPr>
              <w:pStyle w:val="Compact"/>
            </w:pPr>
            <w:r>
              <w:t xml:space="preserve">измерять производительность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R&amp;D-to-deployment cycle</w:t>
            </w:r>
          </w:p>
        </w:tc>
        <w:tc>
          <w:tcPr/>
          <w:p>
            <w:pPr>
              <w:pStyle w:val="Compact"/>
            </w:pPr>
            <w:r>
              <w:t xml:space="preserve">время от development milestone до промышленного внедрения</w:t>
            </w:r>
          </w:p>
        </w:tc>
        <w:tc>
          <w:tcPr/>
          <w:p>
            <w:pPr>
              <w:pStyle w:val="Compact"/>
            </w:pPr>
            <w:r>
              <w:t xml:space="preserve">ускорять инновационный цикл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Dormant IP share</w:t>
            </w:r>
          </w:p>
        </w:tc>
        <w:tc>
          <w:tcPr/>
          <w:p>
            <w:pPr>
              <w:pStyle w:val="Compact"/>
            </w:pPr>
            <w:r>
              <w:t xml:space="preserve">НМА без использования и monetization plan</w:t>
            </w:r>
          </w:p>
        </w:tc>
        <w:tc>
          <w:tcPr/>
          <w:p>
            <w:pPr>
              <w:pStyle w:val="Compact"/>
            </w:pPr>
            <w:r>
              <w:t xml:space="preserve">очищать портфель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Impairment forecast accuracy</w:t>
            </w:r>
          </w:p>
        </w:tc>
        <w:tc>
          <w:tcPr/>
          <w:p>
            <w:pPr>
              <w:pStyle w:val="Compact"/>
            </w:pPr>
            <w:r>
              <w:t xml:space="preserve">forecast recoverable amount vs actual outcomes</w:t>
            </w:r>
          </w:p>
        </w:tc>
        <w:tc>
          <w:tcPr/>
          <w:p>
            <w:pPr>
              <w:pStyle w:val="Compact"/>
            </w:pPr>
            <w:r>
              <w:t xml:space="preserve">контролировать качество оценок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Valuation confidence</w:t>
            </w:r>
          </w:p>
        </w:tc>
        <w:tc>
          <w:tcPr/>
          <w:p>
            <w:pPr>
              <w:pStyle w:val="Compact"/>
            </w:pPr>
            <w:r>
              <w:t xml:space="preserve">доля material valuations с independent review и sensitivity analysis</w:t>
            </w:r>
          </w:p>
        </w:tc>
        <w:tc>
          <w:tcPr/>
          <w:p>
            <w:pPr>
              <w:pStyle w:val="Compact"/>
            </w:pPr>
            <w:r>
              <w:t xml:space="preserve">снижать model risk</w:t>
            </w:r>
          </w:p>
        </w:tc>
      </w:tr>
      <w:tr>
        <w:tc>
          <w:tcPr/>
          <w:p>
            <w:pPr>
              <w:pStyle w:val="Compact"/>
            </w:pPr>
            <w:r>
              <w:t xml:space="preserve">Cyber-protected critical IA</w:t>
            </w:r>
          </w:p>
        </w:tc>
        <w:tc>
          <w:tcPr/>
          <w:p>
            <w:pPr>
              <w:pStyle w:val="Compact"/>
            </w:pPr>
            <w:r>
              <w:t xml:space="preserve">критические НМА с установленным security baseline</w:t>
            </w:r>
          </w:p>
        </w:tc>
        <w:tc>
          <w:tcPr/>
          <w:p>
            <w:pPr>
              <w:pStyle w:val="Compact"/>
            </w:pPr>
            <w:r>
              <w:t xml:space="preserve">защищать intangible 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M&amp;A synergy realization</w:t>
            </w:r>
          </w:p>
        </w:tc>
        <w:tc>
          <w:tcPr/>
          <w:p>
            <w:pPr>
              <w:pStyle w:val="Compact"/>
            </w:pPr>
            <w:r>
              <w:t xml:space="preserve">реализованный эффект / synergy case сделки</w:t>
            </w:r>
          </w:p>
        </w:tc>
        <w:tc>
          <w:tcPr/>
          <w:p>
            <w:pPr>
              <w:pStyle w:val="Compact"/>
            </w:pPr>
            <w:r>
              <w:t xml:space="preserve">контролировать goodwill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resource coverage</w:t>
            </w:r>
          </w:p>
        </w:tc>
        <w:tc>
          <w:tcPr/>
          <w:p>
            <w:pPr>
              <w:pStyle w:val="Compact"/>
            </w:pPr>
            <w:r>
              <w:t xml:space="preserve">critical datasets с owner, rights, quality и security metadata</w:t>
            </w:r>
          </w:p>
        </w:tc>
        <w:tc>
          <w:tcPr/>
          <w:p>
            <w:pPr>
              <w:pStyle w:val="Compact"/>
            </w:pPr>
            <w:r>
              <w:t xml:space="preserve">перейти к data governance</w:t>
            </w:r>
          </w:p>
        </w:tc>
      </w:tr>
    </w:tbl>
    <w:p>
      <w:pPr>
        <w:pStyle w:val="BodyText"/>
      </w:pPr>
      <w:r>
        <w:t xml:space="preserve">Ключевым государственным показателем не должна становиться абсолютная сумма НМА: межотраслевая сопоставимость такой суммы низка, а incentive к завышению оценки слишком велик.</w:t>
      </w:r>
    </w:p>
    <w:bookmarkEnd w:id="102"/>
    <w:bookmarkStart w:id="104" w:name="финансирование-под-ip"/>
    <w:p>
      <w:pPr>
        <w:pStyle w:val="Heading3"/>
      </w:pPr>
      <w:r>
        <w:t xml:space="preserve">Финансирование под IP</w:t>
      </w:r>
    </w:p>
    <w:p>
      <w:pPr>
        <w:pStyle w:val="FirstParagraph"/>
      </w:pPr>
      <w:r>
        <w:t xml:space="preserve">Следующий уровень зрелости — использование качественно идентифицированных и оценённых НМА для financing, collateral structures, licensing и securitisation там, где это юридически и экономически допустимо.</w:t>
      </w:r>
    </w:p>
    <w:p>
      <w:pPr>
        <w:pStyle w:val="BodyText"/>
      </w:pPr>
      <w:r>
        <w:t xml:space="preserve">Европейские институты в 2026 году отдельно исследуют</w:t>
      </w:r>
      <w:r>
        <w:t xml:space="preserve"> </w:t>
      </w:r>
      <w:r>
        <w:rPr>
          <w:b/>
          <w:bCs/>
        </w:rPr>
        <w:t xml:space="preserve">IP-backed finance</w:t>
      </w:r>
      <w:r>
        <w:t xml:space="preserve"> </w:t>
      </w:r>
      <w:r>
        <w:t xml:space="preserve">и отмечают, что одной из причин слабого использования IP как обеспечения остаётся недостаточная понятность и принимаемость соответствующих активов кредиторами.</w:t>
      </w:r>
      <w:r>
        <w:t xml:space="preserve"> </w:t>
      </w:r>
      <w:hyperlink r:id="rId103">
        <w:r>
          <w:rPr>
            <w:rStyle w:val="Hyperlink"/>
          </w:rPr>
          <w:t xml:space="preserve">[62]</w:t>
        </w:r>
      </w:hyperlink>
    </w:p>
    <w:p>
      <w:pPr>
        <w:pStyle w:val="BodyText"/>
      </w:pPr>
      <w:r>
        <w:t xml:space="preserve">Поэтому государственное стимулирование IP-backed lending в России должно начинаться</w:t>
      </w:r>
      <w:r>
        <w:t xml:space="preserve"> </w:t>
      </w:r>
      <w:r>
        <w:rPr>
          <w:b/>
          <w:bCs/>
        </w:rPr>
        <w:t xml:space="preserve">не с обязательного принятия патента банком в залог</w:t>
      </w:r>
      <w:r>
        <w:t xml:space="preserve">, а с:</w:t>
      </w:r>
    </w:p>
    <w:p>
      <w:pPr>
        <w:pStyle w:val="BodyText"/>
      </w:pPr>
      <w:r>
        <w:t xml:space="preserve">стандарта due diligence; реестра обременений; единых valuation reports; статистики recoveries; secondary market; страхования отдельных рисков; процедур обращения взыскания.</w:t>
      </w:r>
    </w:p>
    <w:bookmarkEnd w:id="104"/>
    <w:bookmarkStart w:id="106" w:name="налоговая-политика"/>
    <w:p>
      <w:pPr>
        <w:pStyle w:val="Heading3"/>
      </w:pPr>
      <w:r>
        <w:t xml:space="preserve">Налоговая политика</w:t>
      </w:r>
    </w:p>
    <w:p>
      <w:pPr>
        <w:pStyle w:val="FirstParagraph"/>
      </w:pPr>
      <w:r>
        <w:t xml:space="preserve">Российское налоговое стимулирование уже движется в сторону приоритетных технологических НМА: с 2025 года для ряда российских программ, баз данных, AI-related и определённых R&amp;D-generated rights предусмотрены повышающие коэффициенты.</w:t>
      </w:r>
      <w:r>
        <w:t xml:space="preserve"> </w:t>
      </w:r>
      <w:hyperlink r:id="rId47">
        <w:r>
          <w:rPr>
            <w:rStyle w:val="Hyperlink"/>
          </w:rPr>
          <w:t xml:space="preserve">[33]</w:t>
        </w:r>
      </w:hyperlink>
    </w:p>
    <w:p>
      <w:pPr>
        <w:pStyle w:val="BodyText"/>
      </w:pPr>
      <w:r>
        <w:t xml:space="preserve">Следующий принцип должен состоять в том, чтобы налоговый стимул зависел не только от факта покупки или регистрации актива, но и от</w:t>
      </w:r>
      <w:r>
        <w:t xml:space="preserve"> </w:t>
      </w:r>
      <w:r>
        <w:rPr>
          <w:b/>
          <w:bCs/>
        </w:rPr>
        <w:t xml:space="preserve">содержательной технологической деятельности</w:t>
      </w:r>
      <w:r>
        <w:t xml:space="preserve">. Иначе система рискует стимулировать юридическое переоформление прав вместо разработки технологий.</w:t>
      </w:r>
    </w:p>
    <w:p>
      <w:pPr>
        <w:pStyle w:val="BodyText"/>
      </w:pPr>
      <w:r>
        <w:t xml:space="preserve">Для международных групп необходим отдельный контроль:</w:t>
      </w:r>
    </w:p>
    <w:p>
      <w:pPr>
        <w:pStyle w:val="BodyText"/>
      </w:pPr>
      <w:r>
        <w:rPr>
          <w:b/>
          <w:bCs/>
        </w:rPr>
        <w:t xml:space="preserve">DEMPE-like economics → где создаётся технология → кто несёт R&amp;D risk → кто контролирует IP → где возникает royalty → какова arm's-length valuation.</w:t>
      </w:r>
    </w:p>
    <w:p>
      <w:pPr>
        <w:pStyle w:val="BodyText"/>
      </w:pPr>
      <w:r>
        <w:t xml:space="preserve">Международный опыт ЕС показывает, что размещение patents и royalty flows способно становиться инструментом profit shifting, поэтому политика поддержки IP должна одновременно иметь anti-abuse layer.</w:t>
      </w:r>
      <w:r>
        <w:t xml:space="preserve"> </w:t>
      </w:r>
      <w:hyperlink r:id="rId105">
        <w:r>
          <w:rPr>
            <w:rStyle w:val="Hyperlink"/>
          </w:rPr>
          <w:t xml:space="preserve">[63]</w:t>
        </w:r>
      </w:hyperlink>
    </w:p>
    <w:bookmarkEnd w:id="106"/>
    <w:bookmarkEnd w:id="107"/>
    <w:bookmarkStart w:id="110" w:name="Xf54129118afecdb9b63f72998ffef5e897d5a28"/>
    <w:p>
      <w:pPr>
        <w:pStyle w:val="Heading2"/>
      </w:pPr>
      <w:r>
        <w:t xml:space="preserve">Дорожная карта России по управлению НМА до 2030 года</w:t>
      </w:r>
    </w:p>
    <w:p>
      <w:pPr>
        <w:pStyle w:val="FirstParagraph"/>
      </w:pPr>
      <w:r>
        <w:t xml:space="preserve">Предлагаемая дорожная карта исходит из того, что</w:t>
      </w:r>
      <w:r>
        <w:t xml:space="preserve"> </w:t>
      </w:r>
      <w:r>
        <w:rPr>
          <w:b/>
          <w:bCs/>
        </w:rPr>
        <w:t xml:space="preserve">ФСБУ 14/2022 и ФСО XI уже действуют</w:t>
      </w:r>
      <w:r>
        <w:t xml:space="preserve">; следовательно, целью является не замена действующего бухгалтерского регулирования, а создание над ним интегрированной государственно-корпоративной системы.</w:t>
      </w:r>
      <w:r>
        <w:t xml:space="preserve"> </w:t>
      </w:r>
      <w:hyperlink r:id="rId108">
        <w:r>
          <w:rPr>
            <w:rStyle w:val="Hyperlink"/>
          </w:rPr>
          <w:t xml:space="preserve">[64]</w:t>
        </w:r>
      </w:hyperlink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Период</w:t>
            </w:r>
          </w:p>
        </w:tc>
        <w:tc>
          <w:tcPr/>
          <w:p>
            <w:pPr>
              <w:pStyle w:val="Compact"/>
            </w:pPr>
            <w:r>
              <w:t xml:space="preserve">Основные действия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  <w:tc>
          <w:tcPr/>
          <w:p>
            <w:pPr>
              <w:pStyle w:val="Compact"/>
            </w:pPr>
            <w:r>
              <w:t xml:space="preserve">Контрольные KPI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2026</w:t>
            </w:r>
          </w:p>
        </w:tc>
        <w:tc>
          <w:tcPr/>
          <w:p>
            <w:pPr>
              <w:pStyle w:val="Compact"/>
            </w:pPr>
            <w:r>
              <w:t xml:space="preserve">единый классификатор/паспорт НМА; инвентаризация в пилотных госкорпорациях; разделение accounting и strategic perimeter</w:t>
            </w:r>
          </w:p>
        </w:tc>
        <w:tc>
          <w:tcPr/>
          <w:p>
            <w:pPr>
              <w:pStyle w:val="Compact"/>
            </w:pPr>
            <w:r>
              <w:t xml:space="preserve">видимость портфеля</w:t>
            </w:r>
          </w:p>
        </w:tc>
        <w:tc>
          <w:tcPr/>
          <w:p>
            <w:pPr>
              <w:pStyle w:val="Compact"/>
            </w:pPr>
            <w:r>
              <w:t xml:space="preserve">≥90% material НМА пилотов идентифицировано; 100% critical assets имеют owner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2027</w:t>
            </w:r>
          </w:p>
        </w:tc>
        <w:tc>
          <w:tcPr/>
          <w:p>
            <w:pPr>
              <w:pStyle w:val="Compact"/>
            </w:pPr>
            <w:r>
              <w:t xml:space="preserve">единая методика valuation governance; отраслевые profiles; sensitivity/scenario rules; API-связка с IP registers</w:t>
            </w:r>
          </w:p>
        </w:tc>
        <w:tc>
          <w:tcPr/>
          <w:p>
            <w:pPr>
              <w:pStyle w:val="Compact"/>
            </w:pPr>
            <w:r>
              <w:t xml:space="preserve">сопоставимость оценки</w:t>
            </w:r>
          </w:p>
        </w:tc>
        <w:tc>
          <w:tcPr/>
          <w:p>
            <w:pPr>
              <w:pStyle w:val="Compact"/>
            </w:pPr>
            <w:r>
              <w:t xml:space="preserve">100% material valuations имеют method rationale; ≥80% — sensitivity analysis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2027–2028</w:t>
            </w:r>
          </w:p>
        </w:tc>
        <w:tc>
          <w:tcPr/>
          <w:p>
            <w:pPr>
              <w:pStyle w:val="Compact"/>
            </w:pPr>
            <w:r>
              <w:t xml:space="preserve">расширение на data assets, software, AI models и know-how; cybersecurity classification</w:t>
            </w:r>
          </w:p>
        </w:tc>
        <w:tc>
          <w:tcPr/>
          <w:p>
            <w:pPr>
              <w:pStyle w:val="Compact"/>
            </w:pPr>
            <w:r>
              <w:t xml:space="preserve">цифровой контур НМА</w:t>
            </w:r>
          </w:p>
        </w:tc>
        <w:tc>
          <w:tcPr/>
          <w:p>
            <w:pPr>
              <w:pStyle w:val="Compact"/>
            </w:pPr>
            <w:r>
              <w:t xml:space="preserve">≥95% critical digital assets имеют rights/security metadata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2028</w:t>
            </w:r>
          </w:p>
        </w:tc>
        <w:tc>
          <w:tcPr/>
          <w:p>
            <w:pPr>
              <w:pStyle w:val="Compact"/>
            </w:pPr>
            <w:r>
              <w:t xml:space="preserve">национальная benchmark-база сделок, royalty ranges, useful lives и impairment cases</w:t>
            </w:r>
          </w:p>
        </w:tc>
        <w:tc>
          <w:tcPr/>
          <w:p>
            <w:pPr>
              <w:pStyle w:val="Compact"/>
            </w:pPr>
            <w:r>
              <w:t xml:space="preserve">снижение model risk</w:t>
            </w:r>
          </w:p>
        </w:tc>
        <w:tc>
          <w:tcPr/>
          <w:p>
            <w:pPr>
              <w:pStyle w:val="Compact"/>
            </w:pPr>
            <w:r>
              <w:t xml:space="preserve">≥5 ключевых отраслей имеют benchmark libraries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2028–2029</w:t>
            </w:r>
          </w:p>
        </w:tc>
        <w:tc>
          <w:tcPr/>
          <w:p>
            <w:pPr>
              <w:pStyle w:val="Compact"/>
            </w:pPr>
            <w:r>
              <w:t xml:space="preserve">интеграция НМА с M&amp;A governance и инвестиционными комитетами</w:t>
            </w:r>
          </w:p>
        </w:tc>
        <w:tc>
          <w:tcPr/>
          <w:p>
            <w:pPr>
              <w:pStyle w:val="Compact"/>
            </w:pPr>
            <w:r>
              <w:t xml:space="preserve">контроль goodwill</w:t>
            </w:r>
          </w:p>
        </w:tc>
        <w:tc>
          <w:tcPr/>
          <w:p>
            <w:pPr>
              <w:pStyle w:val="Compact"/>
            </w:pPr>
            <w:r>
              <w:t xml:space="preserve">100% крупных M&amp;A проходят independent PPA review; synergy KPI отслеживаются ≥3 лет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2029</w:t>
            </w:r>
          </w:p>
        </w:tc>
        <w:tc>
          <w:tcPr/>
          <w:p>
            <w:pPr>
              <w:pStyle w:val="Compact"/>
            </w:pPr>
            <w:r>
              <w:t xml:space="preserve">пилоты IP-backed finance и страхования технологических прав</w:t>
            </w:r>
          </w:p>
        </w:tc>
        <w:tc>
          <w:tcPr/>
          <w:p>
            <w:pPr>
              <w:pStyle w:val="Compact"/>
            </w:pPr>
            <w:r>
              <w:t xml:space="preserve">превращение НМА в финансовый ресурс</w:t>
            </w:r>
          </w:p>
        </w:tc>
        <w:tc>
          <w:tcPr/>
          <w:p>
            <w:pPr>
              <w:pStyle w:val="Compact"/>
            </w:pPr>
            <w:r>
              <w:t xml:space="preserve">измеряемый объём pilot financing; NPL/recovery statistics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2029–2030</w:t>
            </w:r>
          </w:p>
        </w:tc>
        <w:tc>
          <w:tcPr/>
          <w:p>
            <w:pPr>
              <w:pStyle w:val="Compact"/>
            </w:pPr>
            <w:r>
              <w:t xml:space="preserve">макроагрегат intangible investment совместно со статистическим контуром; межотраслевые балансы</w:t>
            </w:r>
          </w:p>
        </w:tc>
        <w:tc>
          <w:tcPr/>
          <w:p>
            <w:pPr>
              <w:pStyle w:val="Compact"/>
            </w:pPr>
            <w:r>
              <w:t xml:space="preserve">национальная карта нематериального капитала</w:t>
            </w:r>
          </w:p>
        </w:tc>
        <w:tc>
          <w:tcPr/>
          <w:p>
            <w:pPr>
              <w:pStyle w:val="Compact"/>
            </w:pPr>
            <w:r>
              <w:t xml:space="preserve">регулярная статистическая публикация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2030</w:t>
            </w:r>
          </w:p>
        </w:tc>
        <w:tc>
          <w:tcPr/>
          <w:p>
            <w:pPr>
              <w:pStyle w:val="Compact"/>
            </w:pPr>
            <w:r>
              <w:t xml:space="preserve">интегрированный National Intangible Capital Observatory / platform</w:t>
            </w:r>
          </w:p>
        </w:tc>
        <w:tc>
          <w:tcPr/>
          <w:p>
            <w:pPr>
              <w:pStyle w:val="Compact"/>
            </w:pPr>
            <w:r>
              <w:t xml:space="preserve">постоянный мониторинг</w:t>
            </w:r>
          </w:p>
        </w:tc>
        <w:tc>
          <w:tcPr/>
          <w:p>
            <w:pPr>
              <w:pStyle w:val="Compact"/>
            </w:pPr>
            <w:r>
              <w:t xml:space="preserve">единая аналитика государство—госкорпорации—наука—финансы</w:t>
            </w:r>
          </w:p>
        </w:tc>
      </w:tr>
    </w:tbl>
    <w:p>
      <w:pPr>
        <w:pStyle w:val="BodyText"/>
      </w:pPr>
      <w:r>
        <w:rPr>
          <w:b/>
          <w:bCs/>
        </w:rPr>
        <w:t xml:space="preserve">Приоритет на 2026 год:</w:t>
      </w:r>
      <w:r>
        <w:t xml:space="preserve"> </w:t>
      </w:r>
      <w:r>
        <w:t xml:space="preserve">не переоценка миллионов объектов, а инвентаризация и классификация. Без достоверного owner, правовой природы, источника создания, связей с продуктами и cybersecurity любой monetary valuation будет создавать ложную точность.</w:t>
      </w:r>
    </w:p>
    <w:p>
      <w:pPr>
        <w:pStyle w:val="BodyText"/>
      </w:pPr>
      <w:r>
        <w:rPr>
          <w:b/>
          <w:bCs/>
        </w:rPr>
        <w:t xml:space="preserve">Приоритет 2027 года:</w:t>
      </w:r>
      <w:r>
        <w:t xml:space="preserve"> </w:t>
      </w:r>
      <w:r>
        <w:t xml:space="preserve">valuation governance. Для существенного НМА в государственной группе должны храниться модель, исходные assumptions, дата оценки, confidence interval, сценарии, reviewer и audit trail.</w:t>
      </w:r>
    </w:p>
    <w:p>
      <w:pPr>
        <w:pStyle w:val="BodyText"/>
      </w:pPr>
      <w:r>
        <w:rPr>
          <w:b/>
          <w:bCs/>
        </w:rPr>
        <w:t xml:space="preserve">Приоритет 2028 года:</w:t>
      </w:r>
      <w:r>
        <w:t xml:space="preserve"> </w:t>
      </w:r>
      <w:r>
        <w:t xml:space="preserve">data/software/AI. Китайский опыт показывает, что data-resource accounting становится самостоятельным регуляторным направлением; IASB одновременно рассматривает data, AI, software и SaaS в рамках модернизации IAS 38. России рациональнее заранее создавать управленческий data-asset register, не ожидая обязательной бухгалтерской капитализации всех таких ресурсов.</w:t>
      </w:r>
      <w:r>
        <w:t xml:space="preserve"> </w:t>
      </w:r>
      <w:hyperlink r:id="rId37">
        <w:r>
          <w:rPr>
            <w:rStyle w:val="Hyperlink"/>
          </w:rPr>
          <w:t xml:space="preserve">[65]</w:t>
        </w:r>
      </w:hyperlink>
    </w:p>
    <w:p>
      <w:pPr>
        <w:pStyle w:val="BodyText"/>
      </w:pPr>
      <w:r>
        <w:rPr>
          <w:b/>
          <w:bCs/>
        </w:rPr>
        <w:t xml:space="preserve">Приоритет 2029 года:</w:t>
      </w:r>
      <w:r>
        <w:t xml:space="preserve"> </w:t>
      </w:r>
      <w:r>
        <w:t xml:space="preserve">финансируемость НМА. Только после накопления истории сделок, recoveries и valuation accuracy разумно масштабировать IP-backed finance.</w:t>
      </w:r>
    </w:p>
    <w:p>
      <w:pPr>
        <w:pStyle w:val="BodyText"/>
      </w:pPr>
      <w:r>
        <w:rPr>
          <w:b/>
          <w:bCs/>
        </w:rPr>
        <w:t xml:space="preserve">Приоритет 2030 года:</w:t>
      </w:r>
      <w:r>
        <w:t xml:space="preserve"> </w:t>
      </w:r>
      <w:r>
        <w:t xml:space="preserve">связать корпоративные реестры с макроэкономикой. WIPO показывает, что intangible investment уже стала сопоставима и превосходит tangible investment по доле ВВП в наблюдаемой совокупности развитых и крупных экономик. Российская промышленная политика, которая измеряет только здания, станки и финансовые вложения, будет систематически недооценивать технологическую основу производства.</w:t>
      </w:r>
      <w:r>
        <w:t xml:space="preserve"> </w:t>
      </w:r>
      <w:hyperlink r:id="rId11">
        <w:r>
          <w:rPr>
            <w:rStyle w:val="Hyperlink"/>
          </w:rPr>
          <w:t xml:space="preserve">[2]</w:t>
        </w:r>
      </w:hyperlink>
    </w:p>
    <w:p>
      <w:pPr>
        <w:pStyle w:val="BodyText"/>
      </w:pPr>
      <w:r>
        <w:rPr>
          <w:b/>
          <w:bCs/>
        </w:rPr>
        <w:t xml:space="preserve">Итоговая архитектура политики может быть сведена к семи принципам:</w:t>
      </w:r>
    </w:p>
    <w:p>
      <w:pPr>
        <w:pStyle w:val="BodyText"/>
      </w:pPr>
      <w:r>
        <w:rPr>
          <w:b/>
          <w:bCs/>
        </w:rPr>
        <w:t xml:space="preserve">Не капитализировать всё — идентифицировать всё существенное.</w:t>
      </w:r>
      <w:r>
        <w:t xml:space="preserve"> </w:t>
      </w:r>
      <w:r>
        <w:t xml:space="preserve">IAS 38 и US GAAP сохраняют консервативность не случайно: стоимость многих internally generated resources невозможно надёжно отделить от стоимости бизнеса в целом.</w:t>
      </w:r>
      <w:r>
        <w:t xml:space="preserve"> </w:t>
      </w:r>
      <w:hyperlink r:id="rId24">
        <w:r>
          <w:rPr>
            <w:rStyle w:val="Hyperlink"/>
          </w:rPr>
          <w:t xml:space="preserve">[66]</w:t>
        </w:r>
      </w:hyperlink>
    </w:p>
    <w:p>
      <w:pPr>
        <w:pStyle w:val="BodyText"/>
      </w:pPr>
      <w:r>
        <w:rPr>
          <w:b/>
          <w:bCs/>
        </w:rPr>
        <w:t xml:space="preserve">Разделить бухгалтерскую и стратегическую стоимость.</w:t>
      </w:r>
      <w:r>
        <w:t xml:space="preserve"> </w:t>
      </w:r>
      <w:r>
        <w:t xml:space="preserve">Непризнанный в финансовом балансе ресурс может быть критическим для технологического суверенитета.</w:t>
      </w:r>
    </w:p>
    <w:p>
      <w:pPr>
        <w:pStyle w:val="BodyText"/>
      </w:pPr>
      <w:r>
        <w:rPr>
          <w:b/>
          <w:bCs/>
        </w:rPr>
        <w:t xml:space="preserve">Оценивать сценарий, а не только число.</w:t>
      </w:r>
      <w:r>
        <w:t xml:space="preserve"> </w:t>
      </w:r>
      <w:r>
        <w:t xml:space="preserve">Для material НМА обязательны sensitivity analysis и диапазон неопределённости.</w:t>
      </w:r>
    </w:p>
    <w:p>
      <w:pPr>
        <w:pStyle w:val="BodyText"/>
      </w:pPr>
      <w:r>
        <w:rPr>
          <w:b/>
          <w:bCs/>
        </w:rPr>
        <w:t xml:space="preserve">Связывать НМА с продуктом и cash flow.</w:t>
      </w:r>
      <w:r>
        <w:t xml:space="preserve"> </w:t>
      </w:r>
      <w:r>
        <w:t xml:space="preserve">Патент без внедрения не должен автоматически улучшать KPI.</w:t>
      </w:r>
    </w:p>
    <w:p>
      <w:pPr>
        <w:pStyle w:val="BodyText"/>
      </w:pPr>
      <w:r>
        <w:rPr>
          <w:b/>
          <w:bCs/>
        </w:rPr>
        <w:t xml:space="preserve">Связывать M&amp;A с последующим контролем goodwill.</w:t>
      </w:r>
      <w:r>
        <w:t xml:space="preserve"> </w:t>
      </w:r>
      <w:r>
        <w:t xml:space="preserve">Microsoft/Activision показывает масштаб PPA: при цене $75,408 млрд на goodwill пришлось $51,001 млрд, а на identifiable intangibles — $21,969 млрд. Такие суммы требуют многолетнего monitoring фактической реализации синергий.</w:t>
      </w:r>
      <w:r>
        <w:t xml:space="preserve"> </w:t>
      </w:r>
      <w:hyperlink r:id="rId16">
        <w:r>
          <w:rPr>
            <w:rStyle w:val="Hyperlink"/>
          </w:rPr>
          <w:t xml:space="preserve">[44]</w:t>
        </w:r>
      </w:hyperlink>
    </w:p>
    <w:p>
      <w:pPr>
        <w:pStyle w:val="BodyText"/>
      </w:pPr>
      <w:r>
        <w:rPr>
          <w:b/>
          <w:bCs/>
        </w:rPr>
        <w:t xml:space="preserve">Сделать data assets самостоятельным направлением.</w:t>
      </w:r>
      <w:r>
        <w:t xml:space="preserve"> </w:t>
      </w:r>
      <w:r>
        <w:t xml:space="preserve">Здесь наиболее интересный государственный benchmark сегодня предоставляет Китай.</w:t>
      </w:r>
      <w:r>
        <w:t xml:space="preserve"> </w:t>
      </w:r>
      <w:hyperlink r:id="rId37">
        <w:r>
          <w:rPr>
            <w:rStyle w:val="Hyperlink"/>
          </w:rPr>
          <w:t xml:space="preserve">[52]</w:t>
        </w:r>
      </w:hyperlink>
    </w:p>
    <w:p>
      <w:pPr>
        <w:pStyle w:val="BodyText"/>
      </w:pPr>
      <w:r>
        <w:rPr>
          <w:b/>
          <w:bCs/>
        </w:rPr>
        <w:t xml:space="preserve">Считать cybersecurity частью сохранения стоимости.</w:t>
      </w:r>
      <w:r>
        <w:t xml:space="preserve"> </w:t>
      </w:r>
      <w:r>
        <w:t xml:space="preserve">Кража know-how или данных — это не только IT incident, но потенциальный impairment экономического актива.</w:t>
      </w:r>
      <w:r>
        <w:t xml:space="preserve"> </w:t>
      </w:r>
      <w:hyperlink r:id="rId90">
        <w:r>
          <w:rPr>
            <w:rStyle w:val="Hyperlink"/>
          </w:rPr>
          <w:t xml:space="preserve">[59]</w:t>
        </w:r>
      </w:hyperlink>
    </w:p>
    <w:p>
      <w:pPr>
        <w:pStyle w:val="BodyText"/>
      </w:pPr>
      <w:r>
        <w:t xml:space="preserve">В результате к 2030 году для крупной российской государственной корпорации целевая модель должна выглядеть не как одна строка «Нематериальные активы» в балансе, а как связанная система: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Н</m:t>
              </m:r>
              <m:r>
                <m:t>И</m:t>
              </m:r>
              <m:r>
                <m:t>О</m:t>
              </m:r>
              <m:r>
                <m:t>К</m:t>
              </m:r>
              <m:r>
                <m:t>Р</m:t>
              </m:r>
              <m:r>
                <m:rPr>
                  <m:sty m:val="p"/>
                </m:rPr>
                <m:t>→</m:t>
              </m:r>
              <m:r>
                <m:t>Р</m:t>
              </m:r>
              <m:r>
                <m:t>И</m:t>
              </m:r>
              <m:r>
                <m:t>Д</m:t>
              </m:r>
              <m:r>
                <m:rPr>
                  <m:sty m:val="p"/>
                </m:rPr>
                <m:t>/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н</m:t>
              </m:r>
              <m:r>
                <m:t>ы</m:t>
              </m:r>
              <m:r>
                <m:t>е</m:t>
              </m:r>
              <m:r>
                <m:rPr>
                  <m:sty m:val="p"/>
                </m:rPr>
                <m:t>/</m:t>
              </m:r>
              <m:r>
                <m:t>П</m:t>
              </m:r>
              <m:r>
                <m:t>О</m:t>
              </m:r>
              <m:r>
                <m:rPr>
                  <m:sty m:val="p"/>
                </m:rPr>
                <m:t>/</m:t>
              </m:r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​</m:t>
              </m:r>
              <m:r>
                <m:rPr>
                  <m:sty m:val="p"/>
                </m:rPr>
                <m:t>−</m:t>
              </m:r>
              <m:r>
                <m:t>​</m:t>
              </m:r>
              <m:r>
                <m:t>h</m:t>
              </m:r>
              <m:r>
                <m:t>o</m:t>
              </m:r>
              <m:r>
                <m:t>w</m:t>
              </m:r>
              <m:r>
                <m:rPr>
                  <m:sty m:val="p"/>
                </m:rPr>
                <m:t>→</m:t>
              </m:r>
              <m:r>
                <m:t>П</m:t>
              </m:r>
              <m:r>
                <m:t>р</m:t>
              </m:r>
              <m:r>
                <m:t>а</m:t>
              </m:r>
              <m:r>
                <m:t>в</m:t>
              </m:r>
              <m:r>
                <m:t>о</m:t>
              </m:r>
              <m:r>
                <m:rPr>
                  <m:sty m:val="p"/>
                </m:rPr>
                <m:t>→</m:t>
              </m:r>
              <m:r>
                <m:t>Р</m:t>
              </m:r>
              <m:r>
                <m:t>е</m:t>
              </m:r>
              <m:r>
                <m:t>е</m:t>
              </m:r>
              <m:r>
                <m:t>с</m:t>
              </m:r>
              <m:r>
                <m:t>т</m:t>
              </m:r>
              <m:r>
                <m:t>р</m:t>
              </m:r>
              <m:r>
                <m:rPr>
                  <m:sty m:val="p"/>
                </m:rPr>
                <m:t>→</m:t>
              </m:r>
              <m:r>
                <m:t>О</m:t>
              </m:r>
              <m:r>
                <m:t>ц</m:t>
              </m:r>
              <m:r>
                <m:t>е</m:t>
              </m:r>
              <m:r>
                <m:t>н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→</m:t>
              </m:r>
              <m:r>
                <m:t>З</m:t>
              </m:r>
              <m:r>
                <m:t>а</m:t>
              </m:r>
              <m:r>
                <m:t>щ</m:t>
              </m:r>
              <m:r>
                <m:t>и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→</m:t>
              </m:r>
              <m:r>
                <m:t>В</m:t>
              </m:r>
              <m:r>
                <m:t>н</m:t>
              </m:r>
              <m:r>
                <m:t>е</m:t>
              </m:r>
              <m:r>
                <m:t>д</m:t>
              </m:r>
              <m:r>
                <m:t>р</m:t>
              </m:r>
              <m:r>
                <m:t>е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→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t> 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rPr>
                  <m:sty m:val="p"/>
                </m:rPr>
                <m:t>/</m:t>
              </m:r>
              <m:r>
                <m:t>Э</m:t>
              </m:r>
              <m:r>
                <m:t>ф</m:t>
              </m:r>
              <m:r>
                <m:t>ф</m:t>
              </m:r>
              <m:r>
                <m:t>е</m:t>
              </m:r>
              <m:r>
                <m:t>к</m:t>
              </m:r>
              <m:r>
                <m:t>т</m:t>
              </m:r>
              <m:r>
                <m:rPr>
                  <m:sty m:val="p"/>
                </m:rPr>
                <m:t>→</m:t>
              </m:r>
              <m:r>
                <m:t>K</m:t>
              </m:r>
              <m:r>
                <m:t>P</m:t>
              </m:r>
              <m:r>
                <m:t>I</m:t>
              </m:r>
              <m:r>
                <m:rPr>
                  <m:sty m:val="p"/>
                </m:rPr>
                <m:t>→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я</m:t>
              </m:r>
              <m:r>
                <m:t> 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с</m:t>
              </m:r>
              <m:r>
                <m:t>т</m:t>
              </m:r>
              <m:r>
                <m:t>и</m:t>
              </m:r>
              <m:r>
                <m:t>ц</m:t>
              </m:r>
              <m:r>
                <m:t>и</m:t>
              </m:r>
              <m:r>
                <m:t>я</m:t>
              </m:r>
            </m:e>
          </m:borderBox>
        </m:oMath>
      </m:oMathPara>
    </w:p>
    <w:p>
      <w:pPr>
        <w:pStyle w:val="FirstParagraph"/>
      </w:pPr>
      <w:r>
        <w:t xml:space="preserve">Именно в этом состоит наиболее существенный урок мирового опыта:</w:t>
      </w:r>
      <w:r>
        <w:t xml:space="preserve"> </w:t>
      </w:r>
      <w:r>
        <w:rPr>
          <w:b/>
          <w:bCs/>
        </w:rPr>
        <w:t xml:space="preserve">современная система НМА — уже не только бухгалтерский учёт объектов интеллектуальной собственности. Это инфраструктура управления знаниями, правами, данными, технологиями, стоимостью и риском на протяжении полного жизненного цикла нематериального капитала.</w:t>
      </w:r>
      <w:r>
        <w:t xml:space="preserve"> </w:t>
      </w:r>
      <w:r>
        <w:t xml:space="preserve">Движение IASB к комплексному пересмотру IAS 38, работа FASB над software/intangibles, китайская институционализация data assets и растущее макроэкономическое измерение intangible investment WIPO указывают в одном направлении — от статического учёта отдельных прав к управлению нематериальной производственной базой экономики.</w:t>
      </w:r>
      <w:r>
        <w:t xml:space="preserve"> </w:t>
      </w:r>
      <w:hyperlink r:id="rId109">
        <w:r>
          <w:rPr>
            <w:rStyle w:val="Hyperlink"/>
          </w:rPr>
          <w:t xml:space="preserve">[67]</w:t>
        </w:r>
      </w:hyperlink>
    </w:p>
    <w:bookmarkEnd w:id="110"/>
    <w:bookmarkEnd w:id="111"/>
    <w:bookmarkEnd w:id="112"/>
    <w:p>
      <w:r>
        <w:pict>
          <v:rect style="width:0;height:1.5pt" o:hralign="center" o:hrstd="t" o:hr="t"/>
        </w:pict>
      </w:r>
    </w:p>
    <w:bookmarkStart w:id="113" w:name="citations"/>
    <w:p>
      <w:pPr>
        <w:pStyle w:val="FirstParagraph"/>
      </w:pPr>
      <w:hyperlink r:id="rId10">
        <w:r>
          <w:rPr>
            <w:rStyle w:val="Hyperlink"/>
          </w:rPr>
          <w:t xml:space="preserve">[1]</w:t>
        </w:r>
      </w:hyperlink>
      <w:r>
        <w:t xml:space="preserve"> </w:t>
      </w:r>
      <w:hyperlink r:id="rId10">
        <w:r>
          <w:rPr>
            <w:rStyle w:val="Hyperlink"/>
          </w:rPr>
          <w:t xml:space="preserve">[4]</w:t>
        </w:r>
      </w:hyperlink>
      <w:r>
        <w:t xml:space="preserve"> </w:t>
      </w:r>
      <w:hyperlink r:id="rId10">
        <w:r>
          <w:rPr>
            <w:rStyle w:val="Hyperlink"/>
          </w:rPr>
          <w:t xml:space="preserve">[12]</w:t>
        </w:r>
      </w:hyperlink>
      <w:r>
        <w:t xml:space="preserve"> </w:t>
      </w:r>
      <w:hyperlink r:id="rId10">
        <w:r>
          <w:rPr>
            <w:rStyle w:val="Hyperlink"/>
          </w:rPr>
          <w:t xml:space="preserve">[13]</w:t>
        </w:r>
      </w:hyperlink>
      <w:r>
        <w:t xml:space="preserve"> </w:t>
      </w:r>
      <w:hyperlink r:id="rId10">
        <w:r>
          <w:rPr>
            <w:rStyle w:val="Hyperlink"/>
          </w:rPr>
          <w:t xml:space="preserve">[14]</w:t>
        </w:r>
      </w:hyperlink>
      <w:r>
        <w:t xml:space="preserve"> </w:t>
      </w:r>
      <w:hyperlink r:id="rId10">
        <w:r>
          <w:rPr>
            <w:rStyle w:val="Hyperlink"/>
          </w:rPr>
          <w:t xml:space="preserve">[29]</w:t>
        </w:r>
      </w:hyperlink>
      <w:r>
        <w:t xml:space="preserve"> </w:t>
      </w:r>
      <w:r>
        <w:t xml:space="preserve">https://www.ifrs.org/issued-standards/list-of-standards/ias-38-intangible-assets/</w:t>
      </w:r>
    </w:p>
    <w:p>
      <w:pPr>
        <w:pStyle w:val="BodyText"/>
      </w:pPr>
      <w:hyperlink r:id="rId10">
        <w:r>
          <w:rPr>
            <w:rStyle w:val="Hyperlink"/>
          </w:rPr>
          <w:t xml:space="preserve">https://www.ifrs.org/issued-standards/list-of-standards/ias-38-intangible-assets/</w:t>
        </w:r>
      </w:hyperlink>
    </w:p>
    <w:p>
      <w:pPr>
        <w:pStyle w:val="BodyText"/>
      </w:pPr>
      <w:hyperlink r:id="rId11">
        <w:r>
          <w:rPr>
            <w:rStyle w:val="Hyperlink"/>
          </w:rPr>
          <w:t xml:space="preserve">[2]</w:t>
        </w:r>
      </w:hyperlink>
      <w:r>
        <w:t xml:space="preserve"> </w:t>
      </w:r>
      <w:r>
        <w:t xml:space="preserve">https://www.wipo.int/web-publications/world-intangible-investment-highlights-2026/en/key-trends-and-insights.html</w:t>
      </w:r>
    </w:p>
    <w:p>
      <w:pPr>
        <w:pStyle w:val="BodyText"/>
      </w:pPr>
      <w:hyperlink r:id="rId11">
        <w:r>
          <w:rPr>
            <w:rStyle w:val="Hyperlink"/>
          </w:rPr>
          <w:t xml:space="preserve">https://www.wipo.int/web-publications/world-intangible-investment-highlights-2026/en/key-trends-and-insights.html</w:t>
        </w:r>
      </w:hyperlink>
    </w:p>
    <w:p>
      <w:pPr>
        <w:pStyle w:val="BodyText"/>
      </w:pPr>
      <w:hyperlink r:id="rId12">
        <w:r>
          <w:rPr>
            <w:rStyle w:val="Hyperlink"/>
          </w:rPr>
          <w:t xml:space="preserve">[3]</w:t>
        </w:r>
      </w:hyperlink>
      <w:r>
        <w:t xml:space="preserve"> </w:t>
      </w:r>
      <w:hyperlink r:id="rId12">
        <w:r>
          <w:rPr>
            <w:rStyle w:val="Hyperlink"/>
          </w:rPr>
          <w:t xml:space="preserve">[51]</w:t>
        </w:r>
      </w:hyperlink>
      <w:r>
        <w:t xml:space="preserve"> </w:t>
      </w:r>
      <w:r>
        <w:t xml:space="preserve">https://www.nber.org/books-and-chapters/measuring-capital-new-economy</w:t>
      </w:r>
    </w:p>
    <w:p>
      <w:pPr>
        <w:pStyle w:val="BodyText"/>
      </w:pPr>
      <w:hyperlink r:id="rId12">
        <w:r>
          <w:rPr>
            <w:rStyle w:val="Hyperlink"/>
          </w:rPr>
          <w:t xml:space="preserve">https://www.nber.org/books-and-chapters/measuring-capital-new-economy</w:t>
        </w:r>
      </w:hyperlink>
    </w:p>
    <w:p>
      <w:pPr>
        <w:pStyle w:val="BodyText"/>
      </w:pPr>
      <w:hyperlink r:id="rId13">
        <w:r>
          <w:rPr>
            <w:rStyle w:val="Hyperlink"/>
          </w:rPr>
          <w:t xml:space="preserve">[5]</w:t>
        </w:r>
      </w:hyperlink>
      <w:r>
        <w:t xml:space="preserve"> </w:t>
      </w:r>
      <w:hyperlink r:id="rId13">
        <w:r>
          <w:rPr>
            <w:rStyle w:val="Hyperlink"/>
          </w:rPr>
          <w:t xml:space="preserve">[19]</w:t>
        </w:r>
      </w:hyperlink>
      <w:r>
        <w:t xml:space="preserve"> </w:t>
      </w:r>
      <w:r>
        <w:t xml:space="preserve">https://storage.fasb.org/BMHO20220622.pdf</w:t>
      </w:r>
    </w:p>
    <w:p>
      <w:pPr>
        <w:pStyle w:val="BodyText"/>
      </w:pPr>
      <w:hyperlink r:id="rId13">
        <w:r>
          <w:rPr>
            <w:rStyle w:val="Hyperlink"/>
          </w:rPr>
          <w:t xml:space="preserve">https://storage.fasb.org/BMHO20220622.pdf</w:t>
        </w:r>
      </w:hyperlink>
    </w:p>
    <w:p>
      <w:pPr>
        <w:pStyle w:val="BodyText"/>
      </w:pPr>
      <w:hyperlink r:id="rId14">
        <w:r>
          <w:rPr>
            <w:rStyle w:val="Hyperlink"/>
          </w:rPr>
          <w:t xml:space="preserve">[6]</w:t>
        </w:r>
      </w:hyperlink>
      <w:r>
        <w:t xml:space="preserve"> </w:t>
      </w:r>
      <w:hyperlink r:id="rId14">
        <w:r>
          <w:rPr>
            <w:rStyle w:val="Hyperlink"/>
          </w:rPr>
          <w:t xml:space="preserve">[23]</w:t>
        </w:r>
      </w:hyperlink>
      <w:r>
        <w:t xml:space="preserve"> </w:t>
      </w:r>
      <w:r>
        <w:t xml:space="preserve">https://eur-lex.europa.eu/eli/reg/2002/1606/oj/eng</w:t>
      </w:r>
    </w:p>
    <w:p>
      <w:pPr>
        <w:pStyle w:val="BodyText"/>
      </w:pPr>
      <w:hyperlink r:id="rId14">
        <w:r>
          <w:rPr>
            <w:rStyle w:val="Hyperlink"/>
          </w:rPr>
          <w:t xml:space="preserve">https://eur-lex.europa.eu/eli/reg/2002/1606/oj/eng</w:t>
        </w:r>
      </w:hyperlink>
    </w:p>
    <w:p>
      <w:pPr>
        <w:pStyle w:val="BodyText"/>
      </w:pPr>
      <w:hyperlink r:id="rId15">
        <w:r>
          <w:rPr>
            <w:rStyle w:val="Hyperlink"/>
          </w:rPr>
          <w:t xml:space="preserve">[7]</w:t>
        </w:r>
      </w:hyperlink>
      <w:r>
        <w:t xml:space="preserve"> </w:t>
      </w:r>
      <w:r>
        <w:t xml:space="preserve">https://www.mof.gov.cn/jrttts/202312/t20231220_3923180.htm</w:t>
      </w:r>
    </w:p>
    <w:p>
      <w:pPr>
        <w:pStyle w:val="BodyText"/>
      </w:pPr>
      <w:hyperlink r:id="rId15">
        <w:r>
          <w:rPr>
            <w:rStyle w:val="Hyperlink"/>
          </w:rPr>
          <w:t xml:space="preserve">https://www.mof.gov.cn/jrttts/202312/t20231220_3923180.htm</w:t>
        </w:r>
      </w:hyperlink>
    </w:p>
    <w:p>
      <w:pPr>
        <w:pStyle w:val="BodyText"/>
      </w:pPr>
      <w:hyperlink r:id="rId16">
        <w:r>
          <w:rPr>
            <w:rStyle w:val="Hyperlink"/>
          </w:rPr>
          <w:t xml:space="preserve">[8]</w:t>
        </w:r>
      </w:hyperlink>
      <w:r>
        <w:t xml:space="preserve"> </w:t>
      </w:r>
      <w:hyperlink r:id="rId16">
        <w:r>
          <w:rPr>
            <w:rStyle w:val="Hyperlink"/>
          </w:rPr>
          <w:t xml:space="preserve">[40]</w:t>
        </w:r>
      </w:hyperlink>
      <w:r>
        <w:t xml:space="preserve"> </w:t>
      </w:r>
      <w:hyperlink r:id="rId16">
        <w:r>
          <w:rPr>
            <w:rStyle w:val="Hyperlink"/>
          </w:rPr>
          <w:t xml:space="preserve">[42]</w:t>
        </w:r>
      </w:hyperlink>
      <w:r>
        <w:t xml:space="preserve"> </w:t>
      </w:r>
      <w:hyperlink r:id="rId16">
        <w:r>
          <w:rPr>
            <w:rStyle w:val="Hyperlink"/>
          </w:rPr>
          <w:t xml:space="preserve">[43]</w:t>
        </w:r>
      </w:hyperlink>
      <w:r>
        <w:t xml:space="preserve"> </w:t>
      </w:r>
      <w:hyperlink r:id="rId16">
        <w:r>
          <w:rPr>
            <w:rStyle w:val="Hyperlink"/>
          </w:rPr>
          <w:t xml:space="preserve">[44]</w:t>
        </w:r>
      </w:hyperlink>
      <w:r>
        <w:t xml:space="preserve"> </w:t>
      </w:r>
      <w:r>
        <w:t xml:space="preserve">https://www.microsoft.com/investor/reports/ar25/index.html</w:t>
      </w:r>
    </w:p>
    <w:p>
      <w:pPr>
        <w:pStyle w:val="BodyText"/>
      </w:pPr>
      <w:hyperlink r:id="rId16">
        <w:r>
          <w:rPr>
            <w:rStyle w:val="Hyperlink"/>
          </w:rPr>
          <w:t xml:space="preserve">https://www.microsoft.com/investor/reports/ar25/index.html</w:t>
        </w:r>
      </w:hyperlink>
    </w:p>
    <w:p>
      <w:pPr>
        <w:pStyle w:val="BodyText"/>
      </w:pPr>
      <w:hyperlink r:id="rId17">
        <w:r>
          <w:rPr>
            <w:rStyle w:val="Hyperlink"/>
          </w:rPr>
          <w:t xml:space="preserve">[9]</w:t>
        </w:r>
      </w:hyperlink>
      <w:r>
        <w:t xml:space="preserve"> </w:t>
      </w:r>
      <w:r>
        <w:t xml:space="preserve">https://www.ifrs.org/content/dam/ifrs/meetings/2025/february/iasb/ap17a-update-on-feedback.pdf</w:t>
      </w:r>
    </w:p>
    <w:p>
      <w:pPr>
        <w:pStyle w:val="BodyText"/>
      </w:pPr>
      <w:hyperlink r:id="rId17">
        <w:r>
          <w:rPr>
            <w:rStyle w:val="Hyperlink"/>
          </w:rPr>
          <w:t xml:space="preserve">https://www.ifrs.org/content/dam/ifrs/meetings/2025/february/iasb/ap17a-update-on-feedback.pdf</w:t>
        </w:r>
      </w:hyperlink>
    </w:p>
    <w:p>
      <w:pPr>
        <w:pStyle w:val="BodyText"/>
      </w:pPr>
      <w:hyperlink r:id="rId18">
        <w:r>
          <w:rPr>
            <w:rStyle w:val="Hyperlink"/>
          </w:rPr>
          <w:t xml:space="preserve">[10]</w:t>
        </w:r>
      </w:hyperlink>
      <w:r>
        <w:t xml:space="preserve"> </w:t>
      </w:r>
      <w:hyperlink r:id="rId18">
        <w:r>
          <w:rPr>
            <w:rStyle w:val="Hyperlink"/>
          </w:rPr>
          <w:t xml:space="preserve">[34]</w:t>
        </w:r>
      </w:hyperlink>
      <w:r>
        <w:t xml:space="preserve"> </w:t>
      </w:r>
      <w:hyperlink r:id="rId18">
        <w:r>
          <w:rPr>
            <w:rStyle w:val="Hyperlink"/>
          </w:rPr>
          <w:t xml:space="preserve">[35]</w:t>
        </w:r>
      </w:hyperlink>
      <w:r>
        <w:t xml:space="preserve"> </w:t>
      </w:r>
      <w:r>
        <w:t xml:space="preserve">IFRS 13 Fair Value Measurement</w:t>
      </w:r>
    </w:p>
    <w:p>
      <w:pPr>
        <w:pStyle w:val="BodyText"/>
      </w:pPr>
      <w:hyperlink r:id="rId18">
        <w:r>
          <w:rPr>
            <w:rStyle w:val="Hyperlink"/>
          </w:rPr>
          <w:t xml:space="preserve">https://www.ifrs.org/issued-standards/list-of-standards/ifrs-13-fair-value-measurement/?utm_source=chatgpt.com</w:t>
        </w:r>
      </w:hyperlink>
    </w:p>
    <w:p>
      <w:pPr>
        <w:pStyle w:val="BodyText"/>
      </w:pPr>
      <w:hyperlink r:id="rId19">
        <w:r>
          <w:rPr>
            <w:rStyle w:val="Hyperlink"/>
          </w:rPr>
          <w:t xml:space="preserve">[11]</w:t>
        </w:r>
      </w:hyperlink>
      <w:r>
        <w:t xml:space="preserve"> </w:t>
      </w:r>
      <w:r>
        <w:t xml:space="preserve">https://minfin.gov.ru/ru/document/?id_4=136833-novoe_v_bukhgalterskom_zakonodatelstve_fakty_i_kommentarii</w:t>
      </w:r>
    </w:p>
    <w:p>
      <w:pPr>
        <w:pStyle w:val="BodyText"/>
      </w:pPr>
      <w:hyperlink r:id="rId19">
        <w:r>
          <w:rPr>
            <w:rStyle w:val="Hyperlink"/>
          </w:rPr>
          <w:t xml:space="preserve">https://minfin.gov.ru/ru/document/?id_4=136833-novoe_v_bukhgalterskom_zakonodatelstve_fakty_i_kommentarii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[15]</w:t>
        </w:r>
      </w:hyperlink>
      <w:r>
        <w:t xml:space="preserve"> </w:t>
      </w:r>
      <w:hyperlink r:id="rId24">
        <w:r>
          <w:rPr>
            <w:rStyle w:val="Hyperlink"/>
          </w:rPr>
          <w:t xml:space="preserve">[66]</w:t>
        </w:r>
      </w:hyperlink>
      <w:r>
        <w:t xml:space="preserve"> </w:t>
      </w:r>
      <w:r>
        <w:t xml:space="preserve">https://www.ifrs.org/content/dam/ifrs/publications/html-standards/english/2026/issued/ias38.html</w:t>
      </w:r>
    </w:p>
    <w:p>
      <w:pPr>
        <w:pStyle w:val="BodyText"/>
      </w:pPr>
      <w:hyperlink r:id="rId24">
        <w:r>
          <w:rPr>
            <w:rStyle w:val="Hyperlink"/>
          </w:rPr>
          <w:t xml:space="preserve">https://www.ifrs.org/content/dam/ifrs/publications/html-standards/english/2026/issued/ias38.html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[16]</w:t>
        </w:r>
      </w:hyperlink>
      <w:r>
        <w:t xml:space="preserve"> </w:t>
      </w:r>
      <w:r>
        <w:t xml:space="preserve">IFRS - IAS 38 Intangible Assets</w:t>
      </w:r>
    </w:p>
    <w:p>
      <w:pPr>
        <w:pStyle w:val="BodyText"/>
      </w:pPr>
      <w:hyperlink r:id="rId25">
        <w:r>
          <w:rPr>
            <w:rStyle w:val="Hyperlink"/>
          </w:rPr>
          <w:t xml:space="preserve">https://www.ifrs.org/issued-standards/list-of-standards/ias-38-intangible-assets/?utm_source=chatgpt.com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[17]</w:t>
        </w:r>
      </w:hyperlink>
      <w:r>
        <w:t xml:space="preserve"> </w:t>
      </w:r>
      <w:r>
        <w:t xml:space="preserve">IAS 36 Impairment of Assets</w:t>
      </w:r>
    </w:p>
    <w:p>
      <w:pPr>
        <w:pStyle w:val="BodyText"/>
      </w:pPr>
      <w:hyperlink r:id="rId26">
        <w:r>
          <w:rPr>
            <w:rStyle w:val="Hyperlink"/>
          </w:rPr>
          <w:t xml:space="preserve">https://www.ifrs.org/issued-standards/list-of-standards/ias-36-impairment-of-assets/?utm_source=chatgpt.com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[18]</w:t>
        </w:r>
      </w:hyperlink>
      <w:r>
        <w:t xml:space="preserve"> </w:t>
      </w:r>
      <w:r>
        <w:t xml:space="preserve">https://www.ifrs.org/content/dam/ifrs/publications/html-standards/english/2026/issued/ifrs3.html</w:t>
      </w:r>
    </w:p>
    <w:p>
      <w:pPr>
        <w:pStyle w:val="BodyText"/>
      </w:pPr>
      <w:hyperlink r:id="rId27">
        <w:r>
          <w:rPr>
            <w:rStyle w:val="Hyperlink"/>
          </w:rPr>
          <w:t xml:space="preserve">https://www.ifrs.org/content/dam/ifrs/publications/html-standards/english/2026/issued/ifrs3.html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[20]</w:t>
        </w:r>
      </w:hyperlink>
      <w:r>
        <w:t xml:space="preserve"> </w:t>
      </w:r>
      <w:r>
        <w:t xml:space="preserve">https://storage.fasb.org/PCC-Topic%202-PublicMtg-20240418.pdf</w:t>
      </w:r>
    </w:p>
    <w:p>
      <w:pPr>
        <w:pStyle w:val="BodyText"/>
      </w:pPr>
      <w:hyperlink r:id="rId29">
        <w:r>
          <w:rPr>
            <w:rStyle w:val="Hyperlink"/>
          </w:rPr>
          <w:t xml:space="preserve">https://storage.fasb.org/PCC-Topic%202-PublicMtg-20240418.pdf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[21]</w:t>
        </w:r>
      </w:hyperlink>
      <w:r>
        <w:t xml:space="preserve"> </w:t>
      </w:r>
      <w:r>
        <w:t xml:space="preserve">https://www.fasb.org/page/PageContent?bcpath=tff&amp;pageId=%2Freference-library%2Fsuperseded-standards%2Fsummary-of-statement-no-141-revised-2007.html</w:t>
      </w:r>
    </w:p>
    <w:p>
      <w:pPr>
        <w:pStyle w:val="BodyText"/>
      </w:pPr>
      <w:hyperlink r:id="rId30">
        <w:r>
          <w:rPr>
            <w:rStyle w:val="Hyperlink"/>
          </w:rPr>
          <w:t xml:space="preserve">https://www.fasb.org/page/PageContent?bcpath=tff&amp;pageId=%2Freference-library%2Fsuperseded-standards%2Fsummary-of-statement-no-141-revised-2007.html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[22]</w:t>
        </w:r>
      </w:hyperlink>
      <w:r>
        <w:t xml:space="preserve"> </w:t>
      </w:r>
      <w:r>
        <w:t xml:space="preserve">https://www.fasb.org/page/PageContent?isStaticPage=true&amp;pageId=%2Fstaticpages%2Fgoodwill-impairment-testing.html</w:t>
      </w:r>
    </w:p>
    <w:p>
      <w:pPr>
        <w:pStyle w:val="BodyText"/>
      </w:pPr>
      <w:hyperlink r:id="rId31">
        <w:r>
          <w:rPr>
            <w:rStyle w:val="Hyperlink"/>
          </w:rPr>
          <w:t xml:space="preserve">https://www.fasb.org/page/PageContent?isStaticPage=true&amp;pageId=%2Fstaticpages%2Fgoodwill-impairment-testing.html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[24]</w:t>
        </w:r>
      </w:hyperlink>
      <w:r>
        <w:t xml:space="preserve"> </w:t>
      </w:r>
      <w:r>
        <w:t xml:space="preserve">https://eur-lex.europa.eu/legal-content/EN/TXT/PDF/?uri=CELEX%3A02013L0034-20211221</w:t>
      </w:r>
    </w:p>
    <w:p>
      <w:pPr>
        <w:pStyle w:val="BodyText"/>
      </w:pPr>
      <w:hyperlink r:id="rId33">
        <w:r>
          <w:rPr>
            <w:rStyle w:val="Hyperlink"/>
          </w:rPr>
          <w:t xml:space="preserve">https://eur-lex.europa.eu/legal-content/EN/TXT/PDF/?uri=CELEX%3A02013L0034-20211221</w:t>
        </w:r>
      </w:hyperlink>
    </w:p>
    <w:p>
      <w:pPr>
        <w:pStyle w:val="BodyText"/>
      </w:pPr>
      <w:hyperlink r:id="rId34">
        <w:r>
          <w:rPr>
            <w:rStyle w:val="Hyperlink"/>
          </w:rPr>
          <w:t xml:space="preserve">[25]</w:t>
        </w:r>
      </w:hyperlink>
      <w:r>
        <w:t xml:space="preserve"> </w:t>
      </w:r>
      <w:r>
        <w:t xml:space="preserve">https://www.efrag.org/system/files/sites/webpublishing/Meeting%20Documents/2006231244542621/04-02%20Draft%20Discussion%20Paper.pdf</w:t>
      </w:r>
    </w:p>
    <w:p>
      <w:pPr>
        <w:pStyle w:val="BodyText"/>
      </w:pPr>
      <w:hyperlink r:id="rId34">
        <w:r>
          <w:rPr>
            <w:rStyle w:val="Hyperlink"/>
          </w:rPr>
          <w:t xml:space="preserve">https://www.efrag.org/system/files/sites/webpublishing/Meeting%20Documents/2006231244542621/04-02%20Draft%20Discussion%20Paper.pdf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[26]</w:t>
        </w:r>
      </w:hyperlink>
      <w:r>
        <w:t xml:space="preserve"> </w:t>
      </w:r>
      <w:r>
        <w:t xml:space="preserve">https://kzp.mof.gov.cn/content.jsp?class_id=01_21&amp;infoid=1626</w:t>
      </w:r>
    </w:p>
    <w:p>
      <w:pPr>
        <w:pStyle w:val="BodyText"/>
      </w:pPr>
      <w:hyperlink r:id="rId36">
        <w:r>
          <w:rPr>
            <w:rStyle w:val="Hyperlink"/>
          </w:rPr>
          <w:t xml:space="preserve">https://kzp.mof.gov.cn/content.jsp?class_id=01_21&amp;infoid=1626</w:t>
        </w:r>
      </w:hyperlink>
    </w:p>
    <w:p>
      <w:pPr>
        <w:pStyle w:val="BodyText"/>
      </w:pPr>
      <w:hyperlink r:id="rId37">
        <w:r>
          <w:rPr>
            <w:rStyle w:val="Hyperlink"/>
          </w:rPr>
          <w:t xml:space="preserve">[27]</w:t>
        </w:r>
      </w:hyperlink>
      <w:r>
        <w:t xml:space="preserve"> </w:t>
      </w:r>
      <w:hyperlink r:id="rId37">
        <w:r>
          <w:rPr>
            <w:rStyle w:val="Hyperlink"/>
          </w:rPr>
          <w:t xml:space="preserve">[52]</w:t>
        </w:r>
      </w:hyperlink>
      <w:r>
        <w:t xml:space="preserve"> </w:t>
      </w:r>
      <w:hyperlink r:id="rId37">
        <w:r>
          <w:rPr>
            <w:rStyle w:val="Hyperlink"/>
          </w:rPr>
          <w:t xml:space="preserve">[65]</w:t>
        </w:r>
      </w:hyperlink>
      <w:r>
        <w:t xml:space="preserve"> </w:t>
      </w:r>
      <w:r>
        <w:t xml:space="preserve">https://www.mof.gov.cn/zhengwuxinxi/caijingshidian/renminwang/202308/t20230828_3904233.htm</w:t>
      </w:r>
    </w:p>
    <w:p>
      <w:pPr>
        <w:pStyle w:val="BodyText"/>
      </w:pPr>
      <w:hyperlink r:id="rId37">
        <w:r>
          <w:rPr>
            <w:rStyle w:val="Hyperlink"/>
          </w:rPr>
          <w:t xml:space="preserve">https://www.mof.gov.cn/zhengwuxinxi/caijingshidian/renminwang/202308/t20230828_3904233.htm</w:t>
        </w:r>
      </w:hyperlink>
    </w:p>
    <w:p>
      <w:pPr>
        <w:pStyle w:val="BodyText"/>
      </w:pPr>
      <w:hyperlink r:id="rId38">
        <w:r>
          <w:rPr>
            <w:rStyle w:val="Hyperlink"/>
          </w:rPr>
          <w:t xml:space="preserve">[28]</w:t>
        </w:r>
      </w:hyperlink>
      <w:r>
        <w:t xml:space="preserve"> </w:t>
      </w:r>
      <w:hyperlink r:id="rId38">
        <w:r>
          <w:rPr>
            <w:rStyle w:val="Hyperlink"/>
          </w:rPr>
          <w:t xml:space="preserve">[61]</w:t>
        </w:r>
      </w:hyperlink>
      <w:r>
        <w:t xml:space="preserve"> </w:t>
      </w:r>
      <w:r>
        <w:t xml:space="preserve">https://zcpgzx.mof.gov.cn/zcfg/202401/t20240112_3925778.htm</w:t>
      </w:r>
    </w:p>
    <w:p>
      <w:pPr>
        <w:pStyle w:val="BodyText"/>
      </w:pPr>
      <w:hyperlink r:id="rId38">
        <w:r>
          <w:rPr>
            <w:rStyle w:val="Hyperlink"/>
          </w:rPr>
          <w:t xml:space="preserve">https://zcpgzx.mof.gov.cn/zcfg/202401/t20240112_3925778.htm</w:t>
        </w:r>
      </w:hyperlink>
    </w:p>
    <w:p>
      <w:pPr>
        <w:pStyle w:val="BodyText"/>
      </w:pPr>
      <w:hyperlink r:id="rId43">
        <w:r>
          <w:rPr>
            <w:rStyle w:val="Hyperlink"/>
          </w:rPr>
          <w:t xml:space="preserve">[30]</w:t>
        </w:r>
      </w:hyperlink>
      <w:r>
        <w:t xml:space="preserve"> </w:t>
      </w:r>
      <w:r>
        <w:t xml:space="preserve">IFRS - Intangible Assets</w:t>
      </w:r>
    </w:p>
    <w:p>
      <w:pPr>
        <w:pStyle w:val="BodyText"/>
      </w:pPr>
      <w:hyperlink r:id="rId43">
        <w:r>
          <w:rPr>
            <w:rStyle w:val="Hyperlink"/>
          </w:rPr>
          <w:t xml:space="preserve">https://www.ifrs.org/projects/work-plan/intangible-assets/?utm_source=chatgpt.com</w:t>
        </w:r>
      </w:hyperlink>
    </w:p>
    <w:p>
      <w:pPr>
        <w:pStyle w:val="BodyText"/>
      </w:pPr>
      <w:hyperlink r:id="rId45">
        <w:r>
          <w:rPr>
            <w:rStyle w:val="Hyperlink"/>
          </w:rPr>
          <w:t xml:space="preserve">[31]</w:t>
        </w:r>
      </w:hyperlink>
      <w:r>
        <w:t xml:space="preserve"> </w:t>
      </w:r>
      <w:r>
        <w:t xml:space="preserve">https://www.ifrs.org/content/dam/ifrs/publications/html-standards/english/2026/issued/ias12.html</w:t>
      </w:r>
    </w:p>
    <w:p>
      <w:pPr>
        <w:pStyle w:val="BodyText"/>
      </w:pPr>
      <w:hyperlink r:id="rId45">
        <w:r>
          <w:rPr>
            <w:rStyle w:val="Hyperlink"/>
          </w:rPr>
          <w:t xml:space="preserve">https://www.ifrs.org/content/dam/ifrs/publications/html-standards/english/2026/issued/ias12.html</w:t>
        </w:r>
      </w:hyperlink>
    </w:p>
    <w:p>
      <w:pPr>
        <w:pStyle w:val="BodyText"/>
      </w:pPr>
      <w:hyperlink r:id="rId46">
        <w:r>
          <w:rPr>
            <w:rStyle w:val="Hyperlink"/>
          </w:rPr>
          <w:t xml:space="preserve">[32]</w:t>
        </w:r>
      </w:hyperlink>
      <w:r>
        <w:t xml:space="preserve"> </w:t>
      </w:r>
      <w:r>
        <w:t xml:space="preserve">https://www.irs.gov/businesses/small-businesses-self-employed/intangibles</w:t>
      </w:r>
    </w:p>
    <w:p>
      <w:pPr>
        <w:pStyle w:val="BodyText"/>
      </w:pPr>
      <w:hyperlink r:id="rId46">
        <w:r>
          <w:rPr>
            <w:rStyle w:val="Hyperlink"/>
          </w:rPr>
          <w:t xml:space="preserve">https://www.irs.gov/businesses/small-businesses-self-employed/intangibles</w:t>
        </w:r>
      </w:hyperlink>
    </w:p>
    <w:p>
      <w:pPr>
        <w:pStyle w:val="BodyText"/>
      </w:pPr>
      <w:hyperlink r:id="rId47">
        <w:r>
          <w:rPr>
            <w:rStyle w:val="Hyperlink"/>
          </w:rPr>
          <w:t xml:space="preserve">[33]</w:t>
        </w:r>
      </w:hyperlink>
      <w:r>
        <w:t xml:space="preserve"> </w:t>
      </w:r>
      <w:r>
        <w:t xml:space="preserve">https://www.nalog.gov.ru/rn28/news/activities_fts/15704623/</w:t>
      </w:r>
    </w:p>
    <w:p>
      <w:pPr>
        <w:pStyle w:val="BodyText"/>
      </w:pPr>
      <w:hyperlink r:id="rId47">
        <w:r>
          <w:rPr>
            <w:rStyle w:val="Hyperlink"/>
          </w:rPr>
          <w:t xml:space="preserve">https://www.nalog.gov.ru/rn28/news/activities_fts/15704623/</w:t>
        </w:r>
      </w:hyperlink>
    </w:p>
    <w:p>
      <w:pPr>
        <w:pStyle w:val="BodyText"/>
      </w:pPr>
      <w:hyperlink r:id="rId52">
        <w:r>
          <w:rPr>
            <w:rStyle w:val="Hyperlink"/>
          </w:rPr>
          <w:t xml:space="preserve">[36]</w:t>
        </w:r>
      </w:hyperlink>
      <w:r>
        <w:t xml:space="preserve"> </w:t>
      </w:r>
      <w:r>
        <w:t xml:space="preserve">https://viewpoint.pwc.com/dt/gx/en/ivsc/international_valuat/international_valuat_INT/international_valuat_INT/International-Valuation-Standards/Asset-Standards/IVS-210-Intangible-Assets/60_Income_Approach.html</w:t>
      </w:r>
    </w:p>
    <w:p>
      <w:pPr>
        <w:pStyle w:val="BodyText"/>
      </w:pPr>
      <w:hyperlink r:id="rId52">
        <w:r>
          <w:rPr>
            <w:rStyle w:val="Hyperlink"/>
          </w:rPr>
          <w:t xml:space="preserve">https://viewpoint.pwc.com/dt/gx/en/ivsc/international_valuat/international_valuat_INT/international_valuat_INT/International-Valuation-Standards/Asset-Standards/IVS-210-Intangible-Assets/60_Income_Approach.html</w:t>
        </w:r>
      </w:hyperlink>
    </w:p>
    <w:p>
      <w:pPr>
        <w:pStyle w:val="BodyText"/>
      </w:pPr>
      <w:hyperlink r:id="rId53">
        <w:r>
          <w:rPr>
            <w:rStyle w:val="Hyperlink"/>
          </w:rPr>
          <w:t xml:space="preserve">[37]</w:t>
        </w:r>
      </w:hyperlink>
      <w:r>
        <w:t xml:space="preserve"> </w:t>
      </w:r>
      <w:r>
        <w:t xml:space="preserve">https://viewpoint.pwc.com/dt/uk/en/pwc/manual_of_accounting/ifrs/ifrs_INT/ifrs_INT/05_fair_value_ifrs_1_INT/common_areas_of_appl_INT.html</w:t>
      </w:r>
    </w:p>
    <w:p>
      <w:pPr>
        <w:pStyle w:val="BodyText"/>
      </w:pPr>
      <w:hyperlink r:id="rId53">
        <w:r>
          <w:rPr>
            <w:rStyle w:val="Hyperlink"/>
          </w:rPr>
          <w:t xml:space="preserve">https://viewpoint.pwc.com/dt/uk/en/pwc/manual_of_accounting/ifrs/ifrs_INT/ifrs_INT/05_fair_value_ifrs_1_INT/common_areas_of_appl_INT.html</w:t>
        </w:r>
      </w:hyperlink>
    </w:p>
    <w:p>
      <w:pPr>
        <w:pStyle w:val="BodyText"/>
      </w:pPr>
      <w:hyperlink r:id="rId54">
        <w:r>
          <w:rPr>
            <w:rStyle w:val="Hyperlink"/>
          </w:rPr>
          <w:t xml:space="preserve">[38]</w:t>
        </w:r>
      </w:hyperlink>
      <w:r>
        <w:t xml:space="preserve"> </w:t>
      </w:r>
      <w:r>
        <w:t xml:space="preserve">IFRS 13 Fair Value Measurement</w:t>
      </w:r>
    </w:p>
    <w:p>
      <w:pPr>
        <w:pStyle w:val="BodyText"/>
      </w:pPr>
      <w:hyperlink r:id="rId54">
        <w:r>
          <w:rPr>
            <w:rStyle w:val="Hyperlink"/>
          </w:rPr>
          <w:t xml:space="preserve">https://www.ifrs.org/content/dam/ifrs/publications/html-standards/english/2025/issued/ifrs13-ie.html?utm_source=chatgpt.com</w:t>
        </w:r>
      </w:hyperlink>
    </w:p>
    <w:p>
      <w:pPr>
        <w:pStyle w:val="BodyText"/>
      </w:pPr>
      <w:hyperlink r:id="rId56">
        <w:r>
          <w:rPr>
            <w:rStyle w:val="Hyperlink"/>
          </w:rPr>
          <w:t xml:space="preserve">[39]</w:t>
        </w:r>
      </w:hyperlink>
      <w:r>
        <w:t xml:space="preserve"> </w:t>
      </w:r>
      <w:r>
        <w:t xml:space="preserve">ISO 10668:2010 - Brand valuation</w:t>
      </w:r>
    </w:p>
    <w:p>
      <w:pPr>
        <w:pStyle w:val="BodyText"/>
      </w:pPr>
      <w:hyperlink r:id="rId56">
        <w:r>
          <w:rPr>
            <w:rStyle w:val="Hyperlink"/>
          </w:rPr>
          <w:t xml:space="preserve">https://www.iso.org/standard/46032.html?utm_source=chatgpt.com</w:t>
        </w:r>
      </w:hyperlink>
    </w:p>
    <w:p>
      <w:pPr>
        <w:pStyle w:val="BodyText"/>
      </w:pPr>
      <w:hyperlink r:id="rId59">
        <w:r>
          <w:rPr>
            <w:rStyle w:val="Hyperlink"/>
          </w:rPr>
          <w:t xml:space="preserve">[41]</w:t>
        </w:r>
      </w:hyperlink>
      <w:r>
        <w:t xml:space="preserve"> </w:t>
      </w:r>
      <w:r>
        <w:t xml:space="preserve">https://www.sec.gov/Archives/edgar/data/78003/000007800325000017/pfe-12312024xex99.htm</w:t>
      </w:r>
    </w:p>
    <w:p>
      <w:pPr>
        <w:pStyle w:val="BodyText"/>
      </w:pPr>
      <w:hyperlink r:id="rId59">
        <w:r>
          <w:rPr>
            <w:rStyle w:val="Hyperlink"/>
          </w:rPr>
          <w:t xml:space="preserve">https://www.sec.gov/Archives/edgar/data/78003/000007800325000017/pfe-12312024xex99.htm</w:t>
        </w:r>
      </w:hyperlink>
    </w:p>
    <w:p>
      <w:pPr>
        <w:pStyle w:val="BodyText"/>
      </w:pPr>
      <w:hyperlink r:id="rId64">
        <w:r>
          <w:rPr>
            <w:rStyle w:val="Hyperlink"/>
          </w:rPr>
          <w:t xml:space="preserve">[45]</w:t>
        </w:r>
      </w:hyperlink>
      <w:r>
        <w:t xml:space="preserve"> </w:t>
      </w:r>
      <w:r>
        <w:t xml:space="preserve">https://www.fasb.org/page/PageContent?pageId=%2Fprojects%2Frecently-completed-projects%2Faccounting-for-and-disclosure-of-software-costs.html</w:t>
      </w:r>
    </w:p>
    <w:p>
      <w:pPr>
        <w:pStyle w:val="BodyText"/>
      </w:pPr>
      <w:hyperlink r:id="rId64">
        <w:r>
          <w:rPr>
            <w:rStyle w:val="Hyperlink"/>
          </w:rPr>
          <w:t xml:space="preserve">https://www.fasb.org/page/PageContent?pageId=%2Fprojects%2Frecently-completed-projects%2Faccounting-for-and-disclosure-of-software-costs.html</w:t>
        </w:r>
      </w:hyperlink>
    </w:p>
    <w:p>
      <w:pPr>
        <w:pStyle w:val="BodyText"/>
      </w:pPr>
      <w:hyperlink r:id="rId67">
        <w:r>
          <w:rPr>
            <w:rStyle w:val="Hyperlink"/>
          </w:rPr>
          <w:t xml:space="preserve">[46]</w:t>
        </w:r>
      </w:hyperlink>
      <w:r>
        <w:t xml:space="preserve"> </w:t>
      </w:r>
      <w:r>
        <w:t xml:space="preserve">https://www.sec.gov/Archives/edgar/data/1744489/000174448921000074/R9.htm</w:t>
      </w:r>
    </w:p>
    <w:p>
      <w:pPr>
        <w:pStyle w:val="BodyText"/>
      </w:pPr>
      <w:hyperlink r:id="rId67">
        <w:r>
          <w:rPr>
            <w:rStyle w:val="Hyperlink"/>
          </w:rPr>
          <w:t xml:space="preserve">https://www.sec.gov/Archives/edgar/data/1744489/000174448921000074/R9.htm</w:t>
        </w:r>
      </w:hyperlink>
    </w:p>
    <w:p>
      <w:pPr>
        <w:pStyle w:val="BodyText"/>
      </w:pPr>
      <w:hyperlink r:id="rId69">
        <w:r>
          <w:rPr>
            <w:rStyle w:val="Hyperlink"/>
          </w:rPr>
          <w:t xml:space="preserve">[47]</w:t>
        </w:r>
      </w:hyperlink>
      <w:r>
        <w:t xml:space="preserve"> </w:t>
      </w:r>
      <w:r>
        <w:t xml:space="preserve">https://www.ifrs.org/content/dam/ifrs/publications/html-standards/english/2026/issued/ifrs6.html</w:t>
      </w:r>
    </w:p>
    <w:p>
      <w:pPr>
        <w:pStyle w:val="BodyText"/>
      </w:pPr>
      <w:hyperlink r:id="rId69">
        <w:r>
          <w:rPr>
            <w:rStyle w:val="Hyperlink"/>
          </w:rPr>
          <w:t xml:space="preserve">https://www.ifrs.org/content/dam/ifrs/publications/html-standards/english/2026/issued/ifrs6.html</w:t>
        </w:r>
      </w:hyperlink>
    </w:p>
    <w:p>
      <w:pPr>
        <w:pStyle w:val="BodyText"/>
      </w:pPr>
      <w:hyperlink r:id="rId71">
        <w:r>
          <w:rPr>
            <w:rStyle w:val="Hyperlink"/>
          </w:rPr>
          <w:t xml:space="preserve">[48]</w:t>
        </w:r>
      </w:hyperlink>
      <w:r>
        <w:t xml:space="preserve"> </w:t>
      </w:r>
      <w:hyperlink r:id="rId71">
        <w:r>
          <w:rPr>
            <w:rStyle w:val="Hyperlink"/>
          </w:rPr>
          <w:t xml:space="preserve">[58]</w:t>
        </w:r>
      </w:hyperlink>
      <w:r>
        <w:t xml:space="preserve"> </w:t>
      </w:r>
      <w:r>
        <w:t xml:space="preserve">https://www.sciencedirect.com/science/article/abs/pii/S0882611015000127</w:t>
      </w:r>
    </w:p>
    <w:p>
      <w:pPr>
        <w:pStyle w:val="BodyText"/>
      </w:pPr>
      <w:hyperlink r:id="rId71">
        <w:r>
          <w:rPr>
            <w:rStyle w:val="Hyperlink"/>
          </w:rPr>
          <w:t xml:space="preserve">https://www.sciencedirect.com/science/article/abs/pii/S0882611015000127</w:t>
        </w:r>
      </w:hyperlink>
    </w:p>
    <w:p>
      <w:pPr>
        <w:pStyle w:val="BodyText"/>
      </w:pPr>
      <w:hyperlink r:id="rId74">
        <w:r>
          <w:rPr>
            <w:rStyle w:val="Hyperlink"/>
          </w:rPr>
          <w:t xml:space="preserve">[49]</w:t>
        </w:r>
      </w:hyperlink>
      <w:r>
        <w:t xml:space="preserve"> </w:t>
      </w:r>
      <w:hyperlink r:id="rId74">
        <w:r>
          <w:rPr>
            <w:rStyle w:val="Hyperlink"/>
          </w:rPr>
          <w:t xml:space="preserve">[50]</w:t>
        </w:r>
      </w:hyperlink>
      <w:r>
        <w:t xml:space="preserve"> </w:t>
      </w:r>
      <w:r>
        <w:t xml:space="preserve">https://www.euipo.europa.eu/en/publications/ip-and-innovation-in-european-sectors</w:t>
      </w:r>
    </w:p>
    <w:p>
      <w:pPr>
        <w:pStyle w:val="BodyText"/>
      </w:pPr>
      <w:hyperlink r:id="rId74">
        <w:r>
          <w:rPr>
            <w:rStyle w:val="Hyperlink"/>
          </w:rPr>
          <w:t xml:space="preserve">https://www.euipo.europa.eu/en/publications/ip-and-innovation-in-european-sectors</w:t>
        </w:r>
      </w:hyperlink>
    </w:p>
    <w:p>
      <w:pPr>
        <w:pStyle w:val="BodyText"/>
      </w:pPr>
      <w:hyperlink r:id="rId80">
        <w:r>
          <w:rPr>
            <w:rStyle w:val="Hyperlink"/>
          </w:rPr>
          <w:t xml:space="preserve">[53]</w:t>
        </w:r>
      </w:hyperlink>
      <w:r>
        <w:t xml:space="preserve"> </w:t>
      </w:r>
      <w:r>
        <w:t xml:space="preserve">https://zcgls.mof.gov.cn/zhengcefabu/202607/P020260717331855291500.pdf</w:t>
      </w:r>
    </w:p>
    <w:p>
      <w:pPr>
        <w:pStyle w:val="BodyText"/>
      </w:pPr>
      <w:hyperlink r:id="rId80">
        <w:r>
          <w:rPr>
            <w:rStyle w:val="Hyperlink"/>
          </w:rPr>
          <w:t xml:space="preserve">https://zcgls.mof.gov.cn/zhengcefabu/202607/P020260717331855291500.pdf</w:t>
        </w:r>
      </w:hyperlink>
    </w:p>
    <w:p>
      <w:pPr>
        <w:pStyle w:val="BodyText"/>
      </w:pPr>
      <w:hyperlink r:id="rId82">
        <w:r>
          <w:rPr>
            <w:rStyle w:val="Hyperlink"/>
          </w:rPr>
          <w:t xml:space="preserve">[54]</w:t>
        </w:r>
      </w:hyperlink>
      <w:r>
        <w:t xml:space="preserve"> </w:t>
      </w:r>
      <w:r>
        <w:t xml:space="preserve">https://online.rospatent.gov.ru/open-data/open-registers</w:t>
      </w:r>
    </w:p>
    <w:p>
      <w:pPr>
        <w:pStyle w:val="BodyText"/>
      </w:pPr>
      <w:hyperlink r:id="rId82">
        <w:r>
          <w:rPr>
            <w:rStyle w:val="Hyperlink"/>
          </w:rPr>
          <w:t xml:space="preserve">https://online.rospatent.gov.ru/open-data/open-registers</w:t>
        </w:r>
      </w:hyperlink>
    </w:p>
    <w:p>
      <w:pPr>
        <w:pStyle w:val="BodyText"/>
      </w:pPr>
      <w:hyperlink r:id="rId83">
        <w:r>
          <w:rPr>
            <w:rStyle w:val="Hyperlink"/>
          </w:rPr>
          <w:t xml:space="preserve">[55]</w:t>
        </w:r>
      </w:hyperlink>
      <w:r>
        <w:t xml:space="preserve"> </w:t>
      </w:r>
      <w:r>
        <w:t xml:space="preserve">https://rosnedra.gov.ru/activity/tsifrovizatsiya/perechen_informatsionnykh_sistem_nakhodyashchikhsya_v_vedenii_federalnogo_agentstva_po_nedropolzovan/</w:t>
      </w:r>
    </w:p>
    <w:p>
      <w:pPr>
        <w:pStyle w:val="BodyText"/>
      </w:pPr>
      <w:hyperlink r:id="rId83">
        <w:r>
          <w:rPr>
            <w:rStyle w:val="Hyperlink"/>
          </w:rPr>
          <w:t xml:space="preserve">https://rosnedra.gov.ru/activity/tsifrovizatsiya/perechen_informatsionnykh_sistem_nakhodyashchikhsya_v_vedenii_federalnogo_agentstva_po_nedropolzovan/</w:t>
        </w:r>
      </w:hyperlink>
    </w:p>
    <w:p>
      <w:pPr>
        <w:pStyle w:val="BodyText"/>
      </w:pPr>
      <w:hyperlink r:id="rId86">
        <w:r>
          <w:rPr>
            <w:rStyle w:val="Hyperlink"/>
          </w:rPr>
          <w:t xml:space="preserve">[56]</w:t>
        </w:r>
      </w:hyperlink>
      <w:r>
        <w:t xml:space="preserve"> </w:t>
      </w:r>
      <w:r>
        <w:t xml:space="preserve">https://www.wipo.int/en/web/wipo-magazine/articles/blockchain-transforming-the-registration-of-ip-rights-and-strengthening-the-protection-of-unregistered-ip-rights-55817</w:t>
      </w:r>
    </w:p>
    <w:p>
      <w:pPr>
        <w:pStyle w:val="BodyText"/>
      </w:pPr>
      <w:hyperlink r:id="rId86">
        <w:r>
          <w:rPr>
            <w:rStyle w:val="Hyperlink"/>
          </w:rPr>
          <w:t xml:space="preserve">https://www.wipo.int/en/web/wipo-magazine/articles/blockchain-transforming-the-registration-of-ip-rights-and-strengthening-the-protection-of-unregistered-ip-rights-55817</w:t>
        </w:r>
      </w:hyperlink>
    </w:p>
    <w:p>
      <w:pPr>
        <w:pStyle w:val="BodyText"/>
      </w:pPr>
      <w:hyperlink r:id="rId87">
        <w:r>
          <w:rPr>
            <w:rStyle w:val="Hyperlink"/>
          </w:rPr>
          <w:t xml:space="preserve">[57]</w:t>
        </w:r>
      </w:hyperlink>
      <w:r>
        <w:t xml:space="preserve"> </w:t>
      </w:r>
      <w:r>
        <w:t xml:space="preserve">https://www.wipo.int/en/web/wipo-proof</w:t>
      </w:r>
    </w:p>
    <w:p>
      <w:pPr>
        <w:pStyle w:val="BodyText"/>
      </w:pPr>
      <w:hyperlink r:id="rId87">
        <w:r>
          <w:rPr>
            <w:rStyle w:val="Hyperlink"/>
          </w:rPr>
          <w:t xml:space="preserve">https://www.wipo.int/en/web/wipo-proof</w:t>
        </w:r>
      </w:hyperlink>
    </w:p>
    <w:p>
      <w:pPr>
        <w:pStyle w:val="BodyText"/>
      </w:pPr>
      <w:hyperlink r:id="rId90">
        <w:r>
          <w:rPr>
            <w:rStyle w:val="Hyperlink"/>
          </w:rPr>
          <w:t xml:space="preserve">[59]</w:t>
        </w:r>
      </w:hyperlink>
      <w:r>
        <w:t xml:space="preserve"> </w:t>
      </w:r>
      <w:r>
        <w:t xml:space="preserve">https://www.nist.gov/system/files/documents/2016/12/28/cyberrisk_manu_fullstudy_landscape_brochure_lpxcic07_06_17_7101_finalfor.pdf</w:t>
      </w:r>
    </w:p>
    <w:p>
      <w:pPr>
        <w:pStyle w:val="BodyText"/>
      </w:pPr>
      <w:hyperlink r:id="rId90">
        <w:r>
          <w:rPr>
            <w:rStyle w:val="Hyperlink"/>
          </w:rPr>
          <w:t xml:space="preserve">https://www.nist.gov/system/files/documents/2016/12/28/cyberrisk_manu_fullstudy_landscape_brochure_lpxcic07_06_17_7101_finalfor.pdf</w:t>
        </w:r>
      </w:hyperlink>
    </w:p>
    <w:p>
      <w:pPr>
        <w:pStyle w:val="BodyText"/>
      </w:pPr>
      <w:hyperlink r:id="rId93">
        <w:r>
          <w:rPr>
            <w:rStyle w:val="Hyperlink"/>
          </w:rPr>
          <w:t xml:space="preserve">[60]</w:t>
        </w:r>
      </w:hyperlink>
      <w:r>
        <w:t xml:space="preserve"> </w:t>
      </w:r>
      <w:r>
        <w:t xml:space="preserve">https://minfin.gov.ru/ru/perfomance/accounting/accounting/standart/positions/</w:t>
      </w:r>
    </w:p>
    <w:p>
      <w:pPr>
        <w:pStyle w:val="BodyText"/>
      </w:pPr>
      <w:hyperlink r:id="rId93">
        <w:r>
          <w:rPr>
            <w:rStyle w:val="Hyperlink"/>
          </w:rPr>
          <w:t xml:space="preserve">https://minfin.gov.ru/ru/perfomance/accounting/accounting/standart/positions/</w:t>
        </w:r>
      </w:hyperlink>
    </w:p>
    <w:p>
      <w:pPr>
        <w:pStyle w:val="BodyText"/>
      </w:pPr>
      <w:hyperlink r:id="rId103">
        <w:r>
          <w:rPr>
            <w:rStyle w:val="Hyperlink"/>
          </w:rPr>
          <w:t xml:space="preserve">[62]</w:t>
        </w:r>
      </w:hyperlink>
      <w:r>
        <w:t xml:space="preserve"> </w:t>
      </w:r>
      <w:r>
        <w:t xml:space="preserve">IP-backed finance in Europe: state of play and future ... - EUIPO</w:t>
      </w:r>
    </w:p>
    <w:p>
      <w:pPr>
        <w:pStyle w:val="BodyText"/>
      </w:pPr>
      <w:hyperlink r:id="rId103">
        <w:r>
          <w:rPr>
            <w:rStyle w:val="Hyperlink"/>
          </w:rPr>
          <w:t xml:space="preserve">https://www.euipo.europa.eu/en/publications/IP-backed-finance-in-Europe-state-of-play-and-future-perspectives?utm_source=chatgpt.com</w:t>
        </w:r>
      </w:hyperlink>
    </w:p>
    <w:p>
      <w:pPr>
        <w:pStyle w:val="BodyText"/>
      </w:pPr>
      <w:hyperlink r:id="rId105">
        <w:r>
          <w:rPr>
            <w:rStyle w:val="Hyperlink"/>
          </w:rPr>
          <w:t xml:space="preserve">[63]</w:t>
        </w:r>
      </w:hyperlink>
      <w:r>
        <w:t xml:space="preserve"> </w:t>
      </w:r>
      <w:r>
        <w:t xml:space="preserve">https://taxation-customs.ec.europa.eu/document/download/9f5e88ae-eabc-4c44-952c-c09ed2ee8103_en</w:t>
      </w:r>
    </w:p>
    <w:p>
      <w:pPr>
        <w:pStyle w:val="BodyText"/>
      </w:pPr>
      <w:hyperlink r:id="rId105">
        <w:r>
          <w:rPr>
            <w:rStyle w:val="Hyperlink"/>
          </w:rPr>
          <w:t xml:space="preserve">https://taxation-customs.ec.europa.eu/document/download/9f5e88ae-eabc-4c44-952c-c09ed2ee8103_en</w:t>
        </w:r>
      </w:hyperlink>
    </w:p>
    <w:p>
      <w:pPr>
        <w:pStyle w:val="BodyText"/>
      </w:pPr>
      <w:hyperlink r:id="rId108">
        <w:r>
          <w:rPr>
            <w:rStyle w:val="Hyperlink"/>
          </w:rPr>
          <w:t xml:space="preserve">[64]</w:t>
        </w:r>
      </w:hyperlink>
      <w:r>
        <w:t xml:space="preserve"> </w:t>
      </w:r>
      <w:r>
        <w:t xml:space="preserve">https://publication.pravo.gov.ru/Document/View/0001202206280008</w:t>
      </w:r>
    </w:p>
    <w:p>
      <w:pPr>
        <w:pStyle w:val="BodyText"/>
      </w:pPr>
      <w:hyperlink r:id="rId108">
        <w:r>
          <w:rPr>
            <w:rStyle w:val="Hyperlink"/>
          </w:rPr>
          <w:t xml:space="preserve">https://publication.pravo.gov.ru/Document/View/0001202206280008</w:t>
        </w:r>
      </w:hyperlink>
    </w:p>
    <w:p>
      <w:pPr>
        <w:pStyle w:val="BodyText"/>
      </w:pPr>
      <w:hyperlink r:id="rId109">
        <w:r>
          <w:rPr>
            <w:rStyle w:val="Hyperlink"/>
          </w:rPr>
          <w:t xml:space="preserve">[67]</w:t>
        </w:r>
      </w:hyperlink>
      <w:r>
        <w:t xml:space="preserve"> </w:t>
      </w:r>
      <w:r>
        <w:t xml:space="preserve">IASB launches comprehensive review of accounting for ...</w:t>
      </w:r>
    </w:p>
    <w:p>
      <w:pPr>
        <w:pStyle w:val="BodyText"/>
      </w:pPr>
      <w:hyperlink r:id="rId109">
        <w:r>
          <w:rPr>
            <w:rStyle w:val="Hyperlink"/>
          </w:rPr>
          <w:t xml:space="preserve">https://www.ifrs.org/news-and-events/news/2024/04/iasb-launches-comprehensive-review-accounting-for-intangibles/?utm_source=chatgpt.com</w:t>
        </w:r>
      </w:hyperlink>
    </w:p>
    <w:bookmarkEnd w:id="1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8" Target="media/rId98.png" /><Relationship Type="http://schemas.openxmlformats.org/officeDocument/2006/relationships/image" Id="rId40" Target="media/rId40.png" /><Relationship Type="http://schemas.openxmlformats.org/officeDocument/2006/relationships/image" Id="rId76" Target="media/rId76.png" /><Relationship Type="http://schemas.openxmlformats.org/officeDocument/2006/relationships/hyperlink" Id="rId14" Target="https://eur-lex.europa.eu/eli/reg/2002/1606/oj/eng" TargetMode="External" /><Relationship Type="http://schemas.openxmlformats.org/officeDocument/2006/relationships/hyperlink" Id="rId33" Target="https://eur-lex.europa.eu/legal-content/EN/TXT/PDF/?uri=CELEX%3A02013L0034-20211221" TargetMode="External" /><Relationship Type="http://schemas.openxmlformats.org/officeDocument/2006/relationships/hyperlink" Id="rId36" Target="https://kzp.mof.gov.cn/content.jsp?class_id=01_21&amp;infoid=1626" TargetMode="External" /><Relationship Type="http://schemas.openxmlformats.org/officeDocument/2006/relationships/hyperlink" Id="rId19" Target="https://minfin.gov.ru/ru/document/?id_4=136833-novoe_v_bukhgalterskom_zakonodatelstve_fakty_i_kommentarii" TargetMode="External" /><Relationship Type="http://schemas.openxmlformats.org/officeDocument/2006/relationships/hyperlink" Id="rId93" Target="https://minfin.gov.ru/ru/perfomance/accounting/accounting/standart/positions/" TargetMode="External" /><Relationship Type="http://schemas.openxmlformats.org/officeDocument/2006/relationships/hyperlink" Id="rId82" Target="https://online.rospatent.gov.ru/open-data/open-registers" TargetMode="External" /><Relationship Type="http://schemas.openxmlformats.org/officeDocument/2006/relationships/hyperlink" Id="rId108" Target="https://publication.pravo.gov.ru/Document/View/0001202206280008" TargetMode="External" /><Relationship Type="http://schemas.openxmlformats.org/officeDocument/2006/relationships/hyperlink" Id="rId83" Target="https://rosnedra.gov.ru/activity/tsifrovizatsiya/perechen_informatsionnykh_sistem_nakhodyashchikhsya_v_vedenii_federalnogo_agentstva_po_nedropolzovan/" TargetMode="External" /><Relationship Type="http://schemas.openxmlformats.org/officeDocument/2006/relationships/hyperlink" Id="rId13" Target="https://storage.fasb.org/BMHO20220622.pdf" TargetMode="External" /><Relationship Type="http://schemas.openxmlformats.org/officeDocument/2006/relationships/hyperlink" Id="rId29" Target="https://storage.fasb.org/PCC-Topic%202-PublicMtg-20240418.pdf" TargetMode="External" /><Relationship Type="http://schemas.openxmlformats.org/officeDocument/2006/relationships/hyperlink" Id="rId105" Target="https://taxation-customs.ec.europa.eu/document/download/9f5e88ae-eabc-4c44-952c-c09ed2ee8103_en" TargetMode="External" /><Relationship Type="http://schemas.openxmlformats.org/officeDocument/2006/relationships/hyperlink" Id="rId52" Target="https://viewpoint.pwc.com/dt/gx/en/ivsc/international_valuat/international_valuat_INT/international_valuat_INT/International-Valuation-Standards/Asset-Standards/IVS-210-Intangible-Assets/60_Income_Approach.html" TargetMode="External" /><Relationship Type="http://schemas.openxmlformats.org/officeDocument/2006/relationships/hyperlink" Id="rId53" Target="https://viewpoint.pwc.com/dt/uk/en/pwc/manual_of_accounting/ifrs/ifrs_INT/ifrs_INT/05_fair_value_ifrs_1_INT/common_areas_of_appl_INT.html" TargetMode="External" /><Relationship Type="http://schemas.openxmlformats.org/officeDocument/2006/relationships/hyperlink" Id="rId34" Target="https://www.efrag.org/system/files/sites/webpublishing/Meeting%20Documents/2006231244542621/04-02%20Draft%20Discussion%20Paper.pdf" TargetMode="External" /><Relationship Type="http://schemas.openxmlformats.org/officeDocument/2006/relationships/hyperlink" Id="rId103" Target="https://www.euipo.europa.eu/en/publications/IP-backed-finance-in-Europe-state-of-play-and-future-perspectives?utm_source=chatgpt.com" TargetMode="External" /><Relationship Type="http://schemas.openxmlformats.org/officeDocument/2006/relationships/hyperlink" Id="rId74" Target="https://www.euipo.europa.eu/en/publications/ip-and-innovation-in-european-sectors" TargetMode="External" /><Relationship Type="http://schemas.openxmlformats.org/officeDocument/2006/relationships/hyperlink" Id="rId30" Target="https://www.fasb.org/page/PageContent?bcpath=tff&amp;pageId=%2Freference-library%2Fsuperseded-standards%2Fsummary-of-statement-no-141-revised-2007.html" TargetMode="External" /><Relationship Type="http://schemas.openxmlformats.org/officeDocument/2006/relationships/hyperlink" Id="rId31" Target="https://www.fasb.org/page/PageContent?isStaticPage=true&amp;pageId=%2Fstaticpages%2Fgoodwill-impairment-testing.html" TargetMode="External" /><Relationship Type="http://schemas.openxmlformats.org/officeDocument/2006/relationships/hyperlink" Id="rId64" Target="https://www.fasb.org/page/PageContent?pageId=%2Fprojects%2Frecently-completed-projects%2Faccounting-for-and-disclosure-of-software-costs.html" TargetMode="External" /><Relationship Type="http://schemas.openxmlformats.org/officeDocument/2006/relationships/hyperlink" Id="rId17" Target="https://www.ifrs.org/content/dam/ifrs/meetings/2025/february/iasb/ap17a-update-on-feedback.pdf" TargetMode="External" /><Relationship Type="http://schemas.openxmlformats.org/officeDocument/2006/relationships/hyperlink" Id="rId54" Target="https://www.ifrs.org/content/dam/ifrs/publications/html-standards/english/2025/issued/ifrs13-ie.html?utm_source=chatgpt.com" TargetMode="External" /><Relationship Type="http://schemas.openxmlformats.org/officeDocument/2006/relationships/hyperlink" Id="rId45" Target="https://www.ifrs.org/content/dam/ifrs/publications/html-standards/english/2026/issued/ias12.html" TargetMode="External" /><Relationship Type="http://schemas.openxmlformats.org/officeDocument/2006/relationships/hyperlink" Id="rId24" Target="https://www.ifrs.org/content/dam/ifrs/publications/html-standards/english/2026/issued/ias38.html" TargetMode="External" /><Relationship Type="http://schemas.openxmlformats.org/officeDocument/2006/relationships/hyperlink" Id="rId27" Target="https://www.ifrs.org/content/dam/ifrs/publications/html-standards/english/2026/issued/ifrs3.html" TargetMode="External" /><Relationship Type="http://schemas.openxmlformats.org/officeDocument/2006/relationships/hyperlink" Id="rId69" Target="https://www.ifrs.org/content/dam/ifrs/publications/html-standards/english/2026/issued/ifrs6.html" TargetMode="External" /><Relationship Type="http://schemas.openxmlformats.org/officeDocument/2006/relationships/hyperlink" Id="rId26" Target="https://www.ifrs.org/issued-standards/list-of-standards/ias-36-impairment-of-assets/?utm_source=chatgpt.com" TargetMode="External" /><Relationship Type="http://schemas.openxmlformats.org/officeDocument/2006/relationships/hyperlink" Id="rId10" Target="https://www.ifrs.org/issued-standards/list-of-standards/ias-38-intangible-assets/" TargetMode="External" /><Relationship Type="http://schemas.openxmlformats.org/officeDocument/2006/relationships/hyperlink" Id="rId25" Target="https://www.ifrs.org/issued-standards/list-of-standards/ias-38-intangible-assets/?utm_source=chatgpt.com" TargetMode="External" /><Relationship Type="http://schemas.openxmlformats.org/officeDocument/2006/relationships/hyperlink" Id="rId18" Target="https://www.ifrs.org/issued-standards/list-of-standards/ifrs-13-fair-value-measurement/?utm_source=chatgpt.com" TargetMode="External" /><Relationship Type="http://schemas.openxmlformats.org/officeDocument/2006/relationships/hyperlink" Id="rId109" Target="https://www.ifrs.org/news-and-events/news/2024/04/iasb-launches-comprehensive-review-accounting-for-intangibles/?utm_source=chatgpt.com" TargetMode="External" /><Relationship Type="http://schemas.openxmlformats.org/officeDocument/2006/relationships/hyperlink" Id="rId43" Target="https://www.ifrs.org/projects/work-plan/intangible-assets/?utm_source=chatgpt.com" TargetMode="External" /><Relationship Type="http://schemas.openxmlformats.org/officeDocument/2006/relationships/hyperlink" Id="rId46" Target="https://www.irs.gov/businesses/small-businesses-self-employed/intangibles" TargetMode="External" /><Relationship Type="http://schemas.openxmlformats.org/officeDocument/2006/relationships/hyperlink" Id="rId56" Target="https://www.iso.org/standard/46032.html?utm_source=chatgpt.com" TargetMode="External" /><Relationship Type="http://schemas.openxmlformats.org/officeDocument/2006/relationships/hyperlink" Id="rId16" Target="https://www.microsoft.com/investor/reports/ar25/index.html" TargetMode="External" /><Relationship Type="http://schemas.openxmlformats.org/officeDocument/2006/relationships/hyperlink" Id="rId15" Target="https://www.mof.gov.cn/jrttts/202312/t20231220_3923180.htm" TargetMode="External" /><Relationship Type="http://schemas.openxmlformats.org/officeDocument/2006/relationships/hyperlink" Id="rId37" Target="https://www.mof.gov.cn/zhengwuxinxi/caijingshidian/renminwang/202308/t20230828_3904233.htm" TargetMode="External" /><Relationship Type="http://schemas.openxmlformats.org/officeDocument/2006/relationships/hyperlink" Id="rId47" Target="https://www.nalog.gov.ru/rn28/news/activities_fts/15704623/" TargetMode="External" /><Relationship Type="http://schemas.openxmlformats.org/officeDocument/2006/relationships/hyperlink" Id="rId12" Target="https://www.nber.org/books-and-chapters/measuring-capital-new-economy" TargetMode="External" /><Relationship Type="http://schemas.openxmlformats.org/officeDocument/2006/relationships/hyperlink" Id="rId90" Target="https://www.nist.gov/system/files/documents/2016/12/28/cyberrisk_manu_fullstudy_landscape_brochure_lpxcic07_06_17_7101_finalfor.pdf" TargetMode="External" /><Relationship Type="http://schemas.openxmlformats.org/officeDocument/2006/relationships/hyperlink" Id="rId71" Target="https://www.sciencedirect.com/science/article/abs/pii/S0882611015000127" TargetMode="External" /><Relationship Type="http://schemas.openxmlformats.org/officeDocument/2006/relationships/hyperlink" Id="rId67" Target="https://www.sec.gov/Archives/edgar/data/1744489/000174448921000074/R9.htm" TargetMode="External" /><Relationship Type="http://schemas.openxmlformats.org/officeDocument/2006/relationships/hyperlink" Id="rId59" Target="https://www.sec.gov/Archives/edgar/data/78003/000007800325000017/pfe-12312024xex99.htm" TargetMode="External" /><Relationship Type="http://schemas.openxmlformats.org/officeDocument/2006/relationships/hyperlink" Id="rId86" Target="https://www.wipo.int/en/web/wipo-magazine/articles/blockchain-transforming-the-registration-of-ip-rights-and-strengthening-the-protection-of-unregistered-ip-rights-55817" TargetMode="External" /><Relationship Type="http://schemas.openxmlformats.org/officeDocument/2006/relationships/hyperlink" Id="rId87" Target="https://www.wipo.int/en/web/wipo-proof" TargetMode="External" /><Relationship Type="http://schemas.openxmlformats.org/officeDocument/2006/relationships/hyperlink" Id="rId11" Target="https://www.wipo.int/web-publications/world-intangible-investment-highlights-2026/en/key-trends-and-insights.html" TargetMode="External" /><Relationship Type="http://schemas.openxmlformats.org/officeDocument/2006/relationships/hyperlink" Id="rId80" Target="https://zcgls.mof.gov.cn/zhengcefabu/202607/P020260717331855291500.pdf" TargetMode="External" /><Relationship Type="http://schemas.openxmlformats.org/officeDocument/2006/relationships/hyperlink" Id="rId38" Target="https://zcpgzx.mof.gov.cn/zcfg/202401/t20240112_3925778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eur-lex.europa.eu/eli/reg/2002/1606/oj/eng" TargetMode="External" /><Relationship Type="http://schemas.openxmlformats.org/officeDocument/2006/relationships/hyperlink" Id="rId33" Target="https://eur-lex.europa.eu/legal-content/EN/TXT/PDF/?uri=CELEX%3A02013L0034-20211221" TargetMode="External" /><Relationship Type="http://schemas.openxmlformats.org/officeDocument/2006/relationships/hyperlink" Id="rId36" Target="https://kzp.mof.gov.cn/content.jsp?class_id=01_21&amp;infoid=1626" TargetMode="External" /><Relationship Type="http://schemas.openxmlformats.org/officeDocument/2006/relationships/hyperlink" Id="rId19" Target="https://minfin.gov.ru/ru/document/?id_4=136833-novoe_v_bukhgalterskom_zakonodatelstve_fakty_i_kommentarii" TargetMode="External" /><Relationship Type="http://schemas.openxmlformats.org/officeDocument/2006/relationships/hyperlink" Id="rId93" Target="https://minfin.gov.ru/ru/perfomance/accounting/accounting/standart/positions/" TargetMode="External" /><Relationship Type="http://schemas.openxmlformats.org/officeDocument/2006/relationships/hyperlink" Id="rId82" Target="https://online.rospatent.gov.ru/open-data/open-registers" TargetMode="External" /><Relationship Type="http://schemas.openxmlformats.org/officeDocument/2006/relationships/hyperlink" Id="rId108" Target="https://publication.pravo.gov.ru/Document/View/0001202206280008" TargetMode="External" /><Relationship Type="http://schemas.openxmlformats.org/officeDocument/2006/relationships/hyperlink" Id="rId83" Target="https://rosnedra.gov.ru/activity/tsifrovizatsiya/perechen_informatsionnykh_sistem_nakhodyashchikhsya_v_vedenii_federalnogo_agentstva_po_nedropolzovan/" TargetMode="External" /><Relationship Type="http://schemas.openxmlformats.org/officeDocument/2006/relationships/hyperlink" Id="rId13" Target="https://storage.fasb.org/BMHO20220622.pdf" TargetMode="External" /><Relationship Type="http://schemas.openxmlformats.org/officeDocument/2006/relationships/hyperlink" Id="rId29" Target="https://storage.fasb.org/PCC-Topic%202-PublicMtg-20240418.pdf" TargetMode="External" /><Relationship Type="http://schemas.openxmlformats.org/officeDocument/2006/relationships/hyperlink" Id="rId105" Target="https://taxation-customs.ec.europa.eu/document/download/9f5e88ae-eabc-4c44-952c-c09ed2ee8103_en" TargetMode="External" /><Relationship Type="http://schemas.openxmlformats.org/officeDocument/2006/relationships/hyperlink" Id="rId52" Target="https://viewpoint.pwc.com/dt/gx/en/ivsc/international_valuat/international_valuat_INT/international_valuat_INT/International-Valuation-Standards/Asset-Standards/IVS-210-Intangible-Assets/60_Income_Approach.html" TargetMode="External" /><Relationship Type="http://schemas.openxmlformats.org/officeDocument/2006/relationships/hyperlink" Id="rId53" Target="https://viewpoint.pwc.com/dt/uk/en/pwc/manual_of_accounting/ifrs/ifrs_INT/ifrs_INT/05_fair_value_ifrs_1_INT/common_areas_of_appl_INT.html" TargetMode="External" /><Relationship Type="http://schemas.openxmlformats.org/officeDocument/2006/relationships/hyperlink" Id="rId34" Target="https://www.efrag.org/system/files/sites/webpublishing/Meeting%20Documents/2006231244542621/04-02%20Draft%20Discussion%20Paper.pdf" TargetMode="External" /><Relationship Type="http://schemas.openxmlformats.org/officeDocument/2006/relationships/hyperlink" Id="rId103" Target="https://www.euipo.europa.eu/en/publications/IP-backed-finance-in-Europe-state-of-play-and-future-perspectives?utm_source=chatgpt.com" TargetMode="External" /><Relationship Type="http://schemas.openxmlformats.org/officeDocument/2006/relationships/hyperlink" Id="rId74" Target="https://www.euipo.europa.eu/en/publications/ip-and-innovation-in-european-sectors" TargetMode="External" /><Relationship Type="http://schemas.openxmlformats.org/officeDocument/2006/relationships/hyperlink" Id="rId30" Target="https://www.fasb.org/page/PageContent?bcpath=tff&amp;pageId=%2Freference-library%2Fsuperseded-standards%2Fsummary-of-statement-no-141-revised-2007.html" TargetMode="External" /><Relationship Type="http://schemas.openxmlformats.org/officeDocument/2006/relationships/hyperlink" Id="rId31" Target="https://www.fasb.org/page/PageContent?isStaticPage=true&amp;pageId=%2Fstaticpages%2Fgoodwill-impairment-testing.html" TargetMode="External" /><Relationship Type="http://schemas.openxmlformats.org/officeDocument/2006/relationships/hyperlink" Id="rId64" Target="https://www.fasb.org/page/PageContent?pageId=%2Fprojects%2Frecently-completed-projects%2Faccounting-for-and-disclosure-of-software-costs.html" TargetMode="External" /><Relationship Type="http://schemas.openxmlformats.org/officeDocument/2006/relationships/hyperlink" Id="rId17" Target="https://www.ifrs.org/content/dam/ifrs/meetings/2025/february/iasb/ap17a-update-on-feedback.pdf" TargetMode="External" /><Relationship Type="http://schemas.openxmlformats.org/officeDocument/2006/relationships/hyperlink" Id="rId54" Target="https://www.ifrs.org/content/dam/ifrs/publications/html-standards/english/2025/issued/ifrs13-ie.html?utm_source=chatgpt.com" TargetMode="External" /><Relationship Type="http://schemas.openxmlformats.org/officeDocument/2006/relationships/hyperlink" Id="rId45" Target="https://www.ifrs.org/content/dam/ifrs/publications/html-standards/english/2026/issued/ias12.html" TargetMode="External" /><Relationship Type="http://schemas.openxmlformats.org/officeDocument/2006/relationships/hyperlink" Id="rId24" Target="https://www.ifrs.org/content/dam/ifrs/publications/html-standards/english/2026/issued/ias38.html" TargetMode="External" /><Relationship Type="http://schemas.openxmlformats.org/officeDocument/2006/relationships/hyperlink" Id="rId27" Target="https://www.ifrs.org/content/dam/ifrs/publications/html-standards/english/2026/issued/ifrs3.html" TargetMode="External" /><Relationship Type="http://schemas.openxmlformats.org/officeDocument/2006/relationships/hyperlink" Id="rId69" Target="https://www.ifrs.org/content/dam/ifrs/publications/html-standards/english/2026/issued/ifrs6.html" TargetMode="External" /><Relationship Type="http://schemas.openxmlformats.org/officeDocument/2006/relationships/hyperlink" Id="rId26" Target="https://www.ifrs.org/issued-standards/list-of-standards/ias-36-impairment-of-assets/?utm_source=chatgpt.com" TargetMode="External" /><Relationship Type="http://schemas.openxmlformats.org/officeDocument/2006/relationships/hyperlink" Id="rId10" Target="https://www.ifrs.org/issued-standards/list-of-standards/ias-38-intangible-assets/" TargetMode="External" /><Relationship Type="http://schemas.openxmlformats.org/officeDocument/2006/relationships/hyperlink" Id="rId25" Target="https://www.ifrs.org/issued-standards/list-of-standards/ias-38-intangible-assets/?utm_source=chatgpt.com" TargetMode="External" /><Relationship Type="http://schemas.openxmlformats.org/officeDocument/2006/relationships/hyperlink" Id="rId18" Target="https://www.ifrs.org/issued-standards/list-of-standards/ifrs-13-fair-value-measurement/?utm_source=chatgpt.com" TargetMode="External" /><Relationship Type="http://schemas.openxmlformats.org/officeDocument/2006/relationships/hyperlink" Id="rId109" Target="https://www.ifrs.org/news-and-events/news/2024/04/iasb-launches-comprehensive-review-accounting-for-intangibles/?utm_source=chatgpt.com" TargetMode="External" /><Relationship Type="http://schemas.openxmlformats.org/officeDocument/2006/relationships/hyperlink" Id="rId43" Target="https://www.ifrs.org/projects/work-plan/intangible-assets/?utm_source=chatgpt.com" TargetMode="External" /><Relationship Type="http://schemas.openxmlformats.org/officeDocument/2006/relationships/hyperlink" Id="rId46" Target="https://www.irs.gov/businesses/small-businesses-self-employed/intangibles" TargetMode="External" /><Relationship Type="http://schemas.openxmlformats.org/officeDocument/2006/relationships/hyperlink" Id="rId56" Target="https://www.iso.org/standard/46032.html?utm_source=chatgpt.com" TargetMode="External" /><Relationship Type="http://schemas.openxmlformats.org/officeDocument/2006/relationships/hyperlink" Id="rId16" Target="https://www.microsoft.com/investor/reports/ar25/index.html" TargetMode="External" /><Relationship Type="http://schemas.openxmlformats.org/officeDocument/2006/relationships/hyperlink" Id="rId15" Target="https://www.mof.gov.cn/jrttts/202312/t20231220_3923180.htm" TargetMode="External" /><Relationship Type="http://schemas.openxmlformats.org/officeDocument/2006/relationships/hyperlink" Id="rId37" Target="https://www.mof.gov.cn/zhengwuxinxi/caijingshidian/renminwang/202308/t20230828_3904233.htm" TargetMode="External" /><Relationship Type="http://schemas.openxmlformats.org/officeDocument/2006/relationships/hyperlink" Id="rId47" Target="https://www.nalog.gov.ru/rn28/news/activities_fts/15704623/" TargetMode="External" /><Relationship Type="http://schemas.openxmlformats.org/officeDocument/2006/relationships/hyperlink" Id="rId12" Target="https://www.nber.org/books-and-chapters/measuring-capital-new-economy" TargetMode="External" /><Relationship Type="http://schemas.openxmlformats.org/officeDocument/2006/relationships/hyperlink" Id="rId90" Target="https://www.nist.gov/system/files/documents/2016/12/28/cyberrisk_manu_fullstudy_landscape_brochure_lpxcic07_06_17_7101_finalfor.pdf" TargetMode="External" /><Relationship Type="http://schemas.openxmlformats.org/officeDocument/2006/relationships/hyperlink" Id="rId71" Target="https://www.sciencedirect.com/science/article/abs/pii/S0882611015000127" TargetMode="External" /><Relationship Type="http://schemas.openxmlformats.org/officeDocument/2006/relationships/hyperlink" Id="rId67" Target="https://www.sec.gov/Archives/edgar/data/1744489/000174448921000074/R9.htm" TargetMode="External" /><Relationship Type="http://schemas.openxmlformats.org/officeDocument/2006/relationships/hyperlink" Id="rId59" Target="https://www.sec.gov/Archives/edgar/data/78003/000007800325000017/pfe-12312024xex99.htm" TargetMode="External" /><Relationship Type="http://schemas.openxmlformats.org/officeDocument/2006/relationships/hyperlink" Id="rId86" Target="https://www.wipo.int/en/web/wipo-magazine/articles/blockchain-transforming-the-registration-of-ip-rights-and-strengthening-the-protection-of-unregistered-ip-rights-55817" TargetMode="External" /><Relationship Type="http://schemas.openxmlformats.org/officeDocument/2006/relationships/hyperlink" Id="rId87" Target="https://www.wipo.int/en/web/wipo-proof" TargetMode="External" /><Relationship Type="http://schemas.openxmlformats.org/officeDocument/2006/relationships/hyperlink" Id="rId11" Target="https://www.wipo.int/web-publications/world-intangible-investment-highlights-2026/en/key-trends-and-insights.html" TargetMode="External" /><Relationship Type="http://schemas.openxmlformats.org/officeDocument/2006/relationships/hyperlink" Id="rId80" Target="https://zcgls.mof.gov.cn/zhengcefabu/202607/P020260717331855291500.pdf" TargetMode="External" /><Relationship Type="http://schemas.openxmlformats.org/officeDocument/2006/relationships/hyperlink" Id="rId38" Target="https://zcpgzx.mof.gov.cn/zcfg/202401/t20240112_3925778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ru</dc:language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ChatGPT Deep Research</vt:lpwstr>
  </property>
</Properties>
</file>