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/>
        <w:jc w:val="center"/>
      </w:pPr>
      <w:r>
        <w:rPr>
          <w:rFonts w:ascii="Arial" w:hAnsi="Arial"/>
          <w:b/>
          <w:color w:val="123B5D"/>
          <w:sz w:val="84"/>
        </w:rPr>
        <w:t>НМА</w:t>
      </w:r>
    </w:p>
    <w:p>
      <w:pPr>
        <w:jc w:val="center"/>
      </w:pPr>
      <w:r>
        <w:rPr>
          <w:b/>
          <w:color w:val="1F5D7A"/>
          <w:sz w:val="48"/>
        </w:rPr>
        <w:t>Нематериальные активы</w:t>
      </w:r>
    </w:p>
    <w:p>
      <w:pPr>
        <w:jc w:val="center"/>
      </w:pPr>
      <w:r>
        <w:rPr>
          <w:color w:val="526978"/>
          <w:sz w:val="26"/>
        </w:rPr>
        <w:t>Мастер-документ: от учета прав до управления нематериальным капиталом</w:t>
      </w:r>
    </w:p>
    <w:p>
      <w:r>
        <w:br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76"/>
        <w:gridCol w:w="5076"/>
      </w:tblGrid>
      <w:tr>
        <w:tc>
          <w:tcPr>
            <w:tcW w:type="dxa" w:w="5076"/>
            <w:shd w:fill="123B5D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20"/>
              </w:rPr>
              <w:t>Уровень 1</w:t>
            </w:r>
          </w:p>
        </w:tc>
        <w:tc>
          <w:tcPr>
            <w:tcW w:type="dxa" w:w="5076"/>
            <w:shd w:fill="F4F7F9"/>
            <w:vAlign w:val="center"/>
          </w:tcPr>
          <w:p>
            <w:r/>
            <w:r>
              <w:rPr>
                <w:rFonts w:ascii="Arial" w:hAnsi="Arial"/>
                <w:b w:val="0"/>
                <w:color w:val="243743"/>
                <w:sz w:val="20"/>
              </w:rPr>
              <w:t>Бухгалтерский и налоговый учет НМА</w:t>
            </w:r>
          </w:p>
        </w:tc>
      </w:tr>
      <w:tr>
        <w:tc>
          <w:tcPr>
            <w:tcW w:type="dxa" w:w="5076"/>
            <w:shd w:fill="123B5D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20"/>
              </w:rPr>
              <w:t>Уровень 2</w:t>
            </w:r>
          </w:p>
        </w:tc>
        <w:tc>
          <w:tcPr>
            <w:tcW w:type="dxa" w:w="5076"/>
            <w:shd w:fill="F4F7F9"/>
            <w:vAlign w:val="center"/>
          </w:tcPr>
          <w:p>
            <w:r/>
            <w:r>
              <w:rPr>
                <w:rFonts w:ascii="Arial" w:hAnsi="Arial"/>
                <w:b w:val="0"/>
                <w:color w:val="243743"/>
                <w:sz w:val="20"/>
              </w:rPr>
              <w:t>Реестр прав, технологий, данных, ПО и брендов</w:t>
            </w:r>
          </w:p>
        </w:tc>
      </w:tr>
      <w:tr>
        <w:tc>
          <w:tcPr>
            <w:tcW w:type="dxa" w:w="5076"/>
            <w:shd w:fill="123B5D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20"/>
              </w:rPr>
              <w:t>Уровень 3</w:t>
            </w:r>
          </w:p>
        </w:tc>
        <w:tc>
          <w:tcPr>
            <w:tcW w:type="dxa" w:w="5076"/>
            <w:shd w:fill="F4F7F9"/>
            <w:vAlign w:val="center"/>
          </w:tcPr>
          <w:p>
            <w:r/>
            <w:r>
              <w:rPr>
                <w:rFonts w:ascii="Arial" w:hAnsi="Arial"/>
                <w:b w:val="0"/>
                <w:color w:val="243743"/>
                <w:sz w:val="20"/>
              </w:rPr>
              <w:t>Стратегическая капитализация знаний, смыслов и интеллектуальной инфраструктуры</w:t>
            </w:r>
          </w:p>
        </w:tc>
      </w:tr>
    </w:tbl>
    <w:p>
      <w:pPr>
        <w:spacing w:before="640"/>
        <w:jc w:val="center"/>
      </w:pPr>
      <w:r>
        <w:rPr>
          <w:color w:val="73838E"/>
          <w:sz w:val="20"/>
        </w:rPr>
        <w:t>Версия 1.0 • 2026</w:t>
      </w:r>
    </w:p>
    <w:p>
      <w:r>
        <w:br w:type="page"/>
      </w:r>
    </w:p>
    <w:p>
      <w:pPr>
        <w:pStyle w:val="Heading1"/>
      </w:pPr>
      <w:r>
        <w:t>1. Суть: НМА как управляемая система ценности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152"/>
            <w:shd w:fill="EAF3F7"/>
          </w:tcPr>
          <w:p>
            <w:r>
              <w:rPr>
                <w:b/>
                <w:color w:val="123B5D"/>
                <w:sz w:val="21"/>
              </w:rPr>
              <w:t xml:space="preserve">Ключевая идея — </w:t>
            </w:r>
            <w:r>
              <w:rPr>
                <w:sz w:val="21"/>
              </w:rPr>
              <w:t>Нематериальные активы — это не только строка бухгалтерского баланса. Это система юридически закрепленных прав и более широкий слой нематериального капитала, который можно выявлять, структурировать, защищать, оценивать, лицензировать, передавать, масштабировать и частично переводить в признанные активы.</w:t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t>Бухгалтерский контур отвечает на вопрос: что может быть признано НМА в отчетности и по какой стоимости.</w:t>
      </w:r>
    </w:p>
    <w:p>
      <w:pPr>
        <w:pStyle w:val="ListBullet"/>
        <w:spacing w:after="40"/>
      </w:pPr>
      <w:r>
        <w:t>Правовой контур отвечает на вопрос: кому принадлежат исключительные права, на какой территории, на какой срок и на каких основаниях.</w:t>
      </w:r>
    </w:p>
    <w:p>
      <w:pPr>
        <w:pStyle w:val="ListBullet"/>
        <w:spacing w:after="40"/>
      </w:pPr>
      <w:r>
        <w:t>Управленческий контур отвечает на вопрос: какие нематериальные ресурсы создают ценность, даже если пока не признаны в бухгалтерском учете.</w:t>
      </w:r>
    </w:p>
    <w:p>
      <w:pPr>
        <w:pStyle w:val="ListBullet"/>
        <w:spacing w:after="40"/>
      </w:pPr>
      <w:r>
        <w:t>Инвестиционный контур отвечает на вопрос: какие НМА могут генерировать денежный поток, снижать риски, повышать капитализацию и служить основой лицензий, франшиз, концессий и партнерств.</w:t>
      </w:r>
    </w:p>
    <w:p>
      <w:pPr>
        <w:pStyle w:val="ListBullet"/>
        <w:spacing w:after="40"/>
      </w:pPr>
      <w:r>
        <w:t>Цифровой контур превращает разрозненные права и знания в верифицируемый реестр с паспортом каждого актива и связями с проектами, фондами, организациями и балансами.</w:t>
      </w:r>
    </w:p>
    <w:p>
      <w:pPr>
        <w:pStyle w:val="Heading1"/>
      </w:pPr>
      <w:r>
        <w:t>2. Что относится к НМА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8"/>
        <w:gridCol w:w="2538"/>
        <w:gridCol w:w="2538"/>
        <w:gridCol w:w="2538"/>
      </w:tblGrid>
      <w:tr>
        <w:tc>
          <w:tcPr>
            <w:tcW w:type="dxa" w:w="2538"/>
            <w:shd w:fill="123B5D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Класс</w:t>
            </w:r>
          </w:p>
        </w:tc>
        <w:tc>
          <w:tcPr>
            <w:tcW w:type="dxa" w:w="2538"/>
            <w:shd w:fill="123B5D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Примеры</w:t>
            </w:r>
          </w:p>
        </w:tc>
        <w:tc>
          <w:tcPr>
            <w:tcW w:type="dxa" w:w="2538"/>
            <w:shd w:fill="123B5D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Основная защита</w:t>
            </w:r>
          </w:p>
        </w:tc>
        <w:tc>
          <w:tcPr>
            <w:tcW w:type="dxa" w:w="2538"/>
            <w:shd w:fill="123B5D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Модель ценности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Патентные права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изобретения, полезные модели, промышленные образцы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патенты, договоры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лицензирование, производство, роялти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ПО и цифровые решения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программы, алгоритмы, платформы, модули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исключительное право, регистрация, договоры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SaaS, лицензии, подписка, интеграции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Базы данных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структурированные массивы данных, реестры, справочники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авторское/смежное право, режим доступа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аналитика, сервисы, доступ, повышение эффективности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Средства индивидуализации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товарные знаки, бренды, коммерческие обозначения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регистрация знаков, договоры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премия к цене, франшиза, лояльность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Секреты производства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ноу-хау, рецептуры, технологические режимы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режим коммерческой тайны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конкурентное преимущество, лицензии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Контент и документация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методики, стандарты, учебные материалы, архитектуры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авторское право, договоры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тиражирование, обучение, внедрение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Договорные права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лицензии, концессионные и иные права при выполнении критериев учета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договорная документация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доступ к рынку, эксплуатации, потокам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Деловая репутация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гудвил возникает прежде всего при приобретении бизнеса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сделка, оценка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синергия, клиентская база, рыночная позиция</w:t>
            </w:r>
          </w:p>
        </w:tc>
      </w:tr>
    </w:tbl>
    <w:p>
      <w:r>
        <w:rPr>
          <w:b/>
        </w:rPr>
        <w:t xml:space="preserve">Важно: </w:t>
      </w:r>
      <w:r>
        <w:t>не каждый нематериальный ресурс является бухгалтерским НМА. Например, компетенции персонала, часть репутационного капитала, неоформленные знания и отношения могут иметь высокую управленческую ценность, но не отвечать критериям признания актива.</w:t>
      </w:r>
    </w:p>
    <w:p>
      <w:pPr>
        <w:pStyle w:val="Heading1"/>
      </w:pPr>
      <w:r>
        <w:t>3. Критерии признания и границы</w:t>
      </w:r>
    </w:p>
    <w:p>
      <w:pPr>
        <w:pStyle w:val="ListNumber"/>
        <w:spacing w:after="40"/>
      </w:pPr>
      <w:r>
        <w:t>Объект контролируется организацией: есть права и возможность ограничивать доступ других лиц к выгодам.</w:t>
      </w:r>
    </w:p>
    <w:p>
      <w:pPr>
        <w:pStyle w:val="ListNumber"/>
        <w:spacing w:after="40"/>
      </w:pPr>
      <w:r>
        <w:t>Объект способен приносить экономические выгоды в будущем.</w:t>
      </w:r>
    </w:p>
    <w:p>
      <w:pPr>
        <w:pStyle w:val="ListNumber"/>
        <w:spacing w:after="40"/>
      </w:pPr>
      <w:r>
        <w:t>Объект идентифицируем и отделим либо возникает из юридических/договорных прав.</w:t>
      </w:r>
    </w:p>
    <w:p>
      <w:pPr>
        <w:pStyle w:val="ListNumber"/>
        <w:spacing w:after="40"/>
      </w:pPr>
      <w:r>
        <w:t>Предназначен для использования в деятельности в течение периода, соответствующего правилам учета.</w:t>
      </w:r>
    </w:p>
    <w:p>
      <w:pPr>
        <w:pStyle w:val="ListNumber"/>
        <w:spacing w:after="40"/>
      </w:pPr>
      <w:r>
        <w:t>Первоначальная стоимость может быть определена и подтверждена документами.</w:t>
      </w:r>
    </w:p>
    <w:p>
      <w:pPr>
        <w:pStyle w:val="ListNumber"/>
        <w:spacing w:after="40"/>
      </w:pPr>
      <w:r>
        <w:t>Права, ограничения, срок полезного использования и модель последующего учета закреплены в учетной и правовой документации.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152"/>
            <w:shd w:fill="EAF3F7"/>
          </w:tcPr>
          <w:p>
            <w:r>
              <w:rPr>
                <w:b/>
                <w:color w:val="123B5D"/>
                <w:sz w:val="21"/>
              </w:rPr>
              <w:t xml:space="preserve">Российский учет — </w:t>
            </w:r>
            <w:r>
              <w:rPr>
                <w:sz w:val="21"/>
              </w:rPr>
              <w:t>ФСБУ 14/2022 устанавливает требования к формированию информации о НМА в бухгалтерском учете. Налоговый кодекс РФ отдельно определяет НМА для целей налога на прибыль, включая требование экономической выгоды и документального подтверждения существования объекта и прав на него.</w:t>
            </w:r>
          </w:p>
        </w:tc>
      </w:tr>
    </w:tbl>
    <w:p>
      <w:pPr>
        <w:spacing w:after="20"/>
      </w:pPr>
    </w:p>
    <w:p>
      <w:pPr>
        <w:pStyle w:val="Heading1"/>
      </w:pPr>
      <w:r>
        <w:t>4. Расширенная карта нематериального капитала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4"/>
        <w:gridCol w:w="3384"/>
        <w:gridCol w:w="3384"/>
      </w:tblGrid>
      <w:tr>
        <w:tc>
          <w:tcPr>
            <w:tcW w:type="dxa" w:w="3384"/>
            <w:shd w:fill="1F5D7A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Слой</w:t>
            </w:r>
          </w:p>
        </w:tc>
        <w:tc>
          <w:tcPr>
            <w:tcW w:type="dxa" w:w="3384"/>
            <w:shd w:fill="1F5D7A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Что входит</w:t>
            </w:r>
          </w:p>
        </w:tc>
        <w:tc>
          <w:tcPr>
            <w:tcW w:type="dxa" w:w="3384"/>
            <w:shd w:fill="1F5D7A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Цель управления</w:t>
            </w:r>
          </w:p>
        </w:tc>
      </w:tr>
      <w:tr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I. Признанные НМА</w:t>
            </w:r>
          </w:p>
        </w:tc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учтенные права, ПО, патенты, товарные знаки, лицензии</w:t>
            </w:r>
          </w:p>
        </w:tc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учет, амортизация/обесценение, отчетность</w:t>
            </w:r>
          </w:p>
        </w:tc>
      </w:tr>
      <w:tr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II. Оформляемые активы</w:t>
            </w:r>
          </w:p>
        </w:tc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результаты НИОКР, методики, базы данных, ноу-хау, документация</w:t>
            </w:r>
          </w:p>
        </w:tc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инвентаризация → правовая упаковка → оценка → постановка на учет при выполнении критериев</w:t>
            </w:r>
          </w:p>
        </w:tc>
      </w:tr>
      <w:tr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III. Стратегический капитал</w:t>
            </w:r>
          </w:p>
        </w:tc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знания, компетенции, связи, репутация, архитектуры, данные, стандарты</w:t>
            </w:r>
          </w:p>
        </w:tc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управление ценностью и рисками даже без бухгалтерского признания</w:t>
            </w:r>
          </w:p>
        </w:tc>
      </w:tr>
      <w:tr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IV. Экосистемный капитал</w:t>
            </w:r>
          </w:p>
        </w:tc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сетевые эффекты, партнерства, доступ к инфраструктуре, доверие</w:t>
            </w:r>
          </w:p>
        </w:tc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масштабирование, кооперация, снижение транзакционных издержек</w:t>
            </w:r>
          </w:p>
        </w:tc>
      </w:tr>
    </w:tbl>
    <w:p>
      <w:pPr>
        <w:pStyle w:val="Heading1"/>
      </w:pPr>
      <w:r>
        <w:t>5. Жизненный цикл НМА</w:t>
      </w:r>
    </w:p>
    <w:p>
      <w:pPr>
        <w:spacing w:after="20"/>
      </w:pPr>
      <w:r>
        <w:rPr>
          <w:b/>
          <w:color w:val="1F5D7A"/>
        </w:rPr>
        <w:t>01. Выявить</w:t>
      </w:r>
    </w:p>
    <w:p>
      <w:pPr>
        <w:spacing w:after="20"/>
      </w:pPr>
      <w:r>
        <w:rPr>
          <w:b/>
          <w:color w:val="1F5D7A"/>
        </w:rPr>
        <w:t>02. Идентифицировать</w:t>
      </w:r>
    </w:p>
    <w:p>
      <w:pPr>
        <w:spacing w:after="20"/>
      </w:pPr>
      <w:r>
        <w:rPr>
          <w:b/>
          <w:color w:val="1F5D7A"/>
        </w:rPr>
        <w:t>03. Оформить права</w:t>
      </w:r>
    </w:p>
    <w:p>
      <w:pPr>
        <w:spacing w:after="20"/>
      </w:pPr>
      <w:r>
        <w:rPr>
          <w:b/>
          <w:color w:val="1F5D7A"/>
        </w:rPr>
        <w:t>04. Оценить</w:t>
      </w:r>
    </w:p>
    <w:p>
      <w:pPr>
        <w:spacing w:after="20"/>
      </w:pPr>
      <w:r>
        <w:rPr>
          <w:b/>
          <w:color w:val="1F5D7A"/>
        </w:rPr>
        <w:t>05. Признать/классифицировать</w:t>
      </w:r>
    </w:p>
    <w:p>
      <w:pPr>
        <w:spacing w:after="20"/>
      </w:pPr>
      <w:r>
        <w:rPr>
          <w:b/>
          <w:color w:val="1F5D7A"/>
        </w:rPr>
        <w:t>06. Включить в реестр</w:t>
      </w:r>
    </w:p>
    <w:p>
      <w:pPr>
        <w:spacing w:after="20"/>
      </w:pPr>
      <w:r>
        <w:rPr>
          <w:b/>
          <w:color w:val="1F5D7A"/>
        </w:rPr>
        <w:t>07. Эксплуатировать</w:t>
      </w:r>
    </w:p>
    <w:p>
      <w:pPr>
        <w:spacing w:after="20"/>
      </w:pPr>
      <w:r>
        <w:rPr>
          <w:b/>
          <w:color w:val="1F5D7A"/>
        </w:rPr>
        <w:t>08. Лицензировать/монетизировать</w:t>
      </w:r>
    </w:p>
    <w:p>
      <w:pPr>
        <w:spacing w:after="20"/>
      </w:pPr>
      <w:r>
        <w:rPr>
          <w:b/>
          <w:color w:val="1F5D7A"/>
        </w:rPr>
        <w:t>09. Переоценивать риски</w:t>
      </w:r>
    </w:p>
    <w:p>
      <w:pPr>
        <w:spacing w:after="20"/>
      </w:pPr>
      <w:r>
        <w:rPr>
          <w:b/>
          <w:color w:val="1F5D7A"/>
        </w:rPr>
        <w:t>10. Модернизировать</w:t>
      </w:r>
    </w:p>
    <w:p>
      <w:pPr>
        <w:spacing w:after="20"/>
      </w:pPr>
      <w:r>
        <w:rPr>
          <w:b/>
          <w:color w:val="1F5D7A"/>
        </w:rPr>
        <w:t>11. Передать/внести</w:t>
      </w:r>
    </w:p>
    <w:p>
      <w:pPr>
        <w:spacing w:after="20"/>
      </w:pPr>
      <w:r>
        <w:rPr>
          <w:b/>
          <w:color w:val="1F5D7A"/>
        </w:rPr>
        <w:t>12. Списать/архивировать</w:t>
      </w:r>
    </w:p>
    <w:p>
      <w:pPr>
        <w:pStyle w:val="Heading1"/>
      </w:pPr>
      <w:r>
        <w:t>6. Паспорт НМА: единая карточка актива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6"/>
        <w:gridCol w:w="5076"/>
      </w:tblGrid>
      <w:tr>
        <w:tc>
          <w:tcPr>
            <w:tcW w:type="dxa" w:w="5076"/>
            <w:shd w:fill="123B5D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Поле паспорта</w:t>
            </w:r>
          </w:p>
        </w:tc>
        <w:tc>
          <w:tcPr>
            <w:tcW w:type="dxa" w:w="5076"/>
            <w:shd w:fill="123B5D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Содержание</w:t>
            </w:r>
          </w:p>
        </w:tc>
      </w:tr>
      <w:tr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ID / код</w:t>
            </w:r>
          </w:p>
        </w:tc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уникальный код, версия, владелец реестра</w:t>
            </w:r>
          </w:p>
        </w:tc>
      </w:tr>
      <w:tr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Наименование и класс</w:t>
            </w:r>
          </w:p>
        </w:tc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патент / ПО / БД / знак / ноу-хау / методика / договорное право</w:t>
            </w:r>
          </w:p>
        </w:tc>
      </w:tr>
      <w:tr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Правообладатель</w:t>
            </w:r>
          </w:p>
        </w:tc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организация, фонд, автор, совместные владельцы</w:t>
            </w:r>
          </w:p>
        </w:tc>
      </w:tr>
      <w:tr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Правовое основание</w:t>
            </w:r>
          </w:p>
        </w:tc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патент, свидетельство, договор, акт, служебное задание, режим тайны</w:t>
            </w:r>
          </w:p>
        </w:tc>
      </w:tr>
      <w:tr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Территория и срок</w:t>
            </w:r>
          </w:p>
        </w:tc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юрисдикции, срок действия прав, продления</w:t>
            </w:r>
          </w:p>
        </w:tc>
      </w:tr>
      <w:tr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Автор/разработчик</w:t>
            </w:r>
          </w:p>
        </w:tc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лица и организации-источники</w:t>
            </w:r>
          </w:p>
        </w:tc>
      </w:tr>
      <w:tr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Первоначальная стоимость</w:t>
            </w:r>
          </w:p>
        </w:tc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состав затрат и подтверждающие документы</w:t>
            </w:r>
          </w:p>
        </w:tc>
      </w:tr>
      <w:tr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Оценочная стоимость</w:t>
            </w:r>
          </w:p>
        </w:tc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метод оценки, дата, оценщик, диапазон</w:t>
            </w:r>
          </w:p>
        </w:tc>
      </w:tr>
      <w:tr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Доходный профиль</w:t>
            </w:r>
          </w:p>
        </w:tc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роялти, экономия затрат, подписка, продажа лицензий, влияние на выручку</w:t>
            </w:r>
          </w:p>
        </w:tc>
      </w:tr>
      <w:tr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Связи</w:t>
            </w:r>
          </w:p>
        </w:tc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проекты, продукты, договоры, фонды, технологии, стандарты, реестры</w:t>
            </w:r>
          </w:p>
        </w:tc>
      </w:tr>
      <w:tr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Риски</w:t>
            </w:r>
          </w:p>
        </w:tc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оспаривание прав, утечки, зависимость от ключевых лиц, технологическое устаревание</w:t>
            </w:r>
          </w:p>
        </w:tc>
      </w:tr>
      <w:tr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Статус</w:t>
            </w:r>
          </w:p>
        </w:tc>
        <w:tc>
          <w:tcPr>
            <w:tcW w:type="dxa" w:w="5076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разработка / защита / внедрение / лицензирование / спор / архив</w:t>
            </w:r>
          </w:p>
        </w:tc>
      </w:tr>
    </w:tbl>
    <w:p>
      <w:pPr>
        <w:pStyle w:val="Heading1"/>
      </w:pPr>
      <w:r>
        <w:t>7. Оценка стоимости НМА</w:t>
      </w:r>
    </w:p>
    <w:p>
      <w:pPr>
        <w:pStyle w:val="ListBullet"/>
        <w:spacing w:after="40"/>
      </w:pPr>
      <w:r>
        <w:t>Затратный подход: сколько стоит создать или заместить актив с сопоставимой полезностью.</w:t>
      </w:r>
    </w:p>
    <w:p>
      <w:pPr>
        <w:pStyle w:val="ListBullet"/>
        <w:spacing w:after="40"/>
      </w:pPr>
      <w:r>
        <w:t>Доходный подход: текущая стоимость будущих денежных потоков, связанных с активом; частный вариант — relief-from-royalty для брендов и технологий.</w:t>
      </w:r>
    </w:p>
    <w:p>
      <w:pPr>
        <w:pStyle w:val="ListBullet"/>
        <w:spacing w:after="40"/>
      </w:pPr>
      <w:r>
        <w:t>Сравнительный подход: ориентир на сделки и рыночные ставки по сопоставимым лицензиям/активам.</w:t>
      </w:r>
    </w:p>
    <w:p>
      <w:pPr>
        <w:pStyle w:val="ListBullet"/>
        <w:spacing w:after="40"/>
      </w:pPr>
      <w:r>
        <w:t>Опционный подход: полезен для технологий и разработок с высокой неопределенностью, где ценность зависит от будущих решений и стадий.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152"/>
            <w:shd w:fill="EAF3F7"/>
          </w:tcPr>
          <w:p>
            <w:r>
              <w:rPr>
                <w:b/>
                <w:color w:val="123B5D"/>
                <w:sz w:val="21"/>
              </w:rPr>
              <w:t xml:space="preserve">Правило управления — </w:t>
            </w:r>
            <w:r>
              <w:rPr>
                <w:sz w:val="21"/>
              </w:rPr>
              <w:t>Бухгалтерская стоимость, налоговая стоимость, рыночная оценка и стратегическая ценность — разные величины. В реестре их нужно хранить раздельно, с датой, методом и основанием.</w:t>
            </w:r>
          </w:p>
        </w:tc>
      </w:tr>
    </w:tbl>
    <w:p>
      <w:pPr>
        <w:spacing w:after="20"/>
      </w:pPr>
    </w:p>
    <w:p>
      <w:pPr>
        <w:pStyle w:val="Heading1"/>
      </w:pPr>
      <w:r>
        <w:t>8. Система управления НМА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8"/>
        <w:gridCol w:w="2538"/>
        <w:gridCol w:w="2538"/>
        <w:gridCol w:w="2538"/>
      </w:tblGrid>
      <w:tr>
        <w:tc>
          <w:tcPr>
            <w:tcW w:type="dxa" w:w="2538"/>
            <w:shd w:fill="123B5D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Контур</w:t>
            </w:r>
          </w:p>
        </w:tc>
        <w:tc>
          <w:tcPr>
            <w:tcW w:type="dxa" w:w="2538"/>
            <w:shd w:fill="123B5D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Функция</w:t>
            </w:r>
          </w:p>
        </w:tc>
        <w:tc>
          <w:tcPr>
            <w:tcW w:type="dxa" w:w="2538"/>
            <w:shd w:fill="123B5D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Ключевой результат</w:t>
            </w:r>
          </w:p>
        </w:tc>
        <w:tc>
          <w:tcPr>
            <w:tcW w:type="dxa" w:w="2538"/>
            <w:shd w:fill="123B5D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Владелец процесса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Правовой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оформление и защита прав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чистая цепочка титула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юридическая функция / IP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Технологический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версионирование, зрелость, внедрение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актуальный технологический паспорт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R&amp;D / CTO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Финансовый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учет, оценка, амортизация, impairment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достоверная стоимость и эффект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CFO / бухгалтерия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Коммерческий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лицензии, роялти, франшиза, сделки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денежный поток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бизнес-развитие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Информационный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реестр, доступ, provenance, аудит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единый источник правды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CDO / архив / ИАЦ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Риск-контур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споры, утечки, зависимость, киберриски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карта рисков и меры защиты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комплаенс / безопасность</w:t>
            </w:r>
          </w:p>
        </w:tc>
      </w:tr>
    </w:tbl>
    <w:p>
      <w:pPr>
        <w:pStyle w:val="Heading1"/>
      </w:pPr>
      <w:r>
        <w:t>9. НМА в архитектуре ЭКВИЛИБРИУМ — СФЕРА — ECO-PPA — СПЕЦЗАЩИТА</w:t>
      </w:r>
    </w:p>
    <w:p>
      <w:pPr>
        <w:pStyle w:val="ListBullet"/>
        <w:spacing w:after="40"/>
      </w:pPr>
      <w:r>
        <w:t>ЭКВИЛИБРИУМ: слой наблюдения, классификации, оценки связей и балансов нематериальных активов.</w:t>
      </w:r>
    </w:p>
    <w:p>
      <w:pPr>
        <w:pStyle w:val="ListBullet"/>
        <w:spacing w:after="40"/>
      </w:pPr>
      <w:r>
        <w:t>СФЕРА: пространство проектов и инициатив, где НМА становятся компонентами продуктов, программ и партнерств.</w:t>
      </w:r>
    </w:p>
    <w:p>
      <w:pPr>
        <w:pStyle w:val="ListBullet"/>
        <w:spacing w:after="40"/>
      </w:pPr>
      <w:r>
        <w:t>ECO-PPA: механизм связывания НМА с ресурсами, целями, рисками, показателями и контрактными контурами.</w:t>
      </w:r>
    </w:p>
    <w:p>
      <w:pPr>
        <w:pStyle w:val="ListBullet"/>
        <w:spacing w:after="40"/>
      </w:pPr>
      <w:r>
        <w:t>СПЕЦЗАЩИТА: исполнительный контур — оформление, внедрение, лицензирование, производственная кооперация и защита результатов.</w:t>
      </w:r>
    </w:p>
    <w:p>
      <w:pPr>
        <w:pStyle w:val="ListBullet"/>
        <w:spacing w:after="40"/>
      </w:pPr>
      <w:r>
        <w:t>Архив сохранения наследия: фиксация происхождения, авторства, версий, доказательств, исторических материалов и правопреемства.</w:t>
      </w:r>
    </w:p>
    <w:p>
      <w:pPr>
        <w:pStyle w:val="ListBullet"/>
        <w:spacing w:after="40"/>
      </w:pPr>
      <w:r>
        <w:t>Система фондов: распределение НМА по личным, именным, проектным, отраслевым и целевым фондам с прозрачным режимом владения и использования.</w:t>
      </w:r>
    </w:p>
    <w:p>
      <w:pPr>
        <w:pStyle w:val="Heading1"/>
      </w:pPr>
      <w:r>
        <w:t>10. НМА и система балансов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152"/>
            <w:shd w:fill="EAF3F7"/>
          </w:tcPr>
          <w:p>
            <w:r>
              <w:rPr>
                <w:b/>
                <w:color w:val="123B5D"/>
                <w:sz w:val="21"/>
              </w:rPr>
              <w:t xml:space="preserve">Новый баланс — </w:t>
            </w:r>
            <w:r>
              <w:rPr>
                <w:sz w:val="21"/>
              </w:rPr>
              <w:t>Для каждого материального контура целесообразно вести парный нематериальный баланс: какие знания, права, данные, стандарты, алгоритмы, модели и бренды обеспечивают работу физической системы.</w:t>
            </w:r>
          </w:p>
        </w:tc>
      </w:tr>
    </w:tbl>
    <w:p>
      <w:pPr>
        <w:spacing w:after="20"/>
      </w:pPr>
    </w:p>
    <w:p>
      <w:r>
        <w:rPr>
          <w:b/>
        </w:rPr>
        <w:t xml:space="preserve">1. Технологии: </w:t>
      </w:r>
      <w:r>
        <w:t>патенты, ноу-хау, технологические карты, цифровые двойники</w:t>
      </w:r>
    </w:p>
    <w:p>
      <w:r>
        <w:rPr>
          <w:b/>
        </w:rPr>
        <w:t xml:space="preserve">2. Кадры: </w:t>
      </w:r>
      <w:r>
        <w:t>методики обучения, компетентностные модели, базы знаний</w:t>
      </w:r>
    </w:p>
    <w:p>
      <w:r>
        <w:rPr>
          <w:b/>
        </w:rPr>
        <w:t xml:space="preserve">3. Экология: </w:t>
      </w:r>
      <w:r>
        <w:t>модели биоценозов, базы наблюдений, методики валидации</w:t>
      </w:r>
    </w:p>
    <w:p>
      <w:r>
        <w:rPr>
          <w:b/>
        </w:rPr>
        <w:t xml:space="preserve">4. Строительство: </w:t>
      </w:r>
      <w:r>
        <w:t>ТИМ/BIM-модели, классификаторы, библиотеки решений, ПО</w:t>
      </w:r>
    </w:p>
    <w:p>
      <w:r>
        <w:rPr>
          <w:b/>
        </w:rPr>
        <w:t xml:space="preserve">5. Транспорт: </w:t>
      </w:r>
      <w:r>
        <w:t>алгоритмы оптимизации, карты, цифровые модели инфраструктуры</w:t>
      </w:r>
    </w:p>
    <w:p>
      <w:r>
        <w:rPr>
          <w:b/>
        </w:rPr>
        <w:t xml:space="preserve">6. Финансы: </w:t>
      </w:r>
      <w:r>
        <w:t>скоринговые модели, методологии, реестры прав, программные ядра</w:t>
      </w:r>
    </w:p>
    <w:p>
      <w:r>
        <w:rPr>
          <w:b/>
        </w:rPr>
        <w:t xml:space="preserve">7. Наука: </w:t>
      </w:r>
      <w:r>
        <w:t>результаты исследований, базы экспериментов, научные коллекции, ПО</w:t>
      </w:r>
    </w:p>
    <w:p>
      <w:r>
        <w:rPr>
          <w:b/>
        </w:rPr>
        <w:t xml:space="preserve">8. Культура: </w:t>
      </w:r>
      <w:r>
        <w:t>архивы, произведения, бренды, цифровые коллекции, права</w:t>
      </w:r>
    </w:p>
    <w:p>
      <w:pPr>
        <w:pStyle w:val="Heading1"/>
      </w:pPr>
      <w:r>
        <w:t>11. Дорожная карта внедрения реестра НМА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8"/>
        <w:gridCol w:w="2538"/>
        <w:gridCol w:w="2538"/>
        <w:gridCol w:w="2538"/>
      </w:tblGrid>
      <w:tr>
        <w:tc>
          <w:tcPr>
            <w:tcW w:type="dxa" w:w="2538"/>
            <w:shd w:fill="1F5D7A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Этап</w:t>
            </w:r>
          </w:p>
        </w:tc>
        <w:tc>
          <w:tcPr>
            <w:tcW w:type="dxa" w:w="2538"/>
            <w:shd w:fill="1F5D7A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Срок</w:t>
            </w:r>
          </w:p>
        </w:tc>
        <w:tc>
          <w:tcPr>
            <w:tcW w:type="dxa" w:w="2538"/>
            <w:shd w:fill="1F5D7A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Действия</w:t>
            </w:r>
          </w:p>
        </w:tc>
        <w:tc>
          <w:tcPr>
            <w:tcW w:type="dxa" w:w="2538"/>
            <w:shd w:fill="1F5D7A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0. Нормализация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0–30 дней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утвердить классификатор, роли, шаблон паспорта, режим доступа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единые правила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1. Инвентаризация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30–90 дней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собрать объекты, документы, авторство, договоры, версии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черновой реестр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2. Правовая упаковка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60–180 дней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закрыть пробелы в правах, регистрации, NDA/режимах тайны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чистая цепочка прав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3. Оценка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90–210 дней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сегментировать активы, определить методы и приоритеты оценки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карта стоимости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4. Капитализация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120–270 дней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лицензии, вклады, франшизы, партнерские модели, учет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денежный эффект</w:t>
            </w:r>
          </w:p>
        </w:tc>
      </w:tr>
      <w:tr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5. Интеграция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180–365 дней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связать НМА с проектами, балансами, фондами, архивом и BI</w:t>
            </w:r>
          </w:p>
        </w:tc>
        <w:tc>
          <w:tcPr>
            <w:tcW w:type="dxa" w:w="2538"/>
            <w:vAlign w:val="center"/>
          </w:tcPr>
          <w:p>
            <w:r/>
            <w:r>
              <w:rPr>
                <w:rFonts w:ascii="Arial" w:hAnsi="Arial"/>
                <w:b w:val="0"/>
                <w:sz w:val="16"/>
              </w:rPr>
              <w:t>цифровая система управления</w:t>
            </w:r>
          </w:p>
        </w:tc>
      </w:tr>
    </w:tbl>
    <w:p>
      <w:pPr>
        <w:pStyle w:val="Heading1"/>
      </w:pPr>
      <w:r>
        <w:t>12. KPI нематериального капитала</w:t>
      </w:r>
    </w:p>
    <w:p>
      <w:pPr>
        <w:pStyle w:val="ListBullet"/>
        <w:spacing w:after="40"/>
      </w:pPr>
      <w:r>
        <w:t>Доля выявленных объектов с подтвержденным правообладанием, %.</w:t>
      </w:r>
    </w:p>
    <w:p>
      <w:pPr>
        <w:pStyle w:val="ListBullet"/>
        <w:spacing w:after="40"/>
      </w:pPr>
      <w:r>
        <w:t>Доля критических НМА с резервной документацией и планом преемственности, %.</w:t>
      </w:r>
    </w:p>
    <w:p>
      <w:pPr>
        <w:pStyle w:val="ListBullet"/>
        <w:spacing w:after="40"/>
      </w:pPr>
      <w:r>
        <w:t>Стоимость портфеля по выбранным методам оценки и изменение стоимости за период.</w:t>
      </w:r>
    </w:p>
    <w:p>
      <w:pPr>
        <w:pStyle w:val="ListBullet"/>
        <w:spacing w:after="40"/>
      </w:pPr>
      <w:r>
        <w:t>Выручка и экономия затрат, непосредственно связанные с НМА.</w:t>
      </w:r>
    </w:p>
    <w:p>
      <w:pPr>
        <w:pStyle w:val="ListBullet"/>
        <w:spacing w:after="40"/>
      </w:pPr>
      <w:r>
        <w:t>Количество лицензий, внедрений, партнерских соглашений и повторных применений.</w:t>
      </w:r>
    </w:p>
    <w:p>
      <w:pPr>
        <w:pStyle w:val="ListBullet"/>
        <w:spacing w:after="40"/>
      </w:pPr>
      <w:r>
        <w:t>Доля НМА, связанная с конкретными продуктами, проектами и денежными потоками.</w:t>
      </w:r>
    </w:p>
    <w:p>
      <w:pPr>
        <w:pStyle w:val="ListBullet"/>
        <w:spacing w:after="40"/>
      </w:pPr>
      <w:r>
        <w:t>Количество правовых дефектов, споров и инцидентов утечки/несанкционированного использования.</w:t>
      </w:r>
    </w:p>
    <w:p>
      <w:pPr>
        <w:pStyle w:val="ListBullet"/>
        <w:spacing w:after="40"/>
      </w:pPr>
      <w:r>
        <w:t>Среднее время от создания результата до юридического оформления и включения в реестр.</w:t>
      </w:r>
    </w:p>
    <w:p>
      <w:pPr>
        <w:pStyle w:val="Heading1"/>
      </w:pPr>
      <w:r>
        <w:t>13. Решение для запуска</w:t>
      </w:r>
    </w:p>
    <w:p>
      <w:pPr>
        <w:pStyle w:val="ListNumber"/>
        <w:spacing w:after="40"/>
      </w:pPr>
      <w:r>
        <w:t>Создать Единый реестр НМА и нематериального капитала с разграничением бухгалтерского, правового, рыночного и стратегического статуса.</w:t>
      </w:r>
    </w:p>
    <w:p>
      <w:pPr>
        <w:pStyle w:val="ListNumber"/>
        <w:spacing w:after="40"/>
      </w:pPr>
      <w:r>
        <w:t>Утвердить паспорт НМА и единый классификатор объектов.</w:t>
      </w:r>
    </w:p>
    <w:p>
      <w:pPr>
        <w:pStyle w:val="ListNumber"/>
        <w:spacing w:after="40"/>
      </w:pPr>
      <w:r>
        <w:t>Провести инвентаризацию портфеля: права, ПО, базы данных, технологии, методики, бренды, архивы, лицензии, ноу-хау.</w:t>
      </w:r>
    </w:p>
    <w:p>
      <w:pPr>
        <w:pStyle w:val="ListNumber"/>
        <w:spacing w:after="40"/>
      </w:pPr>
      <w:r>
        <w:t>Сформировать межфункциональную комиссию: право + финансы + технологии + данные + коммерциализация + безопасность.</w:t>
      </w:r>
    </w:p>
    <w:p>
      <w:pPr>
        <w:pStyle w:val="ListNumber"/>
        <w:spacing w:after="40"/>
      </w:pPr>
      <w:r>
        <w:t>Выделить приоритетные активы для правовой упаковки, оценки и монетизации.</w:t>
      </w:r>
    </w:p>
    <w:p>
      <w:pPr>
        <w:pStyle w:val="ListNumber"/>
        <w:spacing w:after="40"/>
      </w:pPr>
      <w:r>
        <w:t>Связать реестр с Архивом сохранения наследия, системой фондов, проектным контуром и системой балансов.</w:t>
      </w:r>
    </w:p>
    <w:p>
      <w:pPr>
        <w:pStyle w:val="Heading1"/>
      </w:pPr>
      <w:r>
        <w:t>14. Нормативная опора и источники</w:t>
      </w:r>
    </w:p>
    <w:p>
      <w:r>
        <w:rPr>
          <w:b/>
        </w:rPr>
        <w:t>1. ФСБУ 14/2022 «Нематериальные активы»</w:t>
      </w:r>
      <w:r>
        <w:t xml:space="preserve"> — требования к бухгалтерскому учету информации о НМА.</w:t>
      </w:r>
    </w:p>
    <w:p>
      <w:r>
        <w:rPr>
          <w:b/>
        </w:rPr>
        <w:t>2. Налоговый кодекс РФ, ст. 257</w:t>
      </w:r>
      <w:r>
        <w:t xml:space="preserve"> — определение НМА для целей налога на прибыль, требования к экономической выгоде и подтверждению прав.</w:t>
      </w:r>
    </w:p>
    <w:p>
      <w:r>
        <w:rPr>
          <w:b/>
        </w:rPr>
        <w:t>3. Часть IV ГК РФ</w:t>
      </w:r>
      <w:r>
        <w:t xml:space="preserve"> — правовое регулирование результатов интеллектуальной деятельности и средств индивидуализации.</w:t>
      </w:r>
    </w:p>
    <w:p>
      <w:r>
        <w:rPr>
          <w:b/>
        </w:rPr>
        <w:t>4. Международные ориентиры: IAS 38 Intangible Assets, IFRS 3 Business Combinations, ISO 55000 family</w:t>
      </w:r>
      <w:r>
        <w:t xml:space="preserve"> — полезны для сопоставления подходов к активам, приобретенным НМА и управлению активами.</w:t>
      </w:r>
    </w:p>
    <w:p>
      <w:pPr>
        <w:spacing w:before="240"/>
        <w:jc w:val="center"/>
      </w:pPr>
      <w:r>
        <w:rPr>
          <w:b/>
          <w:color w:val="123B5D"/>
          <w:sz w:val="26"/>
        </w:rPr>
        <w:t>НМА = Права × Знания × Данные × Технологии × Доверие × Управление</w:t>
      </w:r>
    </w:p>
    <w:sectPr w:rsidR="00FC693F" w:rsidRPr="0006063C" w:rsidSect="00034616">
      <w:pgSz w:w="12240" w:h="15840"/>
      <w:pgMar w:top="936" w:right="1008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23B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F5D7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2F6F89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23B5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