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00" w:line="269" w:lineRule="auto"/>
        <w:jc w:val="center"/>
      </w:pPr>
      <w:r>
        <w:rPr>
          <w:rFonts w:ascii="Aptos" w:hAnsi="Aptos"/>
          <w:b/>
          <w:i w:val="0"/>
          <w:color w:val="D6A756"/>
          <w:sz w:val="24"/>
        </w:rPr>
        <w:t>ЭКВИЛИБРИУМ</w:t>
      </w:r>
    </w:p>
    <w:p>
      <w:pPr>
        <w:spacing w:after="100" w:line="269" w:lineRule="auto"/>
        <w:jc w:val="center"/>
      </w:pPr>
      <w:r>
        <w:rPr>
          <w:rFonts w:ascii="Aptos" w:hAnsi="Aptos"/>
          <w:b/>
          <w:i w:val="0"/>
          <w:color w:val="17324D"/>
          <w:sz w:val="64"/>
        </w:rPr>
        <w:t>НЕЙРОСВОД</w:t>
      </w:r>
    </w:p>
    <w:p>
      <w:pPr>
        <w:spacing w:after="440" w:line="269" w:lineRule="auto"/>
        <w:jc w:val="center"/>
      </w:pPr>
      <w:r>
        <w:rPr>
          <w:rFonts w:ascii="Aptos" w:hAnsi="Aptos"/>
          <w:b w:val="0"/>
          <w:i w:val="0"/>
          <w:color w:val="276A92"/>
          <w:sz w:val="30"/>
        </w:rPr>
        <w:t>Единая интеллектуальная архитектура смыслов, знаний, решений и созидательного действия</w:t>
      </w:r>
    </w:p>
    <w:p>
      <w:pPr>
        <w:spacing w:after="3200" w:line="269" w:lineRule="auto"/>
        <w:jc w:val="center"/>
      </w:pPr>
      <w:r>
        <w:rPr>
          <w:rFonts w:ascii="Aptos" w:hAnsi="Aptos"/>
          <w:b/>
          <w:i w:val="0"/>
          <w:color w:val="62717F"/>
          <w:sz w:val="22"/>
        </w:rPr>
        <w:t>Стратегическая концепция • Версия 1.0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9706"/>
      </w:tblGrid>
      <w:tr>
        <w:trPr>
          <w:cantSplit/>
        </w:trPr>
        <w:tc>
          <w:tcPr>
            <w:tcW w:type="dxa" w:w="9706"/>
            <w:shd w:fill="EEF5F7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i w:val="0"/>
                <w:color w:val="276A92"/>
                <w:sz w:val="21"/>
              </w:rPr>
              <w:t xml:space="preserve">Ключевая формула  </w:t>
            </w:r>
            <w:r>
              <w:rPr>
                <w:rFonts w:ascii="Aptos" w:hAnsi="Aptos"/>
                <w:b w:val="0"/>
                <w:i w:val="0"/>
                <w:color w:val="1F2933"/>
                <w:sz w:val="21"/>
              </w:rPr>
              <w:t>данные → знания → смыслы → прогноз → решение → кооперация → действие → измеримый результат</w:t>
            </w:r>
          </w:p>
        </w:tc>
      </w:tr>
    </w:tbl>
    <w:p>
      <w:pPr>
        <w:spacing w:after="20"/>
      </w:pPr>
    </w:p>
    <w:p>
      <w:pPr>
        <w:spacing w:after="40" w:line="269" w:lineRule="auto"/>
        <w:jc w:val="center"/>
      </w:pPr>
      <w:r>
        <w:rPr>
          <w:rFonts w:ascii="Aptos" w:hAnsi="Aptos"/>
          <w:b w:val="0"/>
          <w:i w:val="0"/>
          <w:color w:val="62717F"/>
          <w:sz w:val="20"/>
        </w:rPr>
        <w:t>Авторская система: SOKOL EQUILIBRIS</w:t>
      </w:r>
    </w:p>
    <w:p>
      <w:pPr>
        <w:spacing w:after="120" w:line="269" w:lineRule="auto"/>
        <w:jc w:val="center"/>
      </w:pPr>
      <w:r>
        <w:rPr>
          <w:rFonts w:ascii="Aptos" w:hAnsi="Aptos"/>
          <w:b w:val="0"/>
          <w:i w:val="0"/>
          <w:color w:val="62717F"/>
          <w:sz w:val="20"/>
        </w:rPr>
        <w:t>2026</w:t>
      </w:r>
    </w:p>
    <w:p>
      <w:r>
        <w:br w:type="page"/>
      </w:r>
    </w:p>
    <w:p>
      <w:pPr>
        <w:pStyle w:val="Heading1"/>
        <w:keepNext/>
      </w:pPr>
      <w:r>
        <w:t>Паспорт документа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Параметр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Наименование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Нейросвод ЭКВИЛИБРИУМ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Тип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Цивилизационная метасистема и интеллектуальная операционная среда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Назначение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Сводить разрозненные знания, интересы, ресурсы и действия в проверяемые решения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Масштаб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Человек → сообщество → организация → территория → государство → планета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Контур исполнения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ЭКВИЛИБРИУМ — СФЕРА — ECO-PPA — СПЕЦЗАЩИТА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Базовый принцип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Человек задаёт цели и ценности; ИИ усиливает понимание, прогноз и координацию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Статус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Концептуальный документ; правовые, технические и финансовые положения требуют верификации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Аннотация</w:t>
      </w:r>
    </w:p>
    <w:p>
      <w:pPr>
        <w:spacing w:after="120" w:line="269" w:lineRule="auto"/>
      </w:pPr>
      <w:r>
        <w:rPr>
          <w:rFonts w:ascii="Aptos" w:hAnsi="Aptos"/>
          <w:b w:val="0"/>
          <w:i w:val="0"/>
          <w:color w:val="1F2933"/>
          <w:sz w:val="22"/>
        </w:rPr>
        <w:t>Нейросвод — это не отдельная нейросеть и не очередная информационная система. Это архитектура коллективного разума, которая соединяет человеческий опыт, научные знания, культурные смыслы, цифровые данные, модели искусственного интеллекта, институты и механизмы исполнения. Она превращает поток информации в целостную картину реальности и помогает согласованно действовать в условиях сложности.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9706"/>
      </w:tblGrid>
      <w:tr>
        <w:trPr>
          <w:cantSplit/>
        </w:trPr>
        <w:tc>
          <w:tcPr>
            <w:tcW w:type="dxa" w:w="9706"/>
            <w:shd w:fill="EEF5F7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i w:val="0"/>
                <w:color w:val="276A92"/>
                <w:sz w:val="21"/>
              </w:rPr>
              <w:t xml:space="preserve">Главный результат  </w:t>
            </w:r>
            <w:r>
              <w:rPr>
                <w:rFonts w:ascii="Aptos" w:hAnsi="Aptos"/>
                <w:b w:val="0"/>
                <w:i w:val="0"/>
                <w:color w:val="1F2933"/>
                <w:sz w:val="21"/>
              </w:rPr>
              <w:t>единое доказательное пространство, где происхождение данных известно, выводы объяснимы, решения распределены по ответственности, а последствия измеряются.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1. Основание и замысел</w:t>
      </w:r>
    </w:p>
    <w:p>
      <w:pPr>
        <w:spacing w:after="120" w:line="269" w:lineRule="auto"/>
      </w:pPr>
      <w:r>
        <w:rPr>
          <w:rFonts w:ascii="Aptos" w:hAnsi="Aptos"/>
          <w:b w:val="0"/>
          <w:i w:val="0"/>
          <w:color w:val="1F2933"/>
          <w:sz w:val="22"/>
        </w:rPr>
        <w:t>Современный мир располагает огромным объёмом информации, но испытывает дефицит целостности. Данные разобщены, ведомственные системы несовместимы, экспертные позиции конфликтуют, а решения часто запаздывают. Нейросвод создаёт надсистему согласования: он не уничтожает разнообразие, а обеспечивает общий язык, правила доверия и совместную картину происходящего.</w:t>
      </w:r>
    </w:p>
    <w:p>
      <w:pPr>
        <w:pStyle w:val="Heading2"/>
        <w:keepNext/>
      </w:pPr>
      <w:r>
        <w:t>1.1. Миссия</w:t>
      </w:r>
    </w:p>
    <w:p>
      <w:pPr>
        <w:spacing w:after="120" w:line="269" w:lineRule="auto"/>
      </w:pPr>
      <w:r>
        <w:rPr>
          <w:rFonts w:ascii="Aptos" w:hAnsi="Aptos"/>
          <w:b w:val="0"/>
          <w:i w:val="0"/>
          <w:color w:val="1F2933"/>
          <w:sz w:val="22"/>
        </w:rPr>
        <w:t>Сформировать безопасную человекоцентричную среду коллективного мышления и действия, способную своевременно распознавать угрозы и возможности, объединять участников и направлять ресурсы на сохранение жизни, развитие человека, суверенитет общества и равновесие планеты.</w:t>
      </w:r>
    </w:p>
    <w:p>
      <w:pPr>
        <w:pStyle w:val="Heading2"/>
        <w:keepNext/>
      </w:pPr>
      <w:r>
        <w:t>1.2. Стратегические цели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Собрать распределённые знания в единый проверяемый семантический контур.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Обеспечить раннее предупреждение о природных, социальных, технологических и экономических рисках.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Повысить качество решений за счёт многомодельного анализа, сценарного прогнозирования и независимой валидации.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Организовать кооперацию государства, науки, бизнеса, общества и человека вокруг измеримых результатов.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Сохранить культурную память и разнообразие цивилизаций без утраты суверенитета данных и идентичности.</w:t>
      </w:r>
    </w:p>
    <w:p>
      <w:pPr>
        <w:pStyle w:val="Heading1"/>
        <w:keepNext/>
      </w:pPr>
      <w:r>
        <w:t>2. Что такое Нейросвод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9706"/>
      </w:tblGrid>
      <w:tr>
        <w:trPr>
          <w:cantSplit/>
        </w:trPr>
        <w:tc>
          <w:tcPr>
            <w:tcW w:type="dxa" w:w="9706"/>
            <w:shd w:fill="EEF5F7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i w:val="0"/>
                <w:color w:val="276A92"/>
                <w:sz w:val="21"/>
              </w:rPr>
              <w:t xml:space="preserve">Определение  </w:t>
            </w:r>
            <w:r>
              <w:rPr>
                <w:rFonts w:ascii="Aptos" w:hAnsi="Aptos"/>
                <w:b w:val="0"/>
                <w:i w:val="0"/>
                <w:color w:val="1F2933"/>
                <w:sz w:val="21"/>
              </w:rPr>
              <w:t>Нейросвод — распределённая система систем, которая формирует связный граф знаний и действий на основе доверенных данных, человеческих ценностей, научных методов и искусственного интеллекта.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2.1. Пять образов системы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Образ</w:t>
            </w:r>
          </w:p>
        </w:tc>
        <w:tc>
          <w:tcPr>
            <w:tcW w:type="dxa" w:w="7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Смысл</w:t>
            </w:r>
          </w:p>
        </w:tc>
      </w:tr>
      <w:tr>
        <w:trPr>
          <w:cantSplit/>
        </w:trPr>
        <w:tc>
          <w:tcPr>
            <w:tcW w:type="dxa" w:w="2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Нервная система</w:t>
            </w:r>
          </w:p>
        </w:tc>
        <w:tc>
          <w:tcPr>
            <w:tcW w:type="dxa" w:w="7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Чувствует изменения, передаёт сигналы, координирует реакцию.</w:t>
            </w:r>
          </w:p>
        </w:tc>
      </w:tr>
      <w:tr>
        <w:trPr>
          <w:cantSplit/>
        </w:trPr>
        <w:tc>
          <w:tcPr>
            <w:tcW w:type="dxa" w:w="2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Зеркало реальности</w:t>
            </w:r>
          </w:p>
        </w:tc>
        <w:tc>
          <w:tcPr>
            <w:tcW w:type="dxa" w:w="7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Показывает состояние мира вместе с неопределённостью и источниками.</w:t>
            </w:r>
          </w:p>
        </w:tc>
      </w:tr>
      <w:tr>
        <w:trPr>
          <w:cantSplit/>
        </w:trPr>
        <w:tc>
          <w:tcPr>
            <w:tcW w:type="dxa" w:w="2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Компас</w:t>
            </w:r>
          </w:p>
        </w:tc>
        <w:tc>
          <w:tcPr>
            <w:tcW w:type="dxa" w:w="7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Соотносит варианты действий с ценностями, целями и последствиями.</w:t>
            </w:r>
          </w:p>
        </w:tc>
      </w:tr>
      <w:tr>
        <w:trPr>
          <w:cantSplit/>
        </w:trPr>
        <w:tc>
          <w:tcPr>
            <w:tcW w:type="dxa" w:w="2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Память</w:t>
            </w:r>
          </w:p>
        </w:tc>
        <w:tc>
          <w:tcPr>
            <w:tcW w:type="dxa" w:w="7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Сохраняет знания, решения, опыт и культурное наследие.</w:t>
            </w:r>
          </w:p>
        </w:tc>
      </w:tr>
      <w:tr>
        <w:trPr>
          <w:cantSplit/>
        </w:trPr>
        <w:tc>
          <w:tcPr>
            <w:tcW w:type="dxa" w:w="2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Операционная среда</w:t>
            </w:r>
          </w:p>
        </w:tc>
        <w:tc>
          <w:tcPr>
            <w:tcW w:type="dxa" w:w="7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Связывает анализ с ответственными исполнителями и ресурсами.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2.2. Чем Нейросвод не является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Не является «единым центром тотального контроля».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Не подменяет человека, право, научную экспертизу и политическую ответственность.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Не присваивает данные участников: доступ строится по полномочиям и суверенным правилам.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Не выдаёт вероятностный вывод ИИ за установленный факт.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Не замыкается на одном поставщике, модели или технологической платформе.</w:t>
      </w:r>
    </w:p>
    <w:p>
      <w:pPr>
        <w:pStyle w:val="Heading1"/>
        <w:keepNext/>
      </w:pPr>
      <w:r>
        <w:t>3. Ценностное ядро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Принцип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Практическое выражение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Жизнь и достоинство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Приоритет безопасности, здоровья, свободы выбора и развития человека.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Истина и доказательность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Разделение фактов, гипотез, мнений и прогнозов; видимое происхождение вывода.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Суверенитет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Контроль владельца над данными, моделями, правилами доступа и критической инфраструктурой.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Справедливость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Проверка распределения выгод, рисков, обязанностей и доступа к возможностям.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Ответственность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У каждого решения есть автор, основание, срок, исполнитель и измеримый результат.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Разнообразие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Согласование без унификации культур, мировоззрений и локальных форм жизни.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Созидание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Технологии оцениваются по вкладу в долгосрочное общественное и природное благо.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Архитектура Нейросвода</w:t>
      </w:r>
    </w:p>
    <w:p>
      <w:pPr>
        <w:spacing w:after="120" w:line="269" w:lineRule="auto"/>
      </w:pPr>
      <w:r>
        <w:rPr>
          <w:rFonts w:ascii="Aptos" w:hAnsi="Aptos"/>
          <w:b w:val="0"/>
          <w:i w:val="0"/>
          <w:color w:val="1F2933"/>
          <w:sz w:val="22"/>
        </w:rPr>
        <w:t>Архитектура строится как набор взаимосвязанных слоёв. Каждый слой имеет собственные правила качества, безопасности и ответственности; ни один алгоритм не получает безусловного права принимать необратимые решения.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35"/>
        <w:gridCol w:w="3235"/>
        <w:gridCol w:w="3235"/>
      </w:tblGrid>
      <w:tr>
        <w:trPr>
          <w:tblHeader/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Слой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Функция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Основной результат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1. Сенсорный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Получение данных от реестров, датчиков, спутников, исследований и людей.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Потоки наблюдений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2. Доверия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Идентификация источника, качество, права доступа, подпись и журнал происхождения.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Проверяемые данные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3. Семантический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Онтологии, классификаторы, граф знаний, связи объектов и событий.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Единый язык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4. Аналитический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Поиск закономерностей, причинный анализ, сравнение и объяснение.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Знания и выводы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5. Прогнозный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Сценарии, цифровые двойники, стресс-тесты и ранние предупреждения.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Варианты будущего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6. Ценностный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Оценка целей, ограничений, этики, прав и общественного воздействия.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Допустимые решения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7. Решающий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Подготовка вариантов, согласование, протоколирование и выбор.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Мандат действия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8. Кооперационный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Подбор участников, компетенций, ресурсов, договоров и финансирования.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Контур исполнения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9. Результативный</w:t>
            </w:r>
          </w:p>
        </w:tc>
        <w:tc>
          <w:tcPr>
            <w:tcW w:type="dxa" w:w="496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Мониторинг эффектов, обратная связь, аудит и обучение системы.</w:t>
            </w:r>
          </w:p>
        </w:tc>
        <w:tc>
          <w:tcPr>
            <w:tcW w:type="dxa" w:w="309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Измеримый результат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Интеллектуальное ядро</w:t>
      </w:r>
    </w:p>
    <w:p>
      <w:pPr>
        <w:pStyle w:val="Heading2"/>
        <w:keepNext/>
      </w:pPr>
      <w:r>
        <w:t>5.1. Гиперграф реальности</w:t>
      </w:r>
    </w:p>
    <w:p>
      <w:pPr>
        <w:spacing w:after="120" w:line="269" w:lineRule="auto"/>
      </w:pPr>
      <w:r>
        <w:rPr>
          <w:rFonts w:ascii="Aptos" w:hAnsi="Aptos"/>
          <w:b w:val="0"/>
          <w:i w:val="0"/>
          <w:color w:val="1F2933"/>
          <w:sz w:val="22"/>
        </w:rPr>
        <w:t>Базовая модель данных — гиперграф, в котором одновременно представлены люди, организации, территории, активы, события, нормы, цели, риски, проекты, показатели и доказательства. Связь может объединять более двух сущностей и содержать время, географию, уровень доверия, источник и режим доступа.</w:t>
      </w:r>
    </w:p>
    <w:p>
      <w:pPr>
        <w:pStyle w:val="Heading2"/>
        <w:keepNext/>
      </w:pPr>
      <w:r>
        <w:t>5.2. Ансамбль моделей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Языковые модели — анализ и синтез текстов, диалог, извлечение смыслов.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Причинно-следственные модели — проверка гипотез и факторов воздействия.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Пространственно-временные модели — территория, инфраструктура, экология, события и циклы.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Сценарные и агентные модели — поведение участников и последствия решений.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Оптимизационные модели — распределение ограниченных ресурсов.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Экспертные правила — нормы, стандарты, регламенты и критические ограничения.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9706"/>
      </w:tblGrid>
      <w:tr>
        <w:trPr>
          <w:cantSplit/>
        </w:trPr>
        <w:tc>
          <w:tcPr>
            <w:tcW w:type="dxa" w:w="9706"/>
            <w:shd w:fill="EEF5F7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i w:val="0"/>
                <w:color w:val="276A92"/>
                <w:sz w:val="21"/>
              </w:rPr>
              <w:t xml:space="preserve">Правило доверия  </w:t>
            </w:r>
            <w:r>
              <w:rPr>
                <w:rFonts w:ascii="Aptos" w:hAnsi="Aptos"/>
                <w:b w:val="0"/>
                <w:i w:val="0"/>
                <w:color w:val="1F2933"/>
                <w:sz w:val="21"/>
              </w:rPr>
              <w:t>критическое решение опирается не на один ответ модели, а на совокупность данных, независимых методов, экспертной проверки и явного человеческого мандата.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6. Контуры экосистемы ЭКВИЛИБРИУМ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2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Контур</w:t>
            </w:r>
          </w:p>
        </w:tc>
        <w:tc>
          <w:tcPr>
            <w:tcW w:type="dxa" w:w="74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Роль в Нейросводе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ЭКВИЛИБРИУМ</w:t>
            </w:r>
          </w:p>
        </w:tc>
        <w:tc>
          <w:tcPr>
            <w:tcW w:type="dxa" w:w="74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Наблюдение, смысловая сборка, моделирование, прогноз и оценка равновесия.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СФЕРА</w:t>
            </w:r>
          </w:p>
        </w:tc>
        <w:tc>
          <w:tcPr>
            <w:tcW w:type="dxa" w:w="74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Пространство инициатив, сообществ, знаний, культур и общественного участия.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ECO-PPA</w:t>
            </w:r>
          </w:p>
        </w:tc>
        <w:tc>
          <w:tcPr>
            <w:tcW w:type="dxa" w:w="74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Механизм объединения публичных и частных ресурсов для предупреждения угроз и развития.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СПЕЦЗАЩИТА</w:t>
            </w:r>
          </w:p>
        </w:tc>
        <w:tc>
          <w:tcPr>
            <w:tcW w:type="dxa" w:w="74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Кооперационная организация исполнения: консорциумы, пилоты, производство, внедрение.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ГАСМП</w:t>
            </w:r>
          </w:p>
        </w:tc>
        <w:tc>
          <w:tcPr>
            <w:tcW w:type="dxa" w:w="74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Глобальный аэрокосмический мониторинг, прогнозирование и раннее предупреждение.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ESG-IR 1.0</w:t>
            </w:r>
          </w:p>
        </w:tc>
        <w:tc>
          <w:tcPr>
            <w:tcW w:type="dxa" w:w="74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Доказательная отчётность, рейтинг воздействия, валидация и верификация.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КРИСТАЛЛ 741</w:t>
            </w:r>
          </w:p>
        </w:tc>
        <w:tc>
          <w:tcPr>
            <w:tcW w:type="dxa" w:w="74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Модульная матрица описания и согласования элементов системы.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ИАЦ</w:t>
            </w:r>
          </w:p>
        </w:tc>
        <w:tc>
          <w:tcPr>
            <w:tcW w:type="dxa" w:w="74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Защищённый аналитический контур для руководителей и ситуационных центров.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Функциональные модули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Модуль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Навигатор смыслов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Выявляет ключевые идеи, противоречия, ценности и нарративы.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Карта знаний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Связывает документы, экспертов, проекты, технологии и доказательства.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Пульс реальности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Отображает текущее состояние систем и отклонения от нормы.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Радар угроз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Ранжирует риски по вероятности, масштабу, скорости и обратимости.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Лаборатория будущего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Строит сценарии, цифровые двойники и стресс-тесты.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Конструктор решений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Формирует варианты действий, критерии выбора и пакеты решений.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Кооперационный конвейер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Собирает команды, ресурсы, договоры, графики и ответственность.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Реестр результатов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Фиксирует показатели, доказательства эффекта и извлечённые уроки.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Архив наследия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Сохраняет культурные, научные и цивилизационные знания.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Персональный контур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Помогает человеку учиться, развиваться и участвовать в проектах.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8. Цикл принятия решений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Зафиксировать сигнал, вопрос, угрозу или возможность.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Определить объект, масштаб, время и заинтересованные стороны.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Собрать данные и присвоить им метаданные происхождения и качества.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Сформировать несколько объяснений и выявить пробелы.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Провести независимую проверку и сценарное моделирование.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Оценить варианты по ценностям, праву, рискам, ресурсам и долгосрочным последствиям.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Принять решение уполномоченным субъектом; зафиксировать основания и особые мнения.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Собрать контур исполнения, обеспечить ресурсы и контрольные точки.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Измерить результат, опубликовать допустимую часть доказательств и обновить знания.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9706"/>
      </w:tblGrid>
      <w:tr>
        <w:trPr>
          <w:cantSplit/>
        </w:trPr>
        <w:tc>
          <w:tcPr>
            <w:tcW w:type="dxa" w:w="9706"/>
            <w:shd w:fill="EEF5F7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i w:val="0"/>
                <w:color w:val="276A92"/>
                <w:sz w:val="21"/>
              </w:rPr>
              <w:t xml:space="preserve">Принцип обратной связи  </w:t>
            </w:r>
            <w:r>
              <w:rPr>
                <w:rFonts w:ascii="Aptos" w:hAnsi="Aptos"/>
                <w:b w:val="0"/>
                <w:i w:val="0"/>
                <w:color w:val="1F2933"/>
                <w:sz w:val="21"/>
              </w:rPr>
              <w:t>каждое действие становится новым наблюдением; система учится не на декларациях, а на проверенных последствиях.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Роли и управление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Роль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Ответственность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Совет Нейросвода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Миссия, принципы, стратегические приоритеты, защита от захвата системы.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Научно-методический совет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Методы, качество моделей, воспроизводимость, экспертные разногласия.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Совет по этике и правам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Права человека, допустимость применения, апелляции и красные линии.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Оператор платформы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Надёжность, архитектура, интеграции и эксплуатация.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Владельцы доменов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Качество данных и решений в отраслевых и территориальных контурах.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Органы валидации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Независимая проверка данных, моделей, показателей и заявленных результатов.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Общественный контур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Участие, обратная связь, гражданская экспертиза и контроль общественного воздействия.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Уполномоченный по данным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Суверенитет, доступ, приватность, сроки хранения и права субъектов.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9.1. Права человека в системе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Право знать, когда вывод или рекомендация сформированы ИИ.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Право получить понятное объяснение основания значимого решения.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Право исправить данные, представить возражение и потребовать пересмотра человеком.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Право на минимизацию данных и ограничение вторичного использования.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Право на защищённое пространство частной жизни и культурной идентичности.</w:t>
      </w:r>
    </w:p>
    <w:p>
      <w:pPr>
        <w:pStyle w:val="Heading1"/>
        <w:keepNext/>
      </w:pPr>
      <w:r>
        <w:t>10. Данные, доверие и безопасность</w:t>
      </w:r>
    </w:p>
    <w:p>
      <w:pPr>
        <w:pStyle w:val="Heading2"/>
        <w:keepNext/>
      </w:pPr>
      <w:r>
        <w:t>10.1. Классы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35"/>
        <w:gridCol w:w="3235"/>
        <w:gridCol w:w="3235"/>
      </w:tblGrid>
      <w:tr>
        <w:trPr>
          <w:tblHeader/>
          <w:cantSplit/>
        </w:trPr>
        <w:tc>
          <w:tcPr>
            <w:tcW w:type="dxa" w:w="172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Класс</w:t>
            </w:r>
          </w:p>
        </w:tc>
        <w:tc>
          <w:tcPr>
            <w:tcW w:type="dxa" w:w="41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Пример</w:t>
            </w:r>
          </w:p>
        </w:tc>
        <w:tc>
          <w:tcPr>
            <w:tcW w:type="dxa" w:w="38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Режим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Открытые</w:t>
            </w:r>
          </w:p>
        </w:tc>
        <w:tc>
          <w:tcPr>
            <w:tcW w:type="dxa" w:w="41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Публикации, открытая статистика, публичные карты.</w:t>
            </w:r>
          </w:p>
        </w:tc>
        <w:tc>
          <w:tcPr>
            <w:tcW w:type="dxa" w:w="38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Открытая лицензия и атрибуция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Служебные</w:t>
            </w:r>
          </w:p>
        </w:tc>
        <w:tc>
          <w:tcPr>
            <w:tcW w:type="dxa" w:w="41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Операционные данные организаций и проектов.</w:t>
            </w:r>
          </w:p>
        </w:tc>
        <w:tc>
          <w:tcPr>
            <w:tcW w:type="dxa" w:w="38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Ролевой доступ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Конфиденциальные</w:t>
            </w:r>
          </w:p>
        </w:tc>
        <w:tc>
          <w:tcPr>
            <w:tcW w:type="dxa" w:w="41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Коммерческая тайна, персональные и медицинские данные.</w:t>
            </w:r>
          </w:p>
        </w:tc>
        <w:tc>
          <w:tcPr>
            <w:tcW w:type="dxa" w:w="38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Минимизация, шифрование, строгий аудит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Критические</w:t>
            </w:r>
          </w:p>
        </w:tc>
        <w:tc>
          <w:tcPr>
            <w:tcW w:type="dxa" w:w="41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Безопасность, инфраструктура, защищённые государственные контуры.</w:t>
            </w:r>
          </w:p>
        </w:tc>
        <w:tc>
          <w:tcPr>
            <w:tcW w:type="dxa" w:w="38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Изолированная обработка и специальный допуск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Культурно-чувствительные</w:t>
            </w:r>
          </w:p>
        </w:tc>
        <w:tc>
          <w:tcPr>
            <w:tcW w:type="dxa" w:w="41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Знания общин, коренных народов, сакральное наследие.</w:t>
            </w:r>
          </w:p>
        </w:tc>
        <w:tc>
          <w:tcPr>
            <w:tcW w:type="dxa" w:w="38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Согласие хранителей и специальные протоколы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10.2. Модель «нулевого доверия»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Проверяется каждый субъект, устройство, запрос и контекст доступа.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Права выдаются минимально необходимыми и ограничиваются сроком.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Критические действия требуют разделения полномочий и многостороннего подтверждения.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Все изменения, модели и наборы данных версионируются.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Непрерывно моделируются атаки, ошибки, утечки и злоупотребления инсайдеров.</w:t>
      </w:r>
    </w:p>
    <w:p>
      <w:pPr>
        <w:pStyle w:val="Heading1"/>
        <w:keepNext/>
      </w:pPr>
      <w:r>
        <w:t>11. Суверенная и федеративная модель</w:t>
      </w:r>
    </w:p>
    <w:p>
      <w:pPr>
        <w:spacing w:after="120" w:line="269" w:lineRule="auto"/>
      </w:pPr>
      <w:r>
        <w:rPr>
          <w:rFonts w:ascii="Aptos" w:hAnsi="Aptos"/>
          <w:b w:val="0"/>
          <w:i w:val="0"/>
          <w:color w:val="1F2933"/>
          <w:sz w:val="22"/>
        </w:rPr>
        <w:t>Нейросвод развивается как федерация совместимых узлов. Данные могут оставаться у владельца или в национальном контуре, а наружу передаются разрешённые признаки, доказательства или результаты вычислений. Совместимость обеспечивают открытые протоколы, семантические стандарты, доверенные реестры и взаимное признание процедур валидации.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35"/>
        <w:gridCol w:w="3235"/>
        <w:gridCol w:w="3235"/>
      </w:tblGrid>
      <w:tr>
        <w:trPr>
          <w:tblHeader/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Уровень</w:t>
            </w:r>
          </w:p>
        </w:tc>
        <w:tc>
          <w:tcPr>
            <w:tcW w:type="dxa" w:w="367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Пример узла</w:t>
            </w:r>
          </w:p>
        </w:tc>
        <w:tc>
          <w:tcPr>
            <w:tcW w:type="dxa" w:w="41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Что остаётся суверенным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Личный</w:t>
            </w:r>
          </w:p>
        </w:tc>
        <w:tc>
          <w:tcPr>
            <w:tcW w:type="dxa" w:w="367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Персональный помощник и хранилище согласий.</w:t>
            </w:r>
          </w:p>
        </w:tc>
        <w:tc>
          <w:tcPr>
            <w:tcW w:type="dxa" w:w="41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Идентичность, цели, история и приватные данные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Организационный</w:t>
            </w:r>
          </w:p>
        </w:tc>
        <w:tc>
          <w:tcPr>
            <w:tcW w:type="dxa" w:w="367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Предприятие, университет, кооператив.</w:t>
            </w:r>
          </w:p>
        </w:tc>
        <w:tc>
          <w:tcPr>
            <w:tcW w:type="dxa" w:w="41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Коммерческие данные, модели и процессы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Территориальный</w:t>
            </w:r>
          </w:p>
        </w:tc>
        <w:tc>
          <w:tcPr>
            <w:tcW w:type="dxa" w:w="367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Город, регион, природная зона.</w:t>
            </w:r>
          </w:p>
        </w:tc>
        <w:tc>
          <w:tcPr>
            <w:tcW w:type="dxa" w:w="41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Оперативные данные и местные приоритеты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Национальный</w:t>
            </w:r>
          </w:p>
        </w:tc>
        <w:tc>
          <w:tcPr>
            <w:tcW w:type="dxa" w:w="367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Государственная инфраструктура знаний.</w:t>
            </w:r>
          </w:p>
        </w:tc>
        <w:tc>
          <w:tcPr>
            <w:tcW w:type="dxa" w:w="41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Право, безопасность и критические реестры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Международный</w:t>
            </w:r>
          </w:p>
        </w:tc>
        <w:tc>
          <w:tcPr>
            <w:tcW w:type="dxa" w:w="367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Сеть раннего предупреждения и научной кооперации.</w:t>
            </w:r>
          </w:p>
        </w:tc>
        <w:tc>
          <w:tcPr>
            <w:tcW w:type="dxa" w:w="41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Условия участия и границы обмена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12. Приоритетные сценарии применения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Направление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Первый практический результат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Экология и климат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Биоценозные точки мониторинга, карта состояния экосистем, раннее предупреждение.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Здравоохранение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Прогноз нагрузки, профилактика, маршрутизация без подмены врача.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Наука и промышленность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Карта технологий, цепочки кооперации, ускорение от исследования к производству.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Город и территория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Цифровой двойник инфраструктуры, событий и качества жизни.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Социальная сфера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Адресная поддержка, оценка доступности и реального эффекта программ.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Культура и наследие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Архив цивилизационной памяти, реестры, права и цифровая реставрация.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Безопасность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Свод междисциплинарных сигналов без автоматизации репрессивных решений.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Образование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Персональные траектории и карта компетенций, связанных с задачами развития.</w:t>
            </w:r>
          </w:p>
        </w:tc>
      </w:tr>
      <w:tr>
        <w:trPr>
          <w:cantSplit/>
        </w:trPr>
        <w:tc>
          <w:tcPr>
            <w:tcW w:type="dxa" w:w="230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Финансы развития</w:t>
            </w:r>
          </w:p>
        </w:tc>
        <w:tc>
          <w:tcPr>
            <w:tcW w:type="dxa" w:w="741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Прослеживаемость капитала до общественного, экологического и экономического результата.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13. Показатели зрелости и эффективности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Группа</w:t>
            </w:r>
          </w:p>
        </w:tc>
        <w:tc>
          <w:tcPr>
            <w:tcW w:type="dxa" w:w="77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Примеры показателей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Данные</w:t>
            </w:r>
          </w:p>
        </w:tc>
        <w:tc>
          <w:tcPr>
            <w:tcW w:type="dxa" w:w="77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Полнота, актуальность, доля с подтверждённым происхождением, число совместимых источников.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Знания</w:t>
            </w:r>
          </w:p>
        </w:tc>
        <w:tc>
          <w:tcPr>
            <w:tcW w:type="dxa" w:w="77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Доля понятий в онтологиях, связанность графа, скорость обнаружения противоречий.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Прогноз</w:t>
            </w:r>
          </w:p>
        </w:tc>
        <w:tc>
          <w:tcPr>
            <w:tcW w:type="dxa" w:w="77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Точность, горизонт, калибровка неопределённости, доля своевременных предупреждений.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Решения</w:t>
            </w:r>
          </w:p>
        </w:tc>
        <w:tc>
          <w:tcPr>
            <w:tcW w:type="dxa" w:w="77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Время цикла, объяснимость, число альтернатив, доля решений с независимой проверкой.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Исполнение</w:t>
            </w:r>
          </w:p>
        </w:tc>
        <w:tc>
          <w:tcPr>
            <w:tcW w:type="dxa" w:w="77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Срок, бюджет, кооперация, достижение контрольных точек.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Воздействие</w:t>
            </w:r>
          </w:p>
        </w:tc>
        <w:tc>
          <w:tcPr>
            <w:tcW w:type="dxa" w:w="77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Изменение состояния людей, природы, экономики и институтов относительно базовой линии.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Доверие</w:t>
            </w:r>
          </w:p>
        </w:tc>
        <w:tc>
          <w:tcPr>
            <w:tcW w:type="dxa" w:w="77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Число апелляций, исправлений, инцидентов, уровень участия и понятность для пользователей.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Устойчивость</w:t>
            </w:r>
          </w:p>
        </w:tc>
        <w:tc>
          <w:tcPr>
            <w:tcW w:type="dxa" w:w="77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Отказоустойчивость, технологическая независимость, переносимость и стоимость владения.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14. Дорожная карта 2026–2030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26"/>
        <w:gridCol w:w="2426"/>
        <w:gridCol w:w="2426"/>
        <w:gridCol w:w="2426"/>
      </w:tblGrid>
      <w:tr>
        <w:trPr>
          <w:tblHeader/>
          <w:cantSplit/>
        </w:trPr>
        <w:tc>
          <w:tcPr>
            <w:tcW w:type="dxa" w:w="15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Этап</w:t>
            </w:r>
          </w:p>
        </w:tc>
        <w:tc>
          <w:tcPr>
            <w:tcW w:type="dxa" w:w="115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Срок</w:t>
            </w:r>
          </w:p>
        </w:tc>
        <w:tc>
          <w:tcPr>
            <w:tcW w:type="dxa" w:w="46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Содержание</w:t>
            </w:r>
          </w:p>
        </w:tc>
        <w:tc>
          <w:tcPr>
            <w:tcW w:type="dxa" w:w="23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I. Основание</w:t>
            </w:r>
          </w:p>
        </w:tc>
        <w:tc>
          <w:tcPr>
            <w:tcW w:type="dxa" w:w="115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0–6 мес.</w:t>
            </w:r>
          </w:p>
        </w:tc>
        <w:tc>
          <w:tcPr>
            <w:tcW w:type="dxa" w:w="46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Устав принципов, онтология ядра, модель управления, реестр требований и пилотов.</w:t>
            </w:r>
          </w:p>
        </w:tc>
        <w:tc>
          <w:tcPr>
            <w:tcW w:type="dxa" w:w="23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Архитектурный стандарт 1.0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II. Прототип</w:t>
            </w:r>
          </w:p>
        </w:tc>
        <w:tc>
          <w:tcPr>
            <w:tcW w:type="dxa" w:w="115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6–12 мес.</w:t>
            </w:r>
          </w:p>
        </w:tc>
        <w:tc>
          <w:tcPr>
            <w:tcW w:type="dxa" w:w="46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Граф знаний, доверенный каталог данных, ансамбль моделей, рабочее место аналитика.</w:t>
            </w:r>
          </w:p>
        </w:tc>
        <w:tc>
          <w:tcPr>
            <w:tcW w:type="dxa" w:w="23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MVP Нейросвода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III. Пилоты</w:t>
            </w:r>
          </w:p>
        </w:tc>
        <w:tc>
          <w:tcPr>
            <w:tcW w:type="dxa" w:w="115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12–24 мес.</w:t>
            </w:r>
          </w:p>
        </w:tc>
        <w:tc>
          <w:tcPr>
            <w:tcW w:type="dxa" w:w="46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Экология, территория, индустриальная кооперация, социальные программы.</w:t>
            </w:r>
          </w:p>
        </w:tc>
        <w:tc>
          <w:tcPr>
            <w:tcW w:type="dxa" w:w="23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4 доказательных пилота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IV. Федерация</w:t>
            </w:r>
          </w:p>
        </w:tc>
        <w:tc>
          <w:tcPr>
            <w:tcW w:type="dxa" w:w="115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24–36 мес.</w:t>
            </w:r>
          </w:p>
        </w:tc>
        <w:tc>
          <w:tcPr>
            <w:tcW w:type="dxa" w:w="46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Подключение регионов и организаций, сертификация узлов, центр валидации.</w:t>
            </w:r>
          </w:p>
        </w:tc>
        <w:tc>
          <w:tcPr>
            <w:tcW w:type="dxa" w:w="23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Сеть совместимых узлов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V. Масштаб</w:t>
            </w:r>
          </w:p>
        </w:tc>
        <w:tc>
          <w:tcPr>
            <w:tcW w:type="dxa" w:w="115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36–60 мес.</w:t>
            </w:r>
          </w:p>
        </w:tc>
        <w:tc>
          <w:tcPr>
            <w:tcW w:type="dxa" w:w="46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Национальные и международные контуры, ГАСМП, отраслевые цифровые двойники.</w:t>
            </w:r>
          </w:p>
        </w:tc>
        <w:tc>
          <w:tcPr>
            <w:tcW w:type="dxa" w:w="2376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Инфраструктура коллективного разума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14.1. Первые 100 дней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Учредить проектный офис и совет архитектуры.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Утвердить миссию, красные линии и модель прав участников.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Описать 20 базовых доменов и ядро онтологии.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Выбрать два пилота: биоценозный мониторинг и индустриальная кооперация.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Сформировать каталог источников данных и требования к происхождению.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Развернуть защищённый прототип графа знаний.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Определить методику оценки прогноза и общественного воздействия.</w:t>
      </w:r>
    </w:p>
    <w:p>
      <w:pPr>
        <w:pStyle w:val="ListNumber"/>
        <w:spacing w:after="80"/>
        <w:ind w:left="461" w:hanging="259"/>
      </w:pPr>
      <w:r>
        <w:rPr>
          <w:rFonts w:ascii="Aptos" w:hAnsi="Aptos"/>
          <w:b w:val="0"/>
          <w:i w:val="0"/>
          <w:color w:val="1F2933"/>
          <w:sz w:val="21"/>
        </w:rPr>
        <w:t>Подготовить пакет партнёрств, бюджета и правовой песочницы.</w:t>
      </w:r>
    </w:p>
    <w:p>
      <w:pPr>
        <w:pStyle w:val="Heading1"/>
        <w:keepNext/>
      </w:pPr>
      <w:r>
        <w:t>15. Ресурсная модель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Контур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Минимальный состав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Управление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Руководитель программы, главный архитектор, владельцы доменов, PMO.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Наука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Системный анализ, ИИ, причинные методы, социология, экология, экономика, право.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Технологии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Платформа данных, граф знаний, MLOps, кибербезопасность, интерфейсы, интеграции.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Валидация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Независимые эксперты, испытательные лаборатории, аудит моделей и результатов.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Исполнение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СПЕЦЗАЩИТА, отраслевые партнёры, регионы, институты развития и проектные консорциумы.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Финансирование</w:t>
            </w:r>
          </w:p>
        </w:tc>
        <w:tc>
          <w:tcPr>
            <w:tcW w:type="dxa" w:w="7632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Гранты, государственные программы, партнёрские взносы, проектное и impact-финансирование.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9706"/>
      </w:tblGrid>
      <w:tr>
        <w:trPr>
          <w:cantSplit/>
        </w:trPr>
        <w:tc>
          <w:tcPr>
            <w:tcW w:type="dxa" w:w="9706"/>
            <w:shd w:fill="EEF5F7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i w:val="0"/>
                <w:color w:val="276A92"/>
                <w:sz w:val="21"/>
              </w:rPr>
              <w:t xml:space="preserve">Финансовый принцип  </w:t>
            </w:r>
            <w:r>
              <w:rPr>
                <w:rFonts w:ascii="Aptos" w:hAnsi="Aptos"/>
                <w:b w:val="0"/>
                <w:i w:val="0"/>
                <w:color w:val="1F2933"/>
                <w:sz w:val="21"/>
              </w:rPr>
              <w:t>бюджет строится по этапам зрелости и контрольным результатам; масштабирование допускается после независимой проверки пилота.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16. Ключевые риски и меры защиты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Риск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Мера защиты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Монополизация истины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Плюрализм моделей, открытые основания вывода, право на особое мнение.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Тотальный контроль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Минимизация данных, федеративная архитектура, запрет скрытого профилирования.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Ошибки ИИ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Калибровка неопределённости, независимая проверка, человеческое решение.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Захват интересами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Разделение полномочий, прозрачность конфликтов интересов, общественный надзор.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Утечка или атака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Zero Trust, сегментация, шифрование, резервирование, учения и реагирование.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Дискриминация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Аудит данных и моделей, тесты справедливости, доступная апелляция.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Имитация результата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Базовая линия, верифицируемые показатели, независимая оценка воздействия.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Технологическая зависимость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Открытые стандарты, переносимость, отечественные и альтернативные стеки.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17. Правовые и этические красные линии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Запрет автономного принятия необратимых решений о жизни, свободе, правах и достоинстве человека.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Запрет скрытой массовой оценки лояльности и социального рейтинга, ограничивающего права.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Запрет использования персональных данных вне заявленной цели без законного основания и информированного согласия.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Запрет маскировки вероятностного вывода под факт или экспертное заключение.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Обязательность журнала происхождения данных, моделей и значимых изменений.</w:t>
      </w:r>
    </w:p>
    <w:p>
      <w:pPr>
        <w:pStyle w:val="ListBullet"/>
        <w:spacing w:after="80" w:line="264" w:lineRule="auto"/>
        <w:ind w:left="403" w:hanging="230"/>
      </w:pPr>
      <w:r>
        <w:rPr>
          <w:rFonts w:ascii="Aptos" w:hAnsi="Aptos"/>
          <w:b w:val="0"/>
          <w:i w:val="0"/>
          <w:color w:val="1F2933"/>
          <w:sz w:val="21"/>
        </w:rPr>
        <w:t>Обязательность независимого расследования инцидентов и уведомления затронутых субъектов.</w:t>
      </w:r>
    </w:p>
    <w:p>
      <w:pPr>
        <w:pStyle w:val="Heading1"/>
        <w:keepNext/>
      </w:pPr>
      <w:r>
        <w:t>18. Образ целевого состояния</w:t>
      </w:r>
    </w:p>
    <w:p>
      <w:pPr>
        <w:spacing w:after="120" w:line="269" w:lineRule="auto"/>
      </w:pPr>
      <w:r>
        <w:rPr>
          <w:rFonts w:ascii="Aptos" w:hAnsi="Aptos"/>
          <w:b w:val="0"/>
          <w:i w:val="0"/>
          <w:color w:val="1F2933"/>
          <w:sz w:val="22"/>
        </w:rPr>
        <w:t>В целевом состоянии Нейросвод становится доверенной средой, где человек может увидеть взаимосвязь личного выбора и общих процессов; исследователь — проверить гипотезу на связанных данных; руководитель — получить не один “магический ответ”, а объяснимые варианты с последствиями; общество — контролировать цели и результаты; международные партнёры — обмениваться предупреждениями, не отдавая суверенитет.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9706"/>
      </w:tblGrid>
      <w:tr>
        <w:trPr>
          <w:cantSplit/>
        </w:trPr>
        <w:tc>
          <w:tcPr>
            <w:tcW w:type="dxa" w:w="9706"/>
            <w:shd w:fill="E8F3EC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i w:val="0"/>
                <w:color w:val="276A92"/>
                <w:sz w:val="21"/>
              </w:rPr>
              <w:t xml:space="preserve">Итоговая формула  </w:t>
            </w:r>
            <w:r>
              <w:rPr>
                <w:rFonts w:ascii="Aptos" w:hAnsi="Aptos"/>
                <w:b w:val="0"/>
                <w:i w:val="0"/>
                <w:color w:val="1F2933"/>
                <w:sz w:val="21"/>
              </w:rPr>
              <w:t>Нейросвод соединяет не базы данных, а ответственность; не только интеллект, а мудрость; не только прогноз, а способность своевременно и сообща действовать.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Заключение</w:t>
      </w:r>
    </w:p>
    <w:p>
      <w:pPr>
        <w:spacing w:after="120" w:line="269" w:lineRule="auto"/>
      </w:pPr>
      <w:r>
        <w:rPr>
          <w:rFonts w:ascii="Aptos" w:hAnsi="Aptos"/>
          <w:b w:val="0"/>
          <w:i w:val="0"/>
          <w:color w:val="1F2933"/>
          <w:sz w:val="22"/>
        </w:rPr>
        <w:t>Нейросвод ЭКВИЛИБРИУМ предлагается как открытая по принципам и суверенная по устройству инфраструктура коллективного разума. Его ценность определяется не мощностью алгоритмов, а качеством связи между истиной, нравственным выбором, ответственностью и результатом. Первый шаг — создать ограниченный, проверяемый прототип на реальной задаче, зафиксировать доказательства пользы и только после этого расширять масштаб.</w:t>
      </w:r>
    </w:p>
    <w:p>
      <w:pPr>
        <w:pStyle w:val="Heading1"/>
        <w:keepNext/>
      </w:pPr>
      <w:r>
        <w:t>Приложение А. Минимальный стандарт узла Нейросвода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Требование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Критерий готовности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Идентичность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Участники и сервисы имеют проверяемую идентификацию.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Происхождение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Каждый набор данных содержит источник, дату, владельца, лицензию и качество.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Семантика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Применяется совместимая онтология и устойчивые идентификаторы.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Безопасность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Ролевой доступ, шифрование, журналирование, резервирование и реагирование.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Модели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Версии, тесты, ограничения, метрики, ответственное лицо и условия применения известны.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Объяснимость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Значимые выводы сопровождаются основаниями и уровнем неопределённости.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Апелляция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Определены канал возражения, сроки и человек, принимающий пересмотр.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Совместимость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Поддерживаются утверждённые протоколы обмена и переносимость данных.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Результат</w:t>
            </w:r>
          </w:p>
        </w:tc>
        <w:tc>
          <w:tcPr>
            <w:tcW w:type="dxa" w:w="684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Есть базовая линия, показатели, доказательства и независимая верификация.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Приложение Б. Термины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853"/>
        <w:gridCol w:w="4853"/>
      </w:tblGrid>
      <w:tr>
        <w:trPr>
          <w:tblHeader/>
          <w:cantSplit/>
        </w:trP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Термин</w:t>
            </w:r>
          </w:p>
        </w:tc>
        <w:tc>
          <w:tcPr>
            <w:tcW w:type="dxa" w:w="7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24D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/>
                <w:i w:val="0"/>
                <w:color w:val="FFFFFF"/>
                <w:sz w:val="18"/>
              </w:rPr>
              <w:t>Рабочее определение</w:t>
            </w:r>
          </w:p>
        </w:tc>
      </w:tr>
      <w:tr>
        <w:trPr>
          <w:cantSplit/>
        </w:trP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Граф знаний</w:t>
            </w:r>
          </w:p>
        </w:tc>
        <w:tc>
          <w:tcPr>
            <w:tcW w:type="dxa" w:w="7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Связанное представление сущностей, событий, свойств и доказательств.</w:t>
            </w:r>
          </w:p>
        </w:tc>
      </w:tr>
      <w:tr>
        <w:trPr>
          <w:cantSplit/>
        </w:trP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Гиперграф</w:t>
            </w:r>
          </w:p>
        </w:tc>
        <w:tc>
          <w:tcPr>
            <w:tcW w:type="dxa" w:w="7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Граф, в котором одна связь может объединять несколько объектов и контекстов.</w:t>
            </w:r>
          </w:p>
        </w:tc>
      </w:tr>
      <w:tr>
        <w:trPr>
          <w:cantSplit/>
        </w:trP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Онтология</w:t>
            </w:r>
          </w:p>
        </w:tc>
        <w:tc>
          <w:tcPr>
            <w:tcW w:type="dxa" w:w="7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Формальное описание понятий, отношений и правил предметной области.</w:t>
            </w:r>
          </w:p>
        </w:tc>
      </w:tr>
      <w:tr>
        <w:trPr>
          <w:cantSplit/>
        </w:trP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Цифровой двойник</w:t>
            </w:r>
          </w:p>
        </w:tc>
        <w:tc>
          <w:tcPr>
            <w:tcW w:type="dxa" w:w="7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Обновляемая модель объекта или системы для анализа и сценариев.</w:t>
            </w:r>
          </w:p>
        </w:tc>
      </w:tr>
      <w:tr>
        <w:trPr>
          <w:cantSplit/>
        </w:trP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Валидация</w:t>
            </w:r>
          </w:p>
        </w:tc>
        <w:tc>
          <w:tcPr>
            <w:tcW w:type="dxa" w:w="7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Подтверждение пригодности метода, модели или решения для заявленной цели.</w:t>
            </w:r>
          </w:p>
        </w:tc>
      </w:tr>
      <w:tr>
        <w:trPr>
          <w:cantSplit/>
        </w:trP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Верификация</w:t>
            </w:r>
          </w:p>
        </w:tc>
        <w:tc>
          <w:tcPr>
            <w:tcW w:type="dxa" w:w="7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Подтверждение соответствия установленным требованиям и фактическим данным.</w:t>
            </w:r>
          </w:p>
        </w:tc>
      </w:tr>
      <w:tr>
        <w:trPr>
          <w:cantSplit/>
        </w:trP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Федеративность</w:t>
            </w:r>
          </w:p>
        </w:tc>
        <w:tc>
          <w:tcPr>
            <w:tcW w:type="dxa" w:w="7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Взаимодействие автономных узлов без обязательной централизации данных.</w:t>
            </w:r>
          </w:p>
        </w:tc>
      </w:tr>
      <w:tr>
        <w:trPr>
          <w:cantSplit/>
        </w:trP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Человеческий мандат</w:t>
            </w:r>
          </w:p>
        </w:tc>
        <w:tc>
          <w:tcPr>
            <w:tcW w:type="dxa" w:w="7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5F7F9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Aptos" w:hAnsi="Aptos"/>
                <w:b w:val="0"/>
                <w:i w:val="0"/>
                <w:color w:val="1F2933"/>
                <w:sz w:val="18"/>
              </w:rPr>
              <w:t>Явная ответственность уполномоченного человека за значимое решение.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267" w:bottom="1037" w:left="1267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2717F"/>
        <w:sz w:val="17"/>
      </w:rPr>
      <w:t>Версия 1.0  •  23 августа 2026 года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62717F"/>
        <w:sz w:val="17"/>
      </w:rPr>
      <w:t>НЕЙРОСВОД ЭКВИЛИБРИУМ  |  Стратегическая концепция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24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76A9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Нейросвод ЭКВИЛИБРИУМ</dc:title>
  <dc:subject>Стратегическая концепция единой интеллектуальной архитектуры</dc:subject>
  <dc:creator>SOKOL EQUILIBRIS</dc:creator>
  <cp:keywords>ЭКВИЛИБРИУМ, Нейросвод, искусственный интеллект, граф знаний, коллективный разум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