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1840" w:line="264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keepNext w:val="0"/>
        <w:spacing w:before="0" w:after="360" w:line="264" w:lineRule="auto"/>
        <w:jc w:val="center"/>
      </w:pPr>
      <w:r>
        <w:rPr>
          <w:rFonts w:ascii="Calibri" w:hAnsi="Calibri" w:eastAsia="Calibri"/>
          <w:b/>
          <w:i w:val="0"/>
          <w:color w:val="C9A227"/>
          <w:sz w:val="21"/>
        </w:rPr>
        <w:t>СТРАТЕГИЧЕСКИЙ АНАЛИТИЧЕСКИЙ МАТЕРИАЛ</w:t>
      </w:r>
    </w:p>
    <w:p>
      <w:pPr>
        <w:pStyle w:val="Title"/>
        <w:spacing w:after="200"/>
        <w:jc w:val="center"/>
      </w:pPr>
      <w:r>
        <w:rPr>
          <w:rFonts w:ascii="Calibri" w:hAnsi="Calibri" w:eastAsia="Calibri"/>
          <w:b/>
          <w:color w:val="17365D"/>
          <w:sz w:val="60"/>
        </w:rPr>
        <w:t>Министерства и учреждения</w:t>
      </w:r>
    </w:p>
    <w:p>
      <w:pPr>
        <w:keepNext w:val="0"/>
        <w:spacing w:before="0" w:after="240" w:line="264" w:lineRule="auto"/>
        <w:jc w:val="center"/>
      </w:pPr>
      <w:r>
        <w:rPr>
          <w:rFonts w:ascii="Calibri" w:hAnsi="Calibri" w:eastAsia="Calibri"/>
          <w:b/>
          <w:i w:val="0"/>
          <w:color w:val="2E74B5"/>
          <w:sz w:val="36"/>
        </w:rPr>
        <w:t>Межотраслевой баланс • Выходы через смыслы</w:t>
      </w:r>
    </w:p>
    <w:p>
      <w:pPr>
        <w:keepNext w:val="0"/>
        <w:spacing w:before="0" w:after="640" w:line="264" w:lineRule="auto"/>
        <w:jc w:val="center"/>
      </w:pPr>
      <w:r>
        <w:rPr>
          <w:rFonts w:ascii="Calibri" w:hAnsi="Calibri" w:eastAsia="Calibri"/>
          <w:b/>
          <w:i w:val="0"/>
          <w:color w:val="1F4D78"/>
          <w:sz w:val="30"/>
        </w:rPr>
        <w:t>Россия • Китай • США</w:t>
      </w:r>
    </w:p>
    <w:p>
      <w:pPr>
        <w:keepNext w:val="0"/>
        <w:spacing w:before="0" w:after="1560" w:line="264" w:lineRule="auto"/>
        <w:jc w:val="center"/>
      </w:pPr>
      <w:r>
        <w:rPr>
          <w:rFonts w:ascii="Calibri" w:hAnsi="Calibri" w:eastAsia="Calibri"/>
          <w:b w:val="0"/>
          <w:i w:val="0"/>
          <w:color w:val="C9A227"/>
          <w:sz w:val="24"/>
        </w:rPr>
        <w:t>Ресурс → программа → отрасль → результат → общественная способность</w:t>
      </w:r>
    </w:p>
    <w:p>
      <w:pPr>
        <w:keepNext w:val="0"/>
        <w:spacing w:before="0" w:after="80" w:line="264" w:lineRule="auto"/>
        <w:jc w:val="center"/>
      </w:pPr>
      <w:r>
        <w:rPr>
          <w:rFonts w:ascii="Calibri" w:hAnsi="Calibri" w:eastAsia="Calibri"/>
          <w:b/>
          <w:i w:val="0"/>
          <w:color w:val="17365D"/>
          <w:sz w:val="24"/>
        </w:rPr>
        <w:t>Аналитический срез: 2024–2026</w:t>
      </w:r>
    </w:p>
    <w:p>
      <w:pPr>
        <w:keepNext w:val="0"/>
        <w:spacing w:before="0" w:after="500" w:line="264" w:lineRule="auto"/>
        <w:jc w:val="center"/>
      </w:pPr>
      <w:r>
        <w:rPr>
          <w:rFonts w:ascii="Calibri" w:hAnsi="Calibri" w:eastAsia="Calibri"/>
          <w:b w:val="0"/>
          <w:i w:val="0"/>
          <w:color w:val="5B6573"/>
          <w:sz w:val="20"/>
        </w:rPr>
        <w:t>27 августа 2026</w:t>
      </w:r>
    </w:p>
    <w:p>
      <w:pPr>
        <w:keepNext w:val="0"/>
        <w:spacing w:before="0" w:after="0" w:line="264" w:lineRule="auto"/>
        <w:jc w:val="center"/>
      </w:pPr>
      <w:r>
        <w:rPr>
          <w:rFonts w:ascii="Calibri" w:hAnsi="Calibri" w:eastAsia="Calibri"/>
          <w:b w:val="0"/>
          <w:i/>
          <w:color w:val="5B6573"/>
          <w:sz w:val="18"/>
        </w:rPr>
        <w:t>Официальная статистика, расчётные доли и авторские нормированные модели показаны раздельно. Сценарные индексы не являются рейтингами государств.</w:t>
      </w:r>
    </w:p>
    <w:p>
      <w:pPr>
        <w:pStyle w:val="Heading1"/>
      </w:pPr>
      <w:r>
        <w:t>Резюме для решений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tblHeader w:val="true"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30 × 30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ядро межстрановой модели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3 страны × 10 секторов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2,06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мультипликатор выпуска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авторский баланс 100 ед.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55,9 → 60,0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смысловой индекс тройки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25% закрытия разрыва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4,1 п.п.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break-even координации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после — эффект отрицателен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3B7D5B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7F2EB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3B7D5B"/>
                <w:sz w:val="22"/>
              </w:rPr>
              <w:t>ГЛАВНЫЙ ВЫВОД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Деньги министерства нельзя напрямую приписать отрасли или общественной пользе. Рабочий мост состоит из пяти переходов: ведомство → программа → товар или услуга → отрасль → независимый результат → смысл.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Федеральная или общая бюджетная строка показывает вход ресурса, но не масштаб управляемого производства. Особенно это важно для Treasury, HHS, USDA, Минфина и социальных фондов.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В авторском межотраслевом сценарии самые высокие физические мультипликаторы имеют машины и электроника (2,45), материалы и химия (2,36), прочая промышленность (2,31) и строительство (2,28).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Главное системное узкое место — ИКТ, финансы, программные платформы и деловые стандарты: индекс 100 при более низком мультипликаторе 1,74. Информационный слой превращает раздельные мощности в воспроизводимый контур.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Научные академии, университеты и лаборатории надо вести спутниковым контуром знания. Публикация и патент — выпуск; внедрённая технология, сниженный риск или открытый стандарт — конечный смысловой выход.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Демонстрационная синхронизация, закрывающая 25% разрыва до лучшей практики тройки, повышает средний смысловой индекс с 55,9 до 60,0: +4,1 пункта, или +7,4% к базе. Это не денежная оценка и не официальный рейтинг.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Для денежной оценки полезности применяется добавленная стоимость и предотвращённый ущерб; валовой выпуск нельзя суммировать из-за двойного счёта сырья и полуфабрикатов.</w:t>
      </w:r>
    </w:p>
    <w:p>
      <w:pPr>
        <w:pStyle w:val="Heading1"/>
      </w:pPr>
      <w:r>
        <w:t>Что именно балансируется</w:t>
      </w:r>
    </w:p>
    <w:p>
      <w:pPr>
        <w:keepNext w:val="0"/>
        <w:spacing w:before="0" w:after="120" w:line="264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Один объект управления надо видеть сразу в пяти книгах. Только такая архитектура отделяет расход, физический выпуск, состояние системы и общественный результат.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3000"/>
        <w:gridCol w:w="1900"/>
        <w:gridCol w:w="2960"/>
      </w:tblGrid>
      <w:tr>
        <w:trPr>
          <w:tblHeader w:val="true"/>
          <w:tblHeader w:val="true"/>
        </w:trPr>
        <w:tc>
          <w:tcPr>
            <w:tcW w:type="dxa" w:w="1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Книга</w:t>
            </w:r>
          </w:p>
        </w:tc>
        <w:tc>
          <w:tcPr>
            <w:tcW w:type="dxa" w:w="30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Содержание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Единица</w:t>
            </w:r>
          </w:p>
        </w:tc>
        <w:tc>
          <w:tcPr>
            <w:tcW w:type="dxa" w:w="29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Контроль двойного счёта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1. Фискальный вход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Бюджетные ассигнования, трансферты, налоги, закупки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рубли / юани / доллары; % ВВП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Не смешивать федеральный, общий и консолидированный периметр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2. Финансовый баланс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Кредит, гарантии, фонды, активы и обязательства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запас и поток; риск; срок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Кредит и гарантия не равны расходу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3. Межотраслевой поток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Товары и услуги между секторами, импорт, добавленная стоимость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Z, A, L=(I−A)⁻¹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Не складывать валовой выпуск с добавленной стоимостью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4. Физический результат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МВт, ТВт·ч, т, км, койки, годы жизни, время восстановления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объём, качество, доступность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Кассовое исполнение не доказывает результат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5. Смысловой выход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Суверенитет, воспроизводство, опционность, устойчивость, доверие, развитие, безопасность, общие блага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независимые KPI 0–100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Не приписывать причинность без дизайна оценки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C9A227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1D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C9A227"/>
                <w:sz w:val="22"/>
              </w:rPr>
              <w:t>СКВОЗНАЯ ФОРМУЛА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m = H · Q · (I − A)⁻¹ · G · b − r, где b — бюджетный импульс, G — мост к отраслям, Q — коэффициенты результата, H — карта смыслов, r — риски и координационные издержки.</w:t>
            </w:r>
          </w:p>
        </w:tc>
      </w:tr>
    </w:tbl>
    <w:p>
      <w:pPr>
        <w:pStyle w:val="Heading1"/>
      </w:pPr>
      <w:r>
        <w:t>Сопоставимость трёх государств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5943600" cy="3176618"/>
            <wp:docPr id="1" name="Picture 1" title="Публичные расходы трёх стран" descr="Столбцы показывают 19,9% ВВП для федеральных расходов России, 20,5% для общего публичного бюджета Китая и 23,3% для федеральных расходов США; периметры различаются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blic_spending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66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60" w:line="240" w:lineRule="auto"/>
        <w:jc w:val="center"/>
      </w:pPr>
      <w:r>
        <w:rPr>
          <w:rFonts w:ascii="Calibri" w:hAnsi="Calibri" w:eastAsia="Calibri"/>
          <w:b w:val="0"/>
          <w:i/>
          <w:color w:val="5B6573"/>
          <w:sz w:val="17"/>
        </w:rPr>
        <w:t>Рисунок 1. Близкий масштаб расходов не означает одинаковую структуру государства. [RU03–RU05; CN01, CN03; US01]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3600"/>
        <w:gridCol w:w="4260"/>
      </w:tblGrid>
      <w:tr>
        <w:trPr>
          <w:tblHeader w:val="true"/>
          <w:tblHeader w:val="true"/>
        </w:trPr>
        <w:tc>
          <w:tcPr>
            <w:tcW w:type="dxa" w:w="1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Проблема</w:t>
            </w:r>
          </w:p>
        </w:tc>
        <w:tc>
          <w:tcPr>
            <w:tcW w:type="dxa" w:w="36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Различие</w:t>
            </w:r>
          </w:p>
        </w:tc>
        <w:tc>
          <w:tcPr>
            <w:tcW w:type="dxa" w:w="4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Правило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Бюджет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РФ: федеральный; КНР: general public budget; США: federal outlays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Сопоставим как макромасштаб, но не как консолидированная доля государства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Год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Календарный 2024/2025; США — fiscal year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Нужна маркировка FY и календарного года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Функция / ведомство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Функциональный раздел и расходы agency не совпадают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Treasury включает обслуживание долга; HHS — трансферты и страхование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Цена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Национальные валюты и текущие цены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Доли ВВП допустимы; прямое сложение валют — нет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Затраты—выпуск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Общий год OECD ICIO — 2022; национальные таблицы новее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Общая модель 2022, текущие KPI — спутниковые обновления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Результат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Выпуск, исход и общественная способность — разные уровни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Бюджет не является KPI результата</w:t>
            </w:r>
          </w:p>
        </w:tc>
      </w:tr>
    </w:tbl>
    <w:p>
      <w:pPr>
        <w:pStyle w:val="Heading1"/>
      </w:pPr>
      <w:r>
        <w:t>Эквивалентные функциональные контуры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2520"/>
        <w:gridCol w:w="2520"/>
        <w:gridCol w:w="2520"/>
      </w:tblGrid>
      <w:tr>
        <w:trPr>
          <w:tblHeader w:val="true"/>
          <w:tblHeader w:val="true"/>
        </w:trPr>
        <w:tc>
          <w:tcPr>
            <w:tcW w:type="dxa" w:w="1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Функция</w:t>
            </w:r>
          </w:p>
        </w:tc>
        <w:tc>
          <w:tcPr>
            <w:tcW w:type="dxa" w:w="252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Россия</w:t>
            </w:r>
          </w:p>
        </w:tc>
        <w:tc>
          <w:tcPr>
            <w:tcW w:type="dxa" w:w="252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Китай</w:t>
            </w:r>
          </w:p>
        </w:tc>
        <w:tc>
          <w:tcPr>
            <w:tcW w:type="dxa" w:w="252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США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Финансы и макробаланс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Минфин; Казначейство; ФНС; ФТС; Банк России; Росстат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MoF; PBOC; STA; GACC; NBS; NDRC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Treasury; Fed; IRS; OMB; BEA; Census; BLS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Наука и образование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Минобрнауки; Минпросвещения; РАН; РНФ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MOST; MOE; CAS; NSFC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NSF; NIH; NASA; DOE Science; DARPA; National Academies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Промышленность и торговля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Минпромторг; ФРП; Росстандарт; РЭЦ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MIIT; MOFCOM; SAMR; NDRC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Commerce/NIST/BIS/ITA; USTR; SBA; EXIM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Энергетика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Минэнерго; Росатом; Ростехнадзор; СО ЕЭС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NEA; NDRC; SASAC; State Grid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DOE; EIA; FERC; NRC; DOI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Транспорт и логистика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Минтранс; Росавтодор; РЖД; Автодор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MOT; CAAC; NRA; China Railway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DOT; FHWA; FAA; FRA; FTA; MARAD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АПК и продовольствие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Минсельхоз; Россельхознадзор; Росрыболовство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MARA; NFGA; SAMR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USDA; ERS; NASS; ARS; FNS; FSIS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Здоровье и демография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Минздрав; ФОМС; Минтруд; СФР; Роспотребнадзор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NHC; NHSA; MHRSS; MCA; China CDC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HHS; CMS; CDC; FDA; NIH; SSA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Оборона и безопасность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Минобороны; МВД; ФСБ; Росгвардия; МЧС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CMC; MND; MPS; MEM; MSS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DoD; DHS; DOJ/FBI; FEMA; Intelligence Community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Экология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Минприроды; Росприроднадзор; РЭО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MEE; NDRC; NEA; NFGA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EPA; NOAA; DOI/USGS; DOE; FEMA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Цифровое управление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Минцифры; Роскомнадзор; ГосТех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CAC; MIIT; NBS; SAMR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OMB CIO/OIRA; GSA/TTS; CISA; NIST; NTIA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Это функциональное соответствие, а не утверждение об одинаковых полномочиях.</w:t>
      </w:r>
    </w:p>
    <w:p>
      <w:pPr>
        <w:pStyle w:val="Heading1"/>
      </w:pPr>
      <w:r>
        <w:t>Три числовых сигнала структуры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5897880" cy="2723555"/>
            <wp:docPr id="2" name="Picture 2" title="НИОКР и оборона как доли ВВП" descr="Два мини-графика сравнивают НИОКР и оборону как доли ВВП России, Китая и США с указанием разных лет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d_defens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7235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60" w:line="240" w:lineRule="auto"/>
        <w:jc w:val="center"/>
      </w:pPr>
      <w:r>
        <w:rPr>
          <w:rFonts w:ascii="Calibri" w:hAnsi="Calibri" w:eastAsia="Calibri"/>
          <w:b w:val="0"/>
          <w:i/>
          <w:color w:val="5B6573"/>
          <w:sz w:val="17"/>
        </w:rPr>
        <w:t>Рисунок 2. НИОКР и оборона показывают разные режимы создания опционности и безопасности. [CN01, CN04; RU13; US01; WB01]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00"/>
        <w:gridCol w:w="2180"/>
        <w:gridCol w:w="1960"/>
        <w:gridCol w:w="1680"/>
        <w:gridCol w:w="2640"/>
      </w:tblGrid>
      <w:tr>
        <w:trPr>
          <w:tblHeader w:val="true"/>
          <w:tblHeader w:val="true"/>
        </w:trPr>
        <w:tc>
          <w:tcPr>
            <w:tcW w:type="dxa" w:w="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Страна</w:t>
            </w:r>
          </w:p>
        </w:tc>
        <w:tc>
          <w:tcPr>
            <w:tcW w:type="dxa" w:w="218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Публичный масштаб</w:t>
            </w:r>
          </w:p>
        </w:tc>
        <w:tc>
          <w:tcPr>
            <w:tcW w:type="dxa" w:w="19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Безопасность</w:t>
            </w:r>
          </w:p>
        </w:tc>
        <w:tc>
          <w:tcPr>
            <w:tcW w:type="dxa" w:w="168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Знание</w:t>
            </w:r>
          </w:p>
        </w:tc>
        <w:tc>
          <w:tcPr>
            <w:tcW w:type="dxa" w:w="264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Балансовый диагноз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Россия</w:t>
            </w:r>
          </w:p>
        </w:tc>
        <w:tc>
          <w:tcPr>
            <w:tcW w:type="dxa" w:w="2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Федеральные расходы 40,192 трлн руб. = 19,9% ВВП (2024)</w:t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Оборона 10,77 трлн руб. = 5,32% ВВП (2024)</w:t>
            </w:r>
          </w:p>
        </w:tc>
        <w:tc>
          <w:tcPr>
            <w:tcW w:type="dxa" w:w="1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НИОКР ≈0,94% ВВП (WDI, 2024)</w:t>
            </w:r>
          </w:p>
        </w:tc>
        <w:tc>
          <w:tcPr>
            <w:tcW w:type="dxa" w:w="26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Оборона — главный федеральный поглотитель; узкое место — гражданская диффузия знаний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Китай</w:t>
            </w:r>
          </w:p>
        </w:tc>
        <w:tc>
          <w:tcPr>
            <w:tcW w:type="dxa" w:w="2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General public budget 28,7395 трлн юаней = 20,50% ВВП (2025)</w:t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Оборона 1,7847 трлн юаней = 1,27% ВВП (2025)</w:t>
            </w:r>
          </w:p>
        </w:tc>
        <w:tc>
          <w:tcPr>
            <w:tcW w:type="dxa" w:w="1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НИОКР 3,9262 трлн = 2,80% ВВП (2025)</w:t>
            </w:r>
          </w:p>
        </w:tc>
        <w:tc>
          <w:tcPr>
            <w:tcW w:type="dxa" w:w="26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Публичная наука дополняется крупным корпоративным и региональным контуром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США</w:t>
            </w:r>
          </w:p>
        </w:tc>
        <w:tc>
          <w:tcPr>
            <w:tcW w:type="dxa" w:w="21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Federal outlays $6,735 трлн = 23,3% ВВП (FY2024)</w:t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National defense $873,5 млрд = 3,0% ВВП</w:t>
            </w:r>
          </w:p>
        </w:tc>
        <w:tc>
          <w:tcPr>
            <w:tcW w:type="dxa" w:w="1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НИОКР ≈3,45% ВВП (WDI, 2023)</w:t>
            </w:r>
          </w:p>
        </w:tc>
        <w:tc>
          <w:tcPr>
            <w:tcW w:type="dxa" w:w="26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Проценты $879,9 млрд уже сопоставимы с обороной; наука концентрируется в DoD и HHS</w:t>
            </w:r>
          </w:p>
        </w:tc>
      </w:tr>
    </w:tbl>
    <w:p>
      <w:pPr>
        <w:pStyle w:val="Heading1"/>
      </w:pPr>
      <w:r>
        <w:t>Россия: баланс по функциональным контурам</w:t>
      </w:r>
    </w:p>
    <w:p>
      <w:pPr>
        <w:keepNext w:val="0"/>
        <w:spacing w:before="0" w:after="120" w:line="264" w:lineRule="auto"/>
      </w:pPr>
      <w:r>
        <w:rPr>
          <w:rFonts w:ascii="Calibri" w:hAnsi="Calibri" w:eastAsia="Calibri"/>
          <w:b w:val="0"/>
          <w:i/>
          <w:color w:val="5B6573"/>
          <w:sz w:val="18"/>
        </w:rPr>
        <w:t>Базовый масштаб: ВВП 2024 года после пересмотра — 202,32 трлн руб.; прогнозный ВВП 2026 года — 235,1 трлн руб. Доли рассчитаны на этих официальных базах.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50"/>
        <w:gridCol w:w="2150"/>
        <w:gridCol w:w="2920"/>
        <w:gridCol w:w="1840"/>
      </w:tblGrid>
      <w:tr>
        <w:trPr>
          <w:tblHeader w:val="true"/>
          <w:tblHeader w:val="true"/>
        </w:trPr>
        <w:tc>
          <w:tcPr>
            <w:tcW w:type="dxa" w:w="24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Функция и учреждения</w:t>
            </w:r>
          </w:p>
        </w:tc>
        <w:tc>
          <w:tcPr>
            <w:tcW w:type="dxa" w:w="21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Ресурс / бюджет</w:t>
            </w:r>
          </w:p>
        </w:tc>
        <w:tc>
          <w:tcPr>
            <w:tcW w:type="dxa" w:w="292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Измеримый выход</w:t>
            </w:r>
          </w:p>
        </w:tc>
        <w:tc>
          <w:tcPr>
            <w:tcW w:type="dxa" w:w="184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Смысловой выход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Финансы: Минфин, Казначейство, ФНС, ФТС, Банк России, Росстат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40,192 трлн руб. федеральных расходов = 19,9% ВВП, 2024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Инфляция 9,52%; единый бюджетный и статистический контур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Цена времени, предсказуемость, доверие [RU03–RU05]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Наука и образование: Минобрнауки, Минпросвещения, РАН, РНФ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589,2 млрд руб. по госпрограмме образования, 2025; 3,2 млрд на 200 новых лабораторий, 2024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&gt;1 600 школ и &gt;1 млн мест за 2019–2024; 940 молодёжных лабораторий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Кадры, знание, опционность [RU06, RU07]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Промышленность и торговля: Минпромторг, ФРП, Росстандарт, РЭЦ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Раздел «Национальная экономика» 4,8 трлн руб., 2026, но шире промышленности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Обрабатывающие производства +8,5% в 2024; экспортные контракты МСП 139 млрд руб.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Агентность, технологический суверенитет [RU08]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Энергетика: Минэнерго, Росатом, СО ЕЭС, Ростехнадзор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Ведомственная смета не отражает оборот энергетических компаний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253,535 ГВт мощности на начало 2024; ≈1 198 ТВт·ч генерации в 2024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Непрерывность и базовая себестоимость [RU09]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Транспорт: Минтранс, Росавтодор, РЖД, Автодор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1,874 трлн руб. кассового исполнения, 0,93% ВВП, 2024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539 км дорог; 1 285 млн ж/д пассажиров; индекс качества 105,4 при плане 105,7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Связность и время [RU10]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АПК: Минсельхоз, Россельхознадзор, Росрыболовство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682 млрд руб. по четырём госпрограммам, 0,34% ВВП, 2024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Зерно 125,9 млн т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Питание, территории, воспроизводство [RU11]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Здоровье и демография: Минздрав, ФОМС, Минтруд, СФР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Расходы ФОМС ≈4,7 трлн руб. = 2,0% прогнозного ВВП, 2026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1 222 408 рождений в 2024; медицинский бюджет не объясняет демографию один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Здоровые годы жизни и доверие семьи [RU12]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Оборона и безопасность: Минобороны, МВД, ФСБ, Росгвардия, МЧС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10,77 трлн = 5,32% ВВП, 2024; ≈12,9 трлн = 5,49% ВВП и 29,3% федеральных расходов, 2026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Поддержание боеготовности и защищённости; гражданская конверсия измеряется отдельно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Граница и выживание [RU13]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Экология: Минприроды, Росприроднадзор, РЭО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477,5 млрд руб. = 0,236% ВВП, 2024; 522,7 млрд = 0,222%, 2026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Обработка ТКО 54,8%; утилизация и обезвреживание 13,7%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Пригодность территории для жизни [RU14]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Цифровой контур: Минцифры, Роскомнадзор, ГосТех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Единого сопоставимого агрегата нет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Возможность ШПД у 93,7% домохозяйств; фактический интернет 88,5%, 2024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Наблюдаемость и снижение транзакционных издержек [RU15]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Суммы разных строк имеют разные периметры. Они служат контрольными точками и не образуют аддитивную ведомственную смету.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3B7D5B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7F2EB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3B7D5B"/>
                <w:sz w:val="22"/>
              </w:rPr>
              <w:t>ДИАГНОЗ РОССИИ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Контур безопасности доминирует над прямым гражданским развитием: оборона 2026 года примерно в 2,7 раза больше всего раздела «Национальная экономика». Научный риск — разрыв «исследование → прототип → закупка → серия».</w:t>
            </w:r>
          </w:p>
        </w:tc>
      </w:tr>
    </w:tbl>
    <w:p>
      <w:pPr>
        <w:pStyle w:val="Heading1"/>
      </w:pPr>
      <w:r>
        <w:t>Китай: баланс по функциональным контурам</w:t>
      </w:r>
    </w:p>
    <w:p>
      <w:pPr>
        <w:keepNext w:val="0"/>
        <w:spacing w:before="0" w:after="120" w:line="264" w:lineRule="auto"/>
      </w:pPr>
      <w:r>
        <w:rPr>
          <w:rFonts w:ascii="Calibri" w:hAnsi="Calibri" w:eastAsia="Calibri"/>
          <w:b w:val="0"/>
          <w:i/>
          <w:color w:val="5B6573"/>
          <w:sz w:val="18"/>
        </w:rPr>
        <w:t>Контрольный год — 2025. Общий публичный бюджет не включает весь квазифискальный, банковский, корпоративный и местный инвестиционный контур.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50"/>
        <w:gridCol w:w="2150"/>
        <w:gridCol w:w="2920"/>
        <w:gridCol w:w="1840"/>
      </w:tblGrid>
      <w:tr>
        <w:trPr>
          <w:tblHeader w:val="true"/>
          <w:tblHeader w:val="true"/>
        </w:trPr>
        <w:tc>
          <w:tcPr>
            <w:tcW w:type="dxa" w:w="24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Функция и учреждения</w:t>
            </w:r>
          </w:p>
        </w:tc>
        <w:tc>
          <w:tcPr>
            <w:tcW w:type="dxa" w:w="21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Ресурс / бюджет</w:t>
            </w:r>
          </w:p>
        </w:tc>
        <w:tc>
          <w:tcPr>
            <w:tcW w:type="dxa" w:w="292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Измеримый выход</w:t>
            </w:r>
          </w:p>
        </w:tc>
        <w:tc>
          <w:tcPr>
            <w:tcW w:type="dxa" w:w="184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Смысловой выход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Финансы: MoF, PBOC, NDRC, STA, GACC, NBS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28,7395 трлн юаней расходов general public budget = 20,50% ВВП, 2025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ВВП 140,1879 трлн юаней; бюджет, кредит и выпуск ведутся раздельно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Доверие к расчётам и стратегическая координация [CN01, CN03]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Наука и образование: MOST, MOE, CAS, NSFC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Образование 4,3417 трлн; публичная наука и техника 1,2062 трлн юаней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Совокупные НИОКР 3,9262 трлн = 2,80% ВВП; фундаментальные 0,2778 трлн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Опционность и технологическое обновление [CN01, CN03, CN05]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Промышленность и торговля: MIIT, MOFCOM, SAMR, NDRC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Ведомственная строка не равна отраслевому выпуску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Промышленная добавленная стоимость 41,6826 трлн; high-tech manufacturing +9,4%; товарная торговля 45,4685 трлн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Производственная агентность и масштабы [CN01]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Энергетика: NEA, NDRC, SASAC, State Grid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Корпоративные и тарифные потоки больше бюджетных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10 575 ТВт·ч генерации; 3,891 ТВт мощности; ветер+солнце 1,842 ТВт = 47,3% мощности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Непрерывность и переход к чистой мощности [CN01]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Транспорт: MOT, CAAC, NRA, China Railway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1,1977 трлн юаней бюджетных расходов = 0,85% ВВП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59,67 млрд т грузов; 27,412 трлн т·км; порты 354,47 млн TEU; 199 млрд экспресс-отправлений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Связность, скорость и плотность рынка [CN01, CN03]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АПК: MARA, NFGA, SAMR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2,3495 трлн юаней на сельское хозяйство, леса и воду = 1,68% ВВП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Зерно 714,88 млн т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Продовольствие и территориальное воспроизводство [CN01, CN03]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Здоровье и социальная защита: NHC, NHSA, MHRSS, MCA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Здоровье 2,1446 трлн; занятость и соцзащита 4,4416 трлн юаней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Страхование охватывает 1,33068 млрд человек = 94,7%; население −3,39 млн, 2025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Жизнеспособность и демографический контракт [CN01, CN03]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Оборона: CMC, MND, оборонно-промышленный контур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1,784665 трлн юаней = 1,27% ВВП, 2025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Поддержание оборонной готовности; гражданский spillover не предполагается автоматически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Суверенитет и безопасность [CN04]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Экология: MEE, NDRC, NEA, NFGA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581,6 млрд юаней = 0,415% ВВП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Углеродоёмкость −5%; доля хорошего воздуха 72,6%; вода классов I–III 91,4%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Межпоколенческая пригодность среды [CN01, CN03]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Цифра и данные: CAC, MIIT, NBS, SAMR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Разделён между государством и корпорациями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Инфо/ПО/IT-услуги 7,0599 трлн юаней = 5,04% ВВП; интернет 80,1%; e-commerce 46,7339 трлн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Синхронизация, память и масштабирование [CN01]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Суммы разных строк имеют разные периметры. Они служат контрольными точками и не образуют аддитивную ведомственную смету.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C9A227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1D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C9A227"/>
                <w:sz w:val="22"/>
              </w:rPr>
              <w:t>ДИАГНОЗ КИТАЯ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Человеческий блок — образование, здоровье, занятость и социальная защита — 10,9279 трлн юаней: 38,0% общего публичного бюджета и 7,8% ВВП. Совокупные НИОКР в 3,26 раза больше публичной строки науки и техники: государственный бюджет — только один из каналов знания.</w:t>
            </w:r>
          </w:p>
        </w:tc>
      </w:tr>
    </w:tbl>
    <w:p>
      <w:pPr>
        <w:pStyle w:val="Heading1"/>
      </w:pPr>
      <w:r>
        <w:t>США: баланс по функциональным контурам</w:t>
      </w:r>
    </w:p>
    <w:p>
      <w:pPr>
        <w:keepNext w:val="0"/>
        <w:spacing w:before="0" w:after="120" w:line="264" w:lineRule="auto"/>
      </w:pPr>
      <w:r>
        <w:rPr>
          <w:rFonts w:ascii="Calibri" w:hAnsi="Calibri" w:eastAsia="Calibri"/>
          <w:b w:val="0"/>
          <w:i/>
          <w:color w:val="5B6573"/>
          <w:sz w:val="18"/>
        </w:rPr>
        <w:t>Все суммы — outlays, а не budget authority. FY2024/25 — факт, FY2026 — оценка. Диагноз: бюджет прежде всего страхует и перераспределяет; проценты уже сопоставимы с обороной, а 79,4% federal conduct of R&amp;D сосредоточено в defense и health.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50"/>
        <w:gridCol w:w="2150"/>
        <w:gridCol w:w="2920"/>
        <w:gridCol w:w="1840"/>
      </w:tblGrid>
      <w:tr>
        <w:trPr>
          <w:tblHeader w:val="true"/>
          <w:tblHeader w:val="true"/>
        </w:trPr>
        <w:tc>
          <w:tcPr>
            <w:tcW w:type="dxa" w:w="24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Функция и учреждения</w:t>
            </w:r>
          </w:p>
        </w:tc>
        <w:tc>
          <w:tcPr>
            <w:tcW w:type="dxa" w:w="21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Ресурс / бюджет</w:t>
            </w:r>
          </w:p>
        </w:tc>
        <w:tc>
          <w:tcPr>
            <w:tcW w:type="dxa" w:w="292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Измеримый выход</w:t>
            </w:r>
          </w:p>
        </w:tc>
        <w:tc>
          <w:tcPr>
            <w:tcW w:type="dxa" w:w="184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Смысловой выход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Финансы: Treasury, Fed, IRS, OMB; измерение BEA/Census/BLS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Treasury 1 316,9 / 1 458,9 / 1 522,7 млрд $ в FY2024/25/26; чистые проценты 879,9 / 970,1 / 1 016,7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Дефицит FY2024 1 815,4 млрд $; баланс Fed 7,08 трлн $ в сентябре 2024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Цена времени, платёжеспособность и наблюдаемость [US01, US04]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Наука и образование: NSF, NIH, NASA, DOE Science, DARPA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Federal conduct of R&amp;D 186,9 / 192,7 / 175,4 млрд $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FY2024: defense R&amp;D 99,0; medical 49,4; NASA 11,4; DOE 10,5; NSF 6,9 млрд $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Опционность и специализированные компетенции [US01]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Промышленность и торговля: Commerce, NIST, BIS, USTR, SBA, EXIM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Commerce 14,8 / 29,7 / 21,2 млрд $; единого аддитивного бюджета нет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Стандарты, патенты, экспортный контроль; дефицит торговли товарами и услугами 903,5 млрд $, 2024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Автономия без автаркии и рыночный доступ [US01]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Энергетика: DOE, EIA, FERC, NRC, DOI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DOE 49,3 / 52,3 / 59,6 млрд $; функционально 13,6 / 20,8 / 27,9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Первичная энергия 103,3 quadrillion Btu, рекорд 2024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Энергетическая мощность и устойчивость [US01, US05]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Транспорт: DOT, FHWA, FAA, FRA, FTA, MARAD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DOT 117,4 / 127,6 / 131,5 млрд $; функционально 136,6 / 145,3 / 150,3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3,294 трлн vehicle-miles в 2024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Связность и скорость оборота [US01, US06]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АПК и питание: USDA, ERS, NASS, ARS, FNS, FSIS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USDA 203,4 / 227,5 / 238,8 млрд $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Farm cash receipts 513,5 млрд $; аграрный экспорт 176,0 млрд $, 2024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Продовольствие и воспроизводство [US01]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Здоровье и демография: HHS, CMS, CDC, FDA, NIH, SSA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HHS 1 720,6 / 1 884,3 / 2 036,0 млрд $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Национальные расходы на здоровье 5,3 трлн $ = 18,0% ВВП; life expectancy 79,0 года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Долголетие и человеческий капитал [US01, US07]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Оборона и безопасность: DoD, DHS, DOJ, FEMA, IC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DoD 826,3 / 868,4 / 913,7; DHS 89,3 / 115,3 / 116,3; функция defense 873,5 / 916,1 / 966,4 млрд $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National defense = 3,0% ВВП, FY2024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Суверенитет и непрерывность [US01]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Экология: EPA, NOAA, DOE, DOI/USGS, FEMA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EPA 13,7 / 37,0 / 22,3; функция resources/environment 58,5 / 89,8 / 78,1 млрд $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Последняя инвентаризация: 6 343 млн т CO₂e gross, 2022; net на 17% ниже 2005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Общие блага и межпоколенческая граница [US08]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Цифра и данные: OMB CIO/OIRA, GSA/TTS, CISA, NIST, NTIA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План IT FY2024 ≈95,0 млрд $; dashboard FY2025 102,31 млрд $</w:t>
            </w:r>
          </w:p>
        </w:tc>
        <w:tc>
          <w:tcPr>
            <w:tcW w:type="dxa" w:w="2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≈74 млрд на legacy operations и 21 млрд на development/modernization в FY2024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Согласованность и память государства [US09]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Суммы разных строк имеют разные периметры. Они служат контрольными точками и не образуют аддитивную ведомственную смету.</w:t>
      </w:r>
    </w:p>
    <w:p>
      <w:pPr>
        <w:pStyle w:val="Heading1"/>
      </w:pPr>
      <w:r>
        <w:t>Межотраслевой баланс: статистическая основа</w:t>
      </w:r>
    </w:p>
    <w:p>
      <w:pPr>
        <w:keepNext w:val="0"/>
        <w:spacing w:before="0" w:after="120" w:line="264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Последний общий год текущей сопоставимой OECD ICIO — 2022. Национальные таблицы России, Китая и США применяются для детализации и контроля структуры; текущие ведомственные показатели 2024–2026 подключаются как спутниковые счета, а не подменяют базовую матрицу.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4000"/>
        <w:gridCol w:w="3160"/>
      </w:tblGrid>
      <w:tr>
        <w:trPr>
          <w:tblHeader w:val="true"/>
          <w:tblHeader w:val="true"/>
        </w:trPr>
        <w:tc>
          <w:tcPr>
            <w:tcW w:type="dxa" w:w="22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Источник</w:t>
            </w:r>
          </w:p>
        </w:tc>
        <w:tc>
          <w:tcPr>
            <w:tcW w:type="dxa" w:w="40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Покрытие</w:t>
            </w:r>
          </w:p>
        </w:tc>
        <w:tc>
          <w:tcPr>
            <w:tcW w:type="dxa" w:w="31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Роль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OECD ICIO 2025 edition</w:t>
            </w:r>
          </w:p>
        </w:tc>
        <w:tc>
          <w:tcPr>
            <w:tcW w:type="dxa" w:w="4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80 экономик + Rest of World; 1995–2022; редакция января 2026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Общая трёхстрановая 30×30 модель [M01]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Россия</w:t>
            </w:r>
          </w:p>
        </w:tc>
        <w:tc>
          <w:tcPr>
            <w:tcW w:type="dxa" w:w="4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Базовые таблицы Росстата за 2021 и 2016 годы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Контроль внутренней структуры [RU01, RU02]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Китай</w:t>
            </w:r>
          </w:p>
        </w:tc>
        <w:tc>
          <w:tcPr>
            <w:tcW w:type="dxa" w:w="4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NBS Yearbook 2025: конкурентная и неконкурентная таблицы за 2023, 20×20 продуктов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Разделение внутренней и импортной продукции [CN02]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США</w:t>
            </w:r>
          </w:p>
        </w:tc>
        <w:tc>
          <w:tcPr>
            <w:tcW w:type="dxa" w:w="4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BEA Supply, Use, Import и Requirements tables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Детализация отраслей и полных потребностей [US02, US03]</w:t>
            </w:r>
          </w:p>
        </w:tc>
      </w:tr>
    </w:tbl>
    <w:p>
      <w:pPr>
        <w:keepNext w:val="0"/>
        <w:spacing w:before="0" w:after="120" w:line="264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Для агрегации исходных отраслей используется единый мост к ISIC Rev.4. Денежные потоки — в базисных ценах и текущих долларах. ППС нельзя вставлять в транзакционную матрицу: это разрушит согласованность торговых потоков.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ТРИ СТРАНЫ × 10 СЕКТОРОВ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Диагональные блоки Zᴿᴿ, Zᶜᶜ, Zᵁᵁ — внутренние поставки; внедиагональные — поставки между державами. Rest of World остаётся внешним счётом, иначе импорт третьих стран ошибочно станет добавленной стоимостью тройки.</w:t>
            </w:r>
          </w:p>
        </w:tc>
      </w:tr>
    </w:tbl>
    <w:p>
      <w:pPr>
        <w:pStyle w:val="Heading1"/>
      </w:pPr>
      <w:r>
        <w:t>Десять сопоставимых секторов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50"/>
        <w:gridCol w:w="3600"/>
        <w:gridCol w:w="1800"/>
        <w:gridCol w:w="3510"/>
      </w:tblGrid>
      <w:tr>
        <w:trPr>
          <w:tblHeader w:val="true"/>
          <w:tblHeader w:val="true"/>
        </w:trPr>
        <w:tc>
          <w:tcPr>
            <w:tcW w:type="dxa" w:w="4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№</w:t>
            </w:r>
          </w:p>
        </w:tc>
        <w:tc>
          <w:tcPr>
            <w:tcW w:type="dxa" w:w="36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Сектор</w:t>
            </w:r>
          </w:p>
        </w:tc>
        <w:tc>
          <w:tcPr>
            <w:tcW w:type="dxa" w:w="1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ISIC Rev.4</w:t>
            </w:r>
          </w:p>
        </w:tc>
        <w:tc>
          <w:tcPr>
            <w:tcW w:type="dxa" w:w="35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Основные функциональные владельцы</w:t>
            </w:r>
          </w:p>
        </w:tc>
      </w:tr>
      <w:tr>
        <w:tc>
          <w:tcPr>
            <w:tcW w:type="dxa" w:w="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АПК и продовольствие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A, C10–12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Минсельхоз / MARA / USDA</w:t>
            </w:r>
          </w:p>
        </w:tc>
      </w:tr>
      <w:tr>
        <w:tc>
          <w:tcPr>
            <w:tcW w:type="dxa" w:w="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2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Добыча, топливо, нефтепереработка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B, C19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Минэнерго, Минприроды / NEA / DOE, DOI</w:t>
            </w:r>
          </w:p>
        </w:tc>
      </w:tr>
      <w:tr>
        <w:tc>
          <w:tcPr>
            <w:tcW w:type="dxa" w:w="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3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Электроэнергия и коммунальные системы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D–E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Энергетика, ЖКХ, экология</w:t>
            </w:r>
          </w:p>
        </w:tc>
      </w:tr>
      <w:tr>
        <w:tc>
          <w:tcPr>
            <w:tcW w:type="dxa" w:w="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4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Химия, фармацевтика, металлы, материалы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C20–24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Промышленность, здоровье, оборона</w:t>
            </w:r>
          </w:p>
        </w:tc>
      </w:tr>
      <w:tr>
        <w:tc>
          <w:tcPr>
            <w:tcW w:type="dxa" w:w="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5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Машины, электроника, транспортное оборудование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C25–30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Промышленность, наука, транспорт, оборона</w:t>
            </w:r>
          </w:p>
        </w:tc>
      </w:tr>
      <w:tr>
        <w:tc>
          <w:tcPr>
            <w:tcW w:type="dxa" w:w="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Прочая обрабатывающая промышленность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C13–18, C31–33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Промышленность и торговля</w:t>
            </w:r>
          </w:p>
        </w:tc>
      </w:tr>
      <w:tr>
        <w:tc>
          <w:tcPr>
            <w:tcW w:type="dxa" w:w="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Строительство и инфраструктура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F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Строительство, транспорт, энергетика</w:t>
            </w:r>
          </w:p>
        </w:tc>
      </w:tr>
      <w:tr>
        <w:tc>
          <w:tcPr>
            <w:tcW w:type="dxa" w:w="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Торговля, транспорт и логистика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G–I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Торговля и транспорт</w:t>
            </w:r>
          </w:p>
        </w:tc>
      </w:tr>
      <w:tr>
        <w:tc>
          <w:tcPr>
            <w:tcW w:type="dxa" w:w="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ИКТ, финансы, недвижимость, деловые услуги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J–N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Финансы, цифровая сфера, регуляторы</w:t>
            </w:r>
          </w:p>
        </w:tc>
      </w:tr>
      <w:tr>
        <w:tc>
          <w:tcPr>
            <w:tcW w:type="dxa" w:w="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Государство, наука, образование, здоровье, культура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O–T</w:t>
            </w:r>
          </w:p>
        </w:tc>
        <w:tc>
          <w:tcPr>
            <w:tcW w:type="dxa" w:w="3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Публичные и социальные учреждения</w:t>
            </w:r>
          </w:p>
        </w:tc>
      </w:tr>
    </w:tbl>
    <w:p>
      <w:pPr>
        <w:pStyle w:val="Heading1"/>
      </w:pPr>
      <w:r>
        <w:t>Базовые формулы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00"/>
        <w:gridCol w:w="2300"/>
        <w:gridCol w:w="5460"/>
      </w:tblGrid>
      <w:tr>
        <w:trPr>
          <w:tblHeader w:val="true"/>
          <w:tblHeader w:val="true"/>
        </w:trPr>
        <w:tc>
          <w:tcPr>
            <w:tcW w:type="dxa" w:w="16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Узел</w:t>
            </w:r>
          </w:p>
        </w:tc>
        <w:tc>
          <w:tcPr>
            <w:tcW w:type="dxa" w:w="2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Формула</w:t>
            </w:r>
          </w:p>
        </w:tc>
        <w:tc>
          <w:tcPr>
            <w:tcW w:type="dxa" w:w="54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Интерпретация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Баланс выпуска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xᵢ = Σⱼzᵢⱼ + yᵢ;  xⱼ = Σᵢzᵢⱼ + vⱼ</w:t>
            </w:r>
          </w:p>
        </w:tc>
        <w:tc>
          <w:tcPr>
            <w:tcW w:type="dxa" w:w="5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Выпуск равен промежуточным продажам плюс конечный спрос; затраты — промежуточным входам плюс добавленная стоимость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Прямые коэффициенты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A = Z · x̂⁻¹</w:t>
            </w:r>
          </w:p>
        </w:tc>
        <w:tc>
          <w:tcPr>
            <w:tcW w:type="dxa" w:w="5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Сколько продукции строки непосредственно требуется на единицу выпуска столбца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Обратная матрица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L = (I − A)⁻¹;  Δx = LΔy</w:t>
            </w:r>
          </w:p>
        </w:tc>
        <w:tc>
          <w:tcPr>
            <w:tcW w:type="dxa" w:w="5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Полный прямой и косвенный выпуск от изменения конечного спроса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Ведомственный мост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ΔVAᵐⁱⁿ = G · q̂ · Δx</w:t>
            </w:r>
          </w:p>
        </w:tc>
        <w:tc>
          <w:tcPr>
            <w:tcW w:type="dxa" w:w="5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G распределяет первичную ответственность, q переводит выпуск в добавленную стоимость или результат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Знание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A* = A + θK</w:t>
            </w:r>
          </w:p>
        </w:tc>
        <w:tc>
          <w:tcPr>
            <w:tcW w:type="dxa" w:w="5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K — спутниковая матрица передачи знаний; θ — подтверждённая скорость внедрения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Польза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Benefit = qᵀ(xsync − xbase) + ΔExpectedLoss − Ccoord</w:t>
            </w:r>
          </w:p>
        </w:tc>
        <w:tc>
          <w:tcPr>
            <w:tcW w:type="dxa" w:w="5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Считается по добавленной стоимости и предотвращённому ущербу, не по сумме валового выпуска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3B7D5B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7F2EB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3B7D5B"/>
                <w:sz w:val="22"/>
              </w:rPr>
              <w:t>УСЛОВИЕ УСТОЙЧИВОСТИ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Спектральный радиус авторской матрицы A равен 0,528 &lt; 1. Поэтому обратная матрица Леонтьева существует, а решение сходится.</w:t>
            </w:r>
          </w:p>
        </w:tc>
      </w:tr>
    </w:tbl>
    <w:p>
      <w:pPr>
        <w:pStyle w:val="Heading1"/>
      </w:pPr>
      <w:r>
        <w:t>Авторский нормированный баланс: 100 единиц выпуска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340"/>
        <w:gridCol w:w="900"/>
        <w:gridCol w:w="1280"/>
        <w:gridCol w:w="1200"/>
        <w:gridCol w:w="1240"/>
        <w:gridCol w:w="1400"/>
      </w:tblGrid>
      <w:tr>
        <w:trPr>
          <w:tblHeader w:val="true"/>
          <w:tblHeader w:val="true"/>
        </w:trPr>
        <w:tc>
          <w:tcPr>
            <w:tcW w:type="dxa" w:w="334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Сектор</w:t>
            </w:r>
          </w:p>
        </w:tc>
        <w:tc>
          <w:tcPr>
            <w:tcW w:type="dxa" w:w="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Выпуск</w:t>
            </w:r>
          </w:p>
        </w:tc>
        <w:tc>
          <w:tcPr>
            <w:tcW w:type="dxa" w:w="128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Промеж. продажи</w:t>
            </w:r>
          </w:p>
        </w:tc>
        <w:tc>
          <w:tcPr>
            <w:tcW w:type="dxa" w:w="12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Конечный спрос</w:t>
            </w:r>
          </w:p>
        </w:tc>
        <w:tc>
          <w:tcPr>
            <w:tcW w:type="dxa" w:w="124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Промеж. затраты</w:t>
            </w:r>
          </w:p>
        </w:tc>
        <w:tc>
          <w:tcPr>
            <w:tcW w:type="dxa" w:w="14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Добавленная стоимость</w:t>
            </w:r>
          </w:p>
        </w:tc>
      </w:tr>
      <w:tr>
        <w:tc>
          <w:tcPr>
            <w:tcW w:type="dxa" w:w="3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АПК и продовольствие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5.0</w:t>
            </w:r>
          </w:p>
        </w:tc>
        <w:tc>
          <w:tcPr>
            <w:tcW w:type="dxa" w:w="12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3.3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1.7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2.5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2.5</w:t>
            </w:r>
          </w:p>
        </w:tc>
      </w:tr>
      <w:tr>
        <w:tc>
          <w:tcPr>
            <w:tcW w:type="dxa" w:w="3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Добыча, топливо, нефтепереработка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12.0</w:t>
            </w:r>
          </w:p>
        </w:tc>
        <w:tc>
          <w:tcPr>
            <w:tcW w:type="dxa" w:w="12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8.5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3.5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5.5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6.5</w:t>
            </w:r>
          </w:p>
        </w:tc>
      </w:tr>
      <w:tr>
        <w:tc>
          <w:tcPr>
            <w:tcW w:type="dxa" w:w="3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Электроэнергия и коммунальные системы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4.0</w:t>
            </w:r>
          </w:p>
        </w:tc>
        <w:tc>
          <w:tcPr>
            <w:tcW w:type="dxa" w:w="12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3.5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0.5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2.0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2.0</w:t>
            </w:r>
          </w:p>
        </w:tc>
      </w:tr>
      <w:tr>
        <w:tc>
          <w:tcPr>
            <w:tcW w:type="dxa" w:w="3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Химия, фармацевтика, металлы, материалы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11.0</w:t>
            </w:r>
          </w:p>
        </w:tc>
        <w:tc>
          <w:tcPr>
            <w:tcW w:type="dxa" w:w="12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7.4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3.6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7.2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3.8</w:t>
            </w:r>
          </w:p>
        </w:tc>
      </w:tr>
      <w:tr>
        <w:tc>
          <w:tcPr>
            <w:tcW w:type="dxa" w:w="3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Машины, электроника, транспортное оборудование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15.0</w:t>
            </w:r>
          </w:p>
        </w:tc>
        <w:tc>
          <w:tcPr>
            <w:tcW w:type="dxa" w:w="12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8.5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6.5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10.0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5.0</w:t>
            </w:r>
          </w:p>
        </w:tc>
      </w:tr>
      <w:tr>
        <w:tc>
          <w:tcPr>
            <w:tcW w:type="dxa" w:w="3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Прочая обрабатывающая промышленность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7.0</w:t>
            </w:r>
          </w:p>
        </w:tc>
        <w:tc>
          <w:tcPr>
            <w:tcW w:type="dxa" w:w="12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3.2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3.8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4.3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2.7</w:t>
            </w:r>
          </w:p>
        </w:tc>
      </w:tr>
      <w:tr>
        <w:tc>
          <w:tcPr>
            <w:tcW w:type="dxa" w:w="3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Строительство и инфраструктура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9.0</w:t>
            </w:r>
          </w:p>
        </w:tc>
        <w:tc>
          <w:tcPr>
            <w:tcW w:type="dxa" w:w="12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3.1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5.9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5.3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3.7</w:t>
            </w:r>
          </w:p>
        </w:tc>
      </w:tr>
      <w:tr>
        <w:tc>
          <w:tcPr>
            <w:tcW w:type="dxa" w:w="3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Торговля, транспорт и логистика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14.0</w:t>
            </w:r>
          </w:p>
        </w:tc>
        <w:tc>
          <w:tcPr>
            <w:tcW w:type="dxa" w:w="12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5.4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8.6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7.0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7.0</w:t>
            </w:r>
          </w:p>
        </w:tc>
      </w:tr>
      <w:tr>
        <w:tc>
          <w:tcPr>
            <w:tcW w:type="dxa" w:w="3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ИКТ, финансы, недвижимость, деловые услуги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14.0</w:t>
            </w:r>
          </w:p>
        </w:tc>
        <w:tc>
          <w:tcPr>
            <w:tcW w:type="dxa" w:w="12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6.1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7.9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5.0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9.0</w:t>
            </w:r>
          </w:p>
        </w:tc>
      </w:tr>
      <w:tr>
        <w:tc>
          <w:tcPr>
            <w:tcW w:type="dxa" w:w="3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Государство, наука, образование, здоровье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9.0</w:t>
            </w:r>
          </w:p>
        </w:tc>
        <w:tc>
          <w:tcPr>
            <w:tcW w:type="dxa" w:w="12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2.5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6.5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2.7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6.3</w:t>
            </w:r>
          </w:p>
        </w:tc>
      </w:tr>
      <w:tr>
        <w:tc>
          <w:tcPr>
            <w:tcW w:type="dxa" w:w="3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Итого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100,0</w:t>
            </w:r>
          </w:p>
        </w:tc>
        <w:tc>
          <w:tcPr>
            <w:tcW w:type="dxa" w:w="12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51,5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48,5</w:t>
            </w:r>
          </w:p>
        </w:tc>
        <w:tc>
          <w:tcPr>
            <w:tcW w:type="dxa" w:w="1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51,5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48,5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Авторская внутренне согласованная заготовка, не официальная статистика России, Китая или США.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tblHeader w:val="true"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51,5%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промежуточная интенсивность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от выпуска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48,5%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добавленная стоимость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от выпуска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2,06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взвешенный мультипликатор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валовой выпуск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0,528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спектральный радиус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устойчивая система</w:t>
            </w:r>
          </w:p>
        </w:tc>
      </w:tr>
    </w:tbl>
    <w:p>
      <w:pPr>
        <w:pStyle w:val="Heading1"/>
      </w:pPr>
      <w:r>
        <w:t>Матрица прямых зависимостей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5989320" cy="5220862"/>
            <wp:docPr id="3" name="Picture 3" title="Тепловая карта матрицы прямых затрат" descr="Квадрат 10 на 10 показывает прямые затраты в авторской нормированной модели; наиболее тёмные клетки включают 27,7, 22,6 и 21,8 единицы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o_heatmap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5220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60" w:line="240" w:lineRule="auto"/>
        <w:jc w:val="center"/>
      </w:pPr>
      <w:r>
        <w:rPr>
          <w:rFonts w:ascii="Calibri" w:hAnsi="Calibri" w:eastAsia="Calibri"/>
          <w:b w:val="0"/>
          <w:i/>
          <w:color w:val="5B6573"/>
          <w:sz w:val="17"/>
        </w:rPr>
        <w:t>Рисунок 3. Значение — единиц продукции строки на 100 единиц выпуска столбца. Номера секторов соответствуют предыдущей таблице.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</w:tblGrid>
      <w:tr>
        <w:trPr>
          <w:tblHeader w:val="true"/>
          <w:tblHeader w:val="true"/>
        </w:trPr>
        <w:tc>
          <w:tcPr>
            <w:tcW w:type="dxa" w:w="1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2"/>
              </w:rPr>
              <w:t>Поставщик ↓ / потребитель →</w:t>
            </w:r>
          </w:p>
        </w:tc>
        <w:tc>
          <w:tcPr>
            <w:tcW w:type="dxa" w:w="786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2"/>
              </w:rPr>
              <w:t>1</w:t>
            </w:r>
          </w:p>
        </w:tc>
        <w:tc>
          <w:tcPr>
            <w:tcW w:type="dxa" w:w="786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2"/>
              </w:rPr>
              <w:t>2</w:t>
            </w:r>
          </w:p>
        </w:tc>
        <w:tc>
          <w:tcPr>
            <w:tcW w:type="dxa" w:w="786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2"/>
              </w:rPr>
              <w:t>3</w:t>
            </w:r>
          </w:p>
        </w:tc>
        <w:tc>
          <w:tcPr>
            <w:tcW w:type="dxa" w:w="786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2"/>
              </w:rPr>
              <w:t>4</w:t>
            </w:r>
          </w:p>
        </w:tc>
        <w:tc>
          <w:tcPr>
            <w:tcW w:type="dxa" w:w="786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2"/>
              </w:rPr>
              <w:t>5</w:t>
            </w:r>
          </w:p>
        </w:tc>
        <w:tc>
          <w:tcPr>
            <w:tcW w:type="dxa" w:w="786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2"/>
              </w:rPr>
              <w:t>6</w:t>
            </w:r>
          </w:p>
        </w:tc>
        <w:tc>
          <w:tcPr>
            <w:tcW w:type="dxa" w:w="786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2"/>
              </w:rPr>
              <w:t>7</w:t>
            </w:r>
          </w:p>
        </w:tc>
        <w:tc>
          <w:tcPr>
            <w:tcW w:type="dxa" w:w="786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2"/>
              </w:rPr>
              <w:t>8</w:t>
            </w:r>
          </w:p>
        </w:tc>
        <w:tc>
          <w:tcPr>
            <w:tcW w:type="dxa" w:w="786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2"/>
              </w:rPr>
              <w:t>9</w:t>
            </w:r>
          </w:p>
        </w:tc>
        <w:tc>
          <w:tcPr>
            <w:tcW w:type="dxa" w:w="786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2"/>
              </w:rPr>
              <w:t>10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1. АПК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5.1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0.4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0.4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2.4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1.1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21.8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0.7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5.1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0.6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1.8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2. Добыча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3.8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7.4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27.7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22.6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7.0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3.4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8.2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10.7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1.6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0.9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3. Энергия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3.6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5.2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2.6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5.3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4.9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2.4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2.9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3.0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2.0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1.6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4. Материалы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7.3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7.5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3.8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9.3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17.2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6.7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13.5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3.5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1.0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0.7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5. Машины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5.9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8.6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4.3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7.0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13.0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6.3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11.5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10.0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7.4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4.2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6. Прочая пром.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6.1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2.2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1.1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1.8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3.3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6.5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3.0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2.6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3.3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3.8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7. Строит.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1.7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2.4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2.4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2.0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2.7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1.8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5.4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2.8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4.2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4.7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8. Логистика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9.3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5.4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3.4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6.6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7.6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6.0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6.0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4.7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3.2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2.3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9. ИКТ/услуги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5.8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5.8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3.4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6.8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7.6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5.0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6.0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5.8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7.2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4.1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10. Гос/соц.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1.4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1.0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1.0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1.6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2.3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1.5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1.8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1.7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5.2</w:t>
            </w:r>
          </w:p>
        </w:tc>
        <w:tc>
          <w:tcPr>
            <w:tcW w:type="dxa" w:w="78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2"/>
              </w:rPr>
              <w:t>5.8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Авторская матрица A; проценты от выпуска отрасли-потребителя.</w:t>
      </w:r>
    </w:p>
    <w:p>
      <w:pPr>
        <w:keepNext w:val="0"/>
        <w:spacing w:before="0" w:after="120" w:line="264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Критические прямые связи: добыча → энергетика 27,7; добыча → материалы 22,6; АПК → прочая пищевая и потребительская промышленность 21,8; материалы → машины 17,2; материалы → строительство 13,5; машины → собственный выпуск 13,0.</w:t>
      </w:r>
    </w:p>
    <w:p>
      <w:pPr>
        <w:pStyle w:val="Heading1"/>
      </w:pPr>
      <w:r>
        <w:t>Мультипликаторы и узкие места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5989320" cy="3283635"/>
            <wp:docPr id="4" name="Picture 4" title="Мультипликаторы выпуска и узкие места" descr="Горизонтальные столбцы показывают мультипликаторы 1,62–2,45, красная линия — индекс узкого места с максимумом 100 для ИКТ и деловых услуг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o_metrics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2836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60" w:line="240" w:lineRule="auto"/>
        <w:jc w:val="center"/>
      </w:pPr>
      <w:r>
        <w:rPr>
          <w:rFonts w:ascii="Calibri" w:hAnsi="Calibri" w:eastAsia="Calibri"/>
          <w:b w:val="0"/>
          <w:i/>
          <w:color w:val="5B6573"/>
          <w:sz w:val="17"/>
        </w:rPr>
        <w:t>Рисунок 4. Мощность физической цепочки и критичность информационного слоя различаются.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700"/>
        <w:gridCol w:w="700"/>
        <w:gridCol w:w="700"/>
        <w:gridCol w:w="1300"/>
        <w:gridCol w:w="1250"/>
        <w:gridCol w:w="2010"/>
      </w:tblGrid>
      <w:tr>
        <w:trPr>
          <w:tblHeader w:val="true"/>
          <w:tblHeader w:val="true"/>
        </w:trPr>
        <w:tc>
          <w:tcPr>
            <w:tcW w:type="dxa" w:w="2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Сектор</w:t>
            </w:r>
          </w:p>
        </w:tc>
        <w:tc>
          <w:tcPr>
            <w:tcW w:type="dxa" w:w="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μ</w:t>
            </w:r>
          </w:p>
        </w:tc>
        <w:tc>
          <w:tcPr>
            <w:tcW w:type="dxa" w:w="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BL</w:t>
            </w:r>
          </w:p>
        </w:tc>
        <w:tc>
          <w:tcPr>
            <w:tcW w:type="dxa" w:w="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FL</w:t>
            </w:r>
          </w:p>
        </w:tc>
        <w:tc>
          <w:tcPr>
            <w:tcW w:type="dxa" w:w="1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Избыточность</w:t>
            </w:r>
          </w:p>
        </w:tc>
        <w:tc>
          <w:tcPr>
            <w:tcW w:type="dxa" w:w="12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Узкое место</w:t>
            </w:r>
          </w:p>
        </w:tc>
        <w:tc>
          <w:tcPr>
            <w:tcW w:type="dxa" w:w="20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Воспроизводство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АПК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2.07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0.99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0.83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95%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7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108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Добыча и топливо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1.98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0.95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1.44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97%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12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115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Энергетика и ЖКХ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2.03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0.97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0.84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97%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6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120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Материалы и химия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2.36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1.13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1.23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89%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31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112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Машины и электроника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2.45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1.17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1.29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85%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55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125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Прочая промышленность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2.31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1.10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0.80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67%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29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105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Строительство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2.28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1.09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0.77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91%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12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110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Торговля и логистика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2.06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0.99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1.04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92%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17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115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ИКТ и деловые услуги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1.74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0.83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1.07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67%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100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130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Государство и соцсфера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1.62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0.77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0.70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95%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8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118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Все показатели — производные авторской матрицы; 100 в воспроизводстве означает простое замещение износа.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23B3B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E7E7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A23B3B"/>
                <w:sz w:val="22"/>
              </w:rPr>
              <w:t>СИСТЕМНЫЙ ВЫВОД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Инвестиция только в «самый большой мультипликатор» недостаточна. Машины и материалы создают физическую волну, но ИКТ, финансы, стандарты, метрология и совместимые данные определяют, превратится ли волна в устойчивую цепочку.</w:t>
            </w:r>
          </w:p>
        </w:tc>
      </w:tr>
    </w:tbl>
    <w:p>
      <w:pPr>
        <w:pStyle w:val="Heading1"/>
      </w:pPr>
      <w:r>
        <w:t>Как министерства накладываются на отрасли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50"/>
        <w:gridCol w:w="2320"/>
        <w:gridCol w:w="2740"/>
        <w:gridCol w:w="2550"/>
      </w:tblGrid>
      <w:tr>
        <w:trPr>
          <w:tblHeader w:val="true"/>
          <w:tblHeader w:val="true"/>
        </w:trPr>
        <w:tc>
          <w:tcPr>
            <w:tcW w:type="dxa" w:w="17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Функция</w:t>
            </w:r>
          </w:p>
        </w:tc>
        <w:tc>
          <w:tcPr>
            <w:tcW w:type="dxa" w:w="232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Основные сектора</w:t>
            </w:r>
          </w:p>
        </w:tc>
        <w:tc>
          <w:tcPr>
            <w:tcW w:type="dxa" w:w="274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Канал воздействия</w:t>
            </w:r>
          </w:p>
        </w:tc>
        <w:tc>
          <w:tcPr>
            <w:tcW w:type="dxa" w:w="25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Контроль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Финансы и макроуправление</w:t>
            </w:r>
          </w:p>
        </w:tc>
        <w:tc>
          <w:tcPr>
            <w:tcW w:type="dxa" w:w="2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9 ИКТ/финансы/услуги; 10 государство</w:t>
            </w:r>
          </w:p>
        </w:tc>
        <w:tc>
          <w:tcPr>
            <w:tcW w:type="dxa" w:w="2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Ставка, налоги, таможня, статистика, гарантии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Не приписывать весь Treasury или Минфин сектору 9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Наука и образование</w:t>
            </w:r>
          </w:p>
        </w:tc>
        <w:tc>
          <w:tcPr>
            <w:tcW w:type="dxa" w:w="2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5 машины; 9 ИКТ; 10 государство/соцсфера</w:t>
            </w:r>
          </w:p>
        </w:tc>
        <w:tc>
          <w:tcPr>
            <w:tcW w:type="dxa" w:w="2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Гранты, кадры, лаборатории, стандарты, procurement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Знание учитывается через K и подтверждённое внедрение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Промышленность и торговля</w:t>
            </w:r>
          </w:p>
        </w:tc>
        <w:tc>
          <w:tcPr>
            <w:tcW w:type="dxa" w:w="2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4–6 материалы и производство; 8 торговля</w:t>
            </w:r>
          </w:p>
        </w:tc>
        <w:tc>
          <w:tcPr>
            <w:tcW w:type="dxa" w:w="2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Субсидии, кредит, стандарты, экспортный доступ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Основной эффект — изменение коэффициентов A и импортной доли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Энергетика</w:t>
            </w:r>
          </w:p>
        </w:tc>
        <w:tc>
          <w:tcPr>
            <w:tcW w:type="dxa" w:w="2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 добыча; 3 энергия; 4 материалы; 7 инфраструктура</w:t>
            </w:r>
          </w:p>
        </w:tc>
        <w:tc>
          <w:tcPr>
            <w:tcW w:type="dxa" w:w="2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Тариф, мощность, резерв, модернизация сети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Энергия входит почти во все столбцы A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Транспорт</w:t>
            </w:r>
          </w:p>
        </w:tc>
        <w:tc>
          <w:tcPr>
            <w:tcW w:type="dxa" w:w="2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5 техника; 7 инфраструктура; 8 логистика; 9 данные</w:t>
            </w:r>
          </w:p>
        </w:tc>
        <w:tc>
          <w:tcPr>
            <w:tcW w:type="dxa" w:w="2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Капвложения, безопасность, пропускная способность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KPI — время, надёжность и стоимость, а не только км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АПК и питание</w:t>
            </w:r>
          </w:p>
        </w:tc>
        <w:tc>
          <w:tcPr>
            <w:tcW w:type="dxa" w:w="2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 АПК; 4 химия; 5 техника; 8 логистика</w:t>
            </w:r>
          </w:p>
        </w:tc>
        <w:tc>
          <w:tcPr>
            <w:tcW w:type="dxa" w:w="2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Производство, страхование, санитария, питание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USDA/HHS-подобные трансферты отделять от выпуска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Здоровье и демография</w:t>
            </w:r>
          </w:p>
        </w:tc>
        <w:tc>
          <w:tcPr>
            <w:tcW w:type="dxa" w:w="2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4 фарма; 5 медтехника; 10 соцсфера</w:t>
            </w:r>
          </w:p>
        </w:tc>
        <w:tc>
          <w:tcPr>
            <w:tcW w:type="dxa" w:w="2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Страхование, профилактика, лечение, семья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Результат межведомственный: жильё, доход, образование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Оборона и безопасность</w:t>
            </w:r>
          </w:p>
        </w:tc>
        <w:tc>
          <w:tcPr>
            <w:tcW w:type="dxa" w:w="2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4–5 производство; 9 ИКТ; 10 государство</w:t>
            </w:r>
          </w:p>
        </w:tc>
        <w:tc>
          <w:tcPr>
            <w:tcW w:type="dxa" w:w="2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Готовность, резервы, киберзащита, ЧС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Гражданский spillover требует отдельной верификации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Экология</w:t>
            </w:r>
          </w:p>
        </w:tc>
        <w:tc>
          <w:tcPr>
            <w:tcW w:type="dxa" w:w="2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Все 1–10 через выбросы и ресурсы</w:t>
            </w:r>
          </w:p>
        </w:tc>
        <w:tc>
          <w:tcPr>
            <w:tcW w:type="dxa" w:w="2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Нормы, мониторинг, восстановление, переработка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Отдельный экологический спутниковый счёт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Цифра и данные</w:t>
            </w:r>
          </w:p>
        </w:tc>
        <w:tc>
          <w:tcPr>
            <w:tcW w:type="dxa" w:w="2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9 ИКТ; горизонтально 1–10</w:t>
            </w:r>
          </w:p>
        </w:tc>
        <w:tc>
          <w:tcPr>
            <w:tcW w:type="dxa" w:w="2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Реестры, идентификаторы, API, киберустойчивость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Анти-double-count: эффект распределён по результатам других блоков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C9A227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1D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C9A227"/>
                <w:sz w:val="22"/>
              </w:rPr>
              <w:t>ПРАВИЛО G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Сумма весов основной ответственности по каждому сектору равна 1. Консультативное участие ведётся отдельной матрицей, иначе один и тот же результат будет приписан нескольким ведомствам.</w:t>
            </w:r>
          </w:p>
        </w:tc>
      </w:tr>
    </w:tbl>
    <w:p>
      <w:pPr>
        <w:pStyle w:val="Heading1"/>
      </w:pPr>
      <w:r>
        <w:t>Выходы через смыслы: восемь общественных способностей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300"/>
        <w:gridCol w:w="4260"/>
      </w:tblGrid>
      <w:tr>
        <w:trPr>
          <w:tblHeader w:val="true"/>
          <w:tblHeader w:val="true"/>
        </w:trPr>
        <w:tc>
          <w:tcPr>
            <w:tcW w:type="dxa" w:w="1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Смысл</w:t>
            </w:r>
          </w:p>
        </w:tc>
        <w:tc>
          <w:tcPr>
            <w:tcW w:type="dxa" w:w="3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Операциональное определение</w:t>
            </w:r>
          </w:p>
        </w:tc>
        <w:tc>
          <w:tcPr>
            <w:tcW w:type="dxa" w:w="4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Примеры KPI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Суверенитет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Сохранение критических функций при внешнем ограничении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Импортозависимость; внутренняя критическая добавленная стоимость; сбережения; концентрация поставщиков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Воспроизводство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Воспроизводство населения, здоровья, труда, навыков и капитала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Продолжительность и здоровые годы жизни; фертильность; занятость; обновление капитала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Опционность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Реально доступные технологические, производственные и логистические альтернативы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НИОКР/ВВП; high-tech export; альтернативные поставщики; патенты/стандарты; интернет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Устойчивость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Поглощение шока и восстановление функции в заданный срок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RTO/MTTR; резерв; энергетическая независимость; стресс-тесты; effectiveness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Доверие / легитимность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Предсказуемость правил, справедливость процедур и подтверждённое качество услуг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Rule of Law; corruption control; исполнение решений; жалобы; качество услуг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Развитие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Расширение продуктивных возможностей человека и экономики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ВВП на душу по ППС; производительность; занятость; НИОКР; образование и здоровье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Безопасность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Защищённость жизни, инфраструктуры и институтов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Убийства; политическая стабильность; стресс-тест критических объектов; аварии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Общественные блага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Положительный эффект шире непосредственного плательщика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CO₂e; чистая энергия; открытые знания и данные; эпидемиологическая и климатическая защита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3B7D5B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7F2EB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3B7D5B"/>
                <w:sz w:val="22"/>
              </w:rPr>
              <w:t>ПРИНЦИП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Расходы не считаются результатом автоматически. Ведомство получает вклад в смысловой выход только при изменении независимого KPI.</w:t>
            </w:r>
          </w:p>
        </w:tc>
      </w:tr>
    </w:tbl>
    <w:p>
      <w:pPr>
        <w:pStyle w:val="Heading1"/>
      </w:pPr>
      <w:r>
        <w:t>Нормативная карта функций к смыслам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4"/>
        <w:gridCol w:w="832"/>
        <w:gridCol w:w="832"/>
        <w:gridCol w:w="832"/>
        <w:gridCol w:w="832"/>
        <w:gridCol w:w="832"/>
        <w:gridCol w:w="832"/>
        <w:gridCol w:w="832"/>
        <w:gridCol w:w="832"/>
      </w:tblGrid>
      <w:tr>
        <w:trPr>
          <w:tblHeader w:val="true"/>
          <w:tblHeader w:val="true"/>
        </w:trPr>
        <w:tc>
          <w:tcPr>
            <w:tcW w:type="dxa" w:w="2704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Функциональный блок</w:t>
            </w:r>
          </w:p>
        </w:tc>
        <w:tc>
          <w:tcPr>
            <w:tcW w:type="dxa" w:w="832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Сув.</w:t>
            </w:r>
          </w:p>
        </w:tc>
        <w:tc>
          <w:tcPr>
            <w:tcW w:type="dxa" w:w="832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Воспр.</w:t>
            </w:r>
          </w:p>
        </w:tc>
        <w:tc>
          <w:tcPr>
            <w:tcW w:type="dxa" w:w="832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Опц.</w:t>
            </w:r>
          </w:p>
        </w:tc>
        <w:tc>
          <w:tcPr>
            <w:tcW w:type="dxa" w:w="832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Уст.</w:t>
            </w:r>
          </w:p>
        </w:tc>
        <w:tc>
          <w:tcPr>
            <w:tcW w:type="dxa" w:w="832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Довер.</w:t>
            </w:r>
          </w:p>
        </w:tc>
        <w:tc>
          <w:tcPr>
            <w:tcW w:type="dxa" w:w="832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Разв.</w:t>
            </w:r>
          </w:p>
        </w:tc>
        <w:tc>
          <w:tcPr>
            <w:tcW w:type="dxa" w:w="832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Безоп.</w:t>
            </w:r>
          </w:p>
        </w:tc>
        <w:tc>
          <w:tcPr>
            <w:tcW w:type="dxa" w:w="832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Общ.</w:t>
            </w:r>
          </w:p>
        </w:tc>
      </w:tr>
      <w:tr>
        <w:tc>
          <w:tcPr>
            <w:tcW w:type="dxa" w:w="27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Стратегия и управление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25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10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10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25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15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10</w:t>
            </w:r>
          </w:p>
        </w:tc>
      </w:tr>
      <w:tr>
        <w:tc>
          <w:tcPr>
            <w:tcW w:type="dxa" w:w="27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Финансы, налоги, таможня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25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20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15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10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20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0</w:t>
            </w:r>
          </w:p>
        </w:tc>
      </w:tr>
      <w:tr>
        <w:tc>
          <w:tcPr>
            <w:tcW w:type="dxa" w:w="27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Промышленность, торговля, питание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20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15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15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15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20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5</w:t>
            </w:r>
          </w:p>
        </w:tc>
      </w:tr>
      <w:tr>
        <w:tc>
          <w:tcPr>
            <w:tcW w:type="dxa" w:w="27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Энергия, транспорт, связь, цифра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15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10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15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20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20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10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5</w:t>
            </w:r>
          </w:p>
        </w:tc>
      </w:tr>
      <w:tr>
        <w:tc>
          <w:tcPr>
            <w:tcW w:type="dxa" w:w="27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Наука и образование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15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30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10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10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20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10</w:t>
            </w:r>
          </w:p>
        </w:tc>
      </w:tr>
      <w:tr>
        <w:tc>
          <w:tcPr>
            <w:tcW w:type="dxa" w:w="27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Здоровье, труд, жильё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35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10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20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20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10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5</w:t>
            </w:r>
          </w:p>
        </w:tc>
      </w:tr>
      <w:tr>
        <w:tc>
          <w:tcPr>
            <w:tcW w:type="dxa" w:w="27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Оборона, право, ЧС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15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15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15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40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5</w:t>
            </w:r>
          </w:p>
        </w:tc>
      </w:tr>
      <w:tr>
        <w:tc>
          <w:tcPr>
            <w:tcW w:type="dxa" w:w="27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Экология и внешние блага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10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20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15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5</w:t>
            </w:r>
          </w:p>
        </w:tc>
        <w:tc>
          <w:tcPr>
            <w:tcW w:type="dxa" w:w="8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35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Проценты — авторская стартовая матрица. Каждая строка суммируется до 100%; веса должны фиксироваться до начала бюджетного периода.</w:t>
      </w:r>
    </w:p>
    <w:p>
      <w:pPr>
        <w:keepNext w:val="0"/>
        <w:spacing w:before="0" w:after="120" w:line="264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Академии наук относятся прежде всего к блоку «Наука и образование», но их конечные результаты проходят в опционность, развитие, безопасность и общественные блага. Публикация сама по себе — выпуск; доказанная технология, открытый стандарт или снижение риска — смысловой выход.</w:t>
      </w:r>
    </w:p>
    <w:p>
      <w:pPr>
        <w:pStyle w:val="Heading1"/>
      </w:pPr>
      <w:r>
        <w:t>Демонстрационная модель 0–100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5989320" cy="3353268"/>
            <wp:docPr id="5" name="Picture 5" title="Смысловые профили России, Китая и США" descr="Сгруппированные столбцы по восьми смыслам показывают авторские индексы России, Китая и США от 27,5 до 83,5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aning_profiles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3532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60" w:line="240" w:lineRule="auto"/>
        <w:jc w:val="center"/>
      </w:pPr>
      <w:r>
        <w:rPr>
          <w:rFonts w:ascii="Calibri" w:hAnsi="Calibri" w:eastAsia="Calibri"/>
          <w:b w:val="0"/>
          <w:i/>
          <w:color w:val="5B6573"/>
          <w:sz w:val="17"/>
        </w:rPr>
        <w:t>Рисунок 5. Профиль возможностей, а не моральная иерархия или официальный рейтинг.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00"/>
        <w:gridCol w:w="775"/>
        <w:gridCol w:w="775"/>
        <w:gridCol w:w="775"/>
        <w:gridCol w:w="775"/>
        <w:gridCol w:w="775"/>
        <w:gridCol w:w="775"/>
        <w:gridCol w:w="775"/>
        <w:gridCol w:w="775"/>
        <w:gridCol w:w="2060"/>
      </w:tblGrid>
      <w:tr>
        <w:trPr>
          <w:tblHeader w:val="true"/>
          <w:tblHeader w:val="true"/>
        </w:trPr>
        <w:tc>
          <w:tcPr>
            <w:tcW w:type="dxa" w:w="1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Страна</w:t>
            </w:r>
          </w:p>
        </w:tc>
        <w:tc>
          <w:tcPr>
            <w:tcW w:type="dxa" w:w="775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Сув.</w:t>
            </w:r>
          </w:p>
        </w:tc>
        <w:tc>
          <w:tcPr>
            <w:tcW w:type="dxa" w:w="775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Воспр.</w:t>
            </w:r>
          </w:p>
        </w:tc>
        <w:tc>
          <w:tcPr>
            <w:tcW w:type="dxa" w:w="775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Опц.</w:t>
            </w:r>
          </w:p>
        </w:tc>
        <w:tc>
          <w:tcPr>
            <w:tcW w:type="dxa" w:w="775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Уст.</w:t>
            </w:r>
          </w:p>
        </w:tc>
        <w:tc>
          <w:tcPr>
            <w:tcW w:type="dxa" w:w="775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Довер.</w:t>
            </w:r>
          </w:p>
        </w:tc>
        <w:tc>
          <w:tcPr>
            <w:tcW w:type="dxa" w:w="775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Разв.</w:t>
            </w:r>
          </w:p>
        </w:tc>
        <w:tc>
          <w:tcPr>
            <w:tcW w:type="dxa" w:w="775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Безоп.</w:t>
            </w:r>
          </w:p>
        </w:tc>
        <w:tc>
          <w:tcPr>
            <w:tcW w:type="dxa" w:w="775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Общ.</w:t>
            </w:r>
          </w:p>
        </w:tc>
        <w:tc>
          <w:tcPr>
            <w:tcW w:type="dxa" w:w="20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Среднее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Россия</w:t>
            </w:r>
          </w:p>
        </w:tc>
        <w:tc>
          <w:tcPr>
            <w:tcW w:type="dxa" w:w="7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74.3</w:t>
            </w:r>
          </w:p>
        </w:tc>
        <w:tc>
          <w:tcPr>
            <w:tcW w:type="dxa" w:w="7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47.9</w:t>
            </w:r>
          </w:p>
        </w:tc>
        <w:tc>
          <w:tcPr>
            <w:tcW w:type="dxa" w:w="7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33.1</w:t>
            </w:r>
          </w:p>
        </w:tc>
        <w:tc>
          <w:tcPr>
            <w:tcW w:type="dxa" w:w="7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54.9</w:t>
            </w:r>
          </w:p>
        </w:tc>
        <w:tc>
          <w:tcPr>
            <w:tcW w:type="dxa" w:w="7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33.4</w:t>
            </w:r>
          </w:p>
        </w:tc>
        <w:tc>
          <w:tcPr>
            <w:tcW w:type="dxa" w:w="7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36.7</w:t>
            </w:r>
          </w:p>
        </w:tc>
        <w:tc>
          <w:tcPr>
            <w:tcW w:type="dxa" w:w="7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41.2</w:t>
            </w:r>
          </w:p>
        </w:tc>
        <w:tc>
          <w:tcPr>
            <w:tcW w:type="dxa" w:w="7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27.5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43.6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Китай</w:t>
            </w:r>
          </w:p>
        </w:tc>
        <w:tc>
          <w:tcPr>
            <w:tcW w:type="dxa" w:w="7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80.6</w:t>
            </w:r>
          </w:p>
        </w:tc>
        <w:tc>
          <w:tcPr>
            <w:tcW w:type="dxa" w:w="7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48.6</w:t>
            </w:r>
          </w:p>
        </w:tc>
        <w:tc>
          <w:tcPr>
            <w:tcW w:type="dxa" w:w="7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73.5</w:t>
            </w:r>
          </w:p>
        </w:tc>
        <w:tc>
          <w:tcPr>
            <w:tcW w:type="dxa" w:w="7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56.9</w:t>
            </w:r>
          </w:p>
        </w:tc>
        <w:tc>
          <w:tcPr>
            <w:tcW w:type="dxa" w:w="7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42.1</w:t>
            </w:r>
          </w:p>
        </w:tc>
        <w:tc>
          <w:tcPr>
            <w:tcW w:type="dxa" w:w="7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38.2</w:t>
            </w:r>
          </w:p>
        </w:tc>
        <w:tc>
          <w:tcPr>
            <w:tcW w:type="dxa" w:w="7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78.6</w:t>
            </w:r>
          </w:p>
        </w:tc>
        <w:tc>
          <w:tcPr>
            <w:tcW w:type="dxa" w:w="7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47.6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58.3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США</w:t>
            </w:r>
          </w:p>
        </w:tc>
        <w:tc>
          <w:tcPr>
            <w:tcW w:type="dxa" w:w="7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52.4</w:t>
            </w:r>
          </w:p>
        </w:tc>
        <w:tc>
          <w:tcPr>
            <w:tcW w:type="dxa" w:w="7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65.1</w:t>
            </w:r>
          </w:p>
        </w:tc>
        <w:tc>
          <w:tcPr>
            <w:tcW w:type="dxa" w:w="7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82.4</w:t>
            </w:r>
          </w:p>
        </w:tc>
        <w:tc>
          <w:tcPr>
            <w:tcW w:type="dxa" w:w="7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68.8</w:t>
            </w:r>
          </w:p>
        </w:tc>
        <w:tc>
          <w:tcPr>
            <w:tcW w:type="dxa" w:w="7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72.1</w:t>
            </w:r>
          </w:p>
        </w:tc>
        <w:tc>
          <w:tcPr>
            <w:tcW w:type="dxa" w:w="7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83.5</w:t>
            </w:r>
          </w:p>
        </w:tc>
        <w:tc>
          <w:tcPr>
            <w:tcW w:type="dxa" w:w="7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57.1</w:t>
            </w:r>
          </w:p>
        </w:tc>
        <w:tc>
          <w:tcPr>
            <w:tcW w:type="dxa" w:w="77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43.9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65.7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Официальны исходные WDI/WGI; веса, якоря и сводные оценки — авторские. Годы исходных рядов различаются (2020–2024).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0"/>
        <w:gridCol w:w="2700"/>
        <w:gridCol w:w="2600"/>
        <w:gridCol w:w="3060"/>
      </w:tblGrid>
      <w:tr>
        <w:trPr>
          <w:tblHeader w:val="true"/>
          <w:tblHeader w:val="true"/>
        </w:trPr>
        <w:tc>
          <w:tcPr>
            <w:tcW w:type="dxa" w:w="10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Страна</w:t>
            </w:r>
          </w:p>
        </w:tc>
        <w:tc>
          <w:tcPr>
            <w:tcW w:type="dxa" w:w="2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Сильная сторона модели</w:t>
            </w:r>
          </w:p>
        </w:tc>
        <w:tc>
          <w:tcPr>
            <w:tcW w:type="dxa" w:w="26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Узкое место модели</w:t>
            </w:r>
          </w:p>
        </w:tc>
        <w:tc>
          <w:tcPr>
            <w:tcW w:type="dxa" w:w="30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Что не включено</w:t>
            </w:r>
          </w:p>
        </w:tc>
      </w:tr>
      <w:t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Россия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Ресурсная автономия и сбережения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Опционность, общие блага, институциональные внешние прокси</w:t>
            </w:r>
          </w:p>
        </w:tc>
        <w:tc>
          <w:tcPr>
            <w:tcW w:type="dxa" w:w="3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Не включены стратегические вооружения и редкие минеральные запасы</w:t>
            </w:r>
          </w:p>
        </w:tc>
      </w:tr>
      <w:t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Китай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Промышленно-ресурсный суверенитет, безопасность, технологическая опционность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Демография и доход на душу</w:t>
            </w:r>
          </w:p>
        </w:tc>
        <w:tc>
          <w:tcPr>
            <w:tcW w:type="dxa" w:w="3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Внешние институциональные прокси не равны внутреннему одобрению</w:t>
            </w:r>
          </w:p>
        </w:tc>
      </w:tr>
      <w:t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США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Развитие, НИОКР, институциональные прокси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Сбережения, промышленная доля, углеродный контур</w:t>
            </w:r>
          </w:p>
        </w:tc>
        <w:tc>
          <w:tcPr>
            <w:tcW w:type="dxa" w:w="3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Финансовая роль доллара не включена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23B3B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E7E7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A23B3B"/>
                <w:sz w:val="22"/>
              </w:rPr>
              <w:t>ШТРАФ ЗА УЗКОЕ МЕСТО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Индекс равновесия: 0,7 × геометрическое среднее + 0,3 × минимум. Результат: Россия 37,4; Китай 50,7; США 58,2. Это диагностический сценарий, не второй рейтинг.</w:t>
            </w:r>
          </w:p>
        </w:tc>
      </w:tr>
    </w:tbl>
    <w:p>
      <w:pPr>
        <w:pStyle w:val="Heading1"/>
      </w:pPr>
      <w:r>
        <w:t>Польза синхронизации трёх держав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5989320" cy="3245482"/>
            <wp:docPr id="6" name="Picture 6" title="Смысловой эффект синхронизации" descr="Составные столбцы показывают исходный средний индекс по восьми смыслам и выигрыш от закрытия 25 процентов разрыва до лучшей практики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ync_meanings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2454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60" w:line="240" w:lineRule="auto"/>
        <w:jc w:val="center"/>
      </w:pPr>
      <w:r>
        <w:rPr>
          <w:rFonts w:ascii="Calibri" w:hAnsi="Calibri" w:eastAsia="Calibri"/>
          <w:b w:val="0"/>
          <w:i/>
          <w:color w:val="5B6573"/>
          <w:sz w:val="17"/>
        </w:rPr>
        <w:t>Рисунок 6. Центральный сценарий: средний индекс 55,9 → 60,0.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1600"/>
        <w:gridCol w:w="1700"/>
        <w:gridCol w:w="1600"/>
        <w:gridCol w:w="2060"/>
      </w:tblGrid>
      <w:tr>
        <w:trPr>
          <w:tblHeader w:val="true"/>
          <w:tblHeader w:val="true"/>
        </w:trPr>
        <w:tc>
          <w:tcPr>
            <w:tcW w:type="dxa" w:w="24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Смысл</w:t>
            </w:r>
          </w:p>
        </w:tc>
        <w:tc>
          <w:tcPr>
            <w:tcW w:type="dxa" w:w="16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Средняя база</w:t>
            </w:r>
          </w:p>
        </w:tc>
        <w:tc>
          <w:tcPr>
            <w:tcW w:type="dxa" w:w="1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Лучшая практика</w:t>
            </w:r>
          </w:p>
        </w:tc>
        <w:tc>
          <w:tcPr>
            <w:tcW w:type="dxa" w:w="16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25% разрыва</w:t>
            </w:r>
          </w:p>
        </w:tc>
        <w:tc>
          <w:tcPr>
            <w:tcW w:type="dxa" w:w="20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После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Суверенитет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69,1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80,6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+2,9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71,9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Воспроизводство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53,8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65,1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+2,8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56,7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Опционность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63,0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82,4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+4,9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67,9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Устойчивость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60,2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68,8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+2,1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62,4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Доверие / легитимность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49,2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72,1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+5,7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54,9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Развитие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52,8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83,5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+7,7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60,5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Безопасность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59,0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78,6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+4,9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63,9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Общественные блага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39,7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47,6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+2,0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41,6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tblHeader w:val="true"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+1,7 п.п.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закрыто 10% разрыва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низкий сценарий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+4,1 п.п.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закрыто 25% разрыва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центральный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+6,6 п.п.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закрыто 40% разрыва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высокий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4,1 п.п.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порог издержек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break-even</w:t>
            </w:r>
          </w:p>
        </w:tc>
      </w:tr>
    </w:tbl>
    <w:p>
      <w:pPr>
        <w:pStyle w:val="Heading1"/>
      </w:pPr>
      <w:r>
        <w:t>Чувствительность и ограничения смыслового индекса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700"/>
        <w:gridCol w:w="1220"/>
        <w:gridCol w:w="1220"/>
        <w:gridCol w:w="1220"/>
      </w:tblGrid>
      <w:tr>
        <w:trPr>
          <w:tblHeader w:val="true"/>
          <w:tblHeader w:val="true"/>
        </w:trPr>
        <w:tc>
          <w:tcPr>
            <w:tcW w:type="dxa" w:w="5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Система весов</w:t>
            </w:r>
          </w:p>
        </w:tc>
        <w:tc>
          <w:tcPr>
            <w:tcW w:type="dxa" w:w="122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Россия</w:t>
            </w:r>
          </w:p>
        </w:tc>
        <w:tc>
          <w:tcPr>
            <w:tcW w:type="dxa" w:w="122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Китай</w:t>
            </w:r>
          </w:p>
        </w:tc>
        <w:tc>
          <w:tcPr>
            <w:tcW w:type="dxa" w:w="122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США</w:t>
            </w:r>
          </w:p>
        </w:tc>
      </w:tr>
      <w:tr>
        <w:tc>
          <w:tcPr>
            <w:tcW w:type="dxa" w:w="5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Равные веса: 12,5% каждый смысл</w:t>
            </w:r>
          </w:p>
        </w:tc>
        <w:tc>
          <w:tcPr>
            <w:tcW w:type="dxa" w:w="1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43,6</w:t>
            </w:r>
          </w:p>
        </w:tc>
        <w:tc>
          <w:tcPr>
            <w:tcW w:type="dxa" w:w="1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58,3</w:t>
            </w:r>
          </w:p>
        </w:tc>
        <w:tc>
          <w:tcPr>
            <w:tcW w:type="dxa" w:w="1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65,7</w:t>
            </w:r>
          </w:p>
        </w:tc>
      </w:tr>
      <w:tr>
        <w:tc>
          <w:tcPr>
            <w:tcW w:type="dxa" w:w="5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Суверенитет/безопасность: по 20%; устойчивость 15%</w:t>
            </w:r>
          </w:p>
        </w:tc>
        <w:tc>
          <w:tcPr>
            <w:tcW w:type="dxa" w:w="1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47,8</w:t>
            </w:r>
          </w:p>
        </w:tc>
        <w:tc>
          <w:tcPr>
            <w:tcW w:type="dxa" w:w="1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63,0</w:t>
            </w:r>
          </w:p>
        </w:tc>
        <w:tc>
          <w:tcPr>
            <w:tcW w:type="dxa" w:w="1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64,7</w:t>
            </w:r>
          </w:p>
        </w:tc>
      </w:tr>
      <w:tr>
        <w:tc>
          <w:tcPr>
            <w:tcW w:type="dxa" w:w="5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Человек/развитие: воспроизводство и развитие по 20%</w:t>
            </w:r>
          </w:p>
        </w:tc>
        <w:tc>
          <w:tcPr>
            <w:tcW w:type="dxa" w:w="1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43,0</w:t>
            </w:r>
          </w:p>
        </w:tc>
        <w:tc>
          <w:tcPr>
            <w:tcW w:type="dxa" w:w="1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53,5</w:t>
            </w:r>
          </w:p>
        </w:tc>
        <w:tc>
          <w:tcPr>
            <w:tcW w:type="dxa" w:w="1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68,1</w:t>
            </w:r>
          </w:p>
        </w:tc>
      </w:tr>
      <w:tr>
        <w:tc>
          <w:tcPr>
            <w:tcW w:type="dxa" w:w="5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Устойчивое будущее: общие блага 20%; опционность и устойчивость по 15%</w:t>
            </w:r>
          </w:p>
        </w:tc>
        <w:tc>
          <w:tcPr>
            <w:tcW w:type="dxa" w:w="1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42,0</w:t>
            </w:r>
          </w:p>
        </w:tc>
        <w:tc>
          <w:tcPr>
            <w:tcW w:type="dxa" w:w="1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57,9</w:t>
            </w:r>
          </w:p>
        </w:tc>
        <w:tc>
          <w:tcPr>
            <w:tcW w:type="dxa" w:w="1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64,5</w:t>
            </w:r>
          </w:p>
        </w:tc>
      </w:tr>
      <w:tr>
        <w:tc>
          <w:tcPr>
            <w:tcW w:type="dxa" w:w="5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Диапазон при ×0,5/×2 веса одного смысла</w:t>
            </w:r>
          </w:p>
        </w:tc>
        <w:tc>
          <w:tcPr>
            <w:tcW w:type="dxa" w:w="1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41,6–47,0</w:t>
            </w:r>
          </w:p>
        </w:tc>
        <w:tc>
          <w:tcPr>
            <w:tcW w:type="dxa" w:w="1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56,0–60,7</w:t>
            </w:r>
          </w:p>
        </w:tc>
        <w:tc>
          <w:tcPr>
            <w:tcW w:type="dxa" w:w="1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63,2–67,6</w:t>
            </w:r>
          </w:p>
        </w:tc>
      </w:tr>
    </w:tbl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WGI — perception-based внешние прокси; они не измеряют общественное одобрение и не исчерпывают легитимность.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Годы исходных WDI различаются: убийства, возобновляемая электроэнергия и manufacturing share имеют запаздывание.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Пороговые шкалы задают нормативный выбор. Якоря и веса надо утверждать заранее и публиковать вместе с результатом.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Один сильный показатель не должен полностью компенсировать провал: поэтому кроме среднего публикуется минимум и геометрический индекс.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Причинность не приписывается без контрольной группы, временного разрыва, инструмента или оценённой эластичности.</w:t>
      </w:r>
    </w:p>
    <w:p>
      <w:pPr>
        <w:pStyle w:val="Heading1"/>
      </w:pPr>
      <w:r>
        <w:t>Сквозной паспорт проекта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4300"/>
        <w:gridCol w:w="3260"/>
      </w:tblGrid>
      <w:tr>
        <w:trPr>
          <w:tblHeader w:val="true"/>
          <w:tblHeader w:val="true"/>
        </w:trPr>
        <w:tc>
          <w:tcPr>
            <w:tcW w:type="dxa" w:w="1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Поле</w:t>
            </w:r>
          </w:p>
        </w:tc>
        <w:tc>
          <w:tcPr>
            <w:tcW w:type="dxa" w:w="4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Вопрос</w:t>
            </w:r>
          </w:p>
        </w:tc>
        <w:tc>
          <w:tcPr>
            <w:tcW w:type="dxa" w:w="3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Минимальный стандарт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Проблема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Какой дефицит или риск существует без проекта?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Базовая линия и контрфактический сценарий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Фискальный вход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Кто и сколько платит?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Валюта, год, бюджетный периметр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Финансовый риск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Какие гарантии, активы и обязательства возникают?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Срок, ставка, вероятность потерь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Отраслевой импульс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Какие элементы Δy и A изменяются?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Сектор, импортная доля, поставщики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Ведомственный владелец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Кто отвечает за основной результат?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Один primary owner; соисполнители отдельно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Физический выпуск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Что создано или оказано?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т, км, МВт, операции, обученные люди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Outcome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Что реально стало лучше?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Время, цена, качество, доступность, надёжность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Смысл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Какую общественную способность усиливает outcome?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Один первичный и до двух вторичных смыслов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Внешний эффект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Что переносится на другие отрасли, страны или поколения?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CO₂e, здоровье, импорт, риск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Additionality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Что не произошло бы без координации?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Сравнение с автономным сценарием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Верификатор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Кто подтверждает KPI независимо от владельца?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Статистика, аудит, академическая репликация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Stop rule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При каком отклонении проект меняется или останавливается?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Порог, срок исправления, обратимый выход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3B7D5B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7F2EB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3B7D5B"/>
                <w:sz w:val="22"/>
              </w:rPr>
              <w:t>АНТИ-DOUBLE-COUNT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Один KPI имеет одного первичного владельца, но может иметь несколько соисполнителей. Экономический эффект, предотвращённый ущерб и смысловой выход публикуются раздельно.</w:t>
            </w:r>
          </w:p>
        </w:tc>
      </w:tr>
    </w:tbl>
    <w:p>
      <w:pPr>
        <w:pStyle w:val="Heading1"/>
      </w:pPr>
      <w:r>
        <w:t>Портфель первых пилотов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2500"/>
        <w:gridCol w:w="2500"/>
        <w:gridCol w:w="2260"/>
      </w:tblGrid>
      <w:tr>
        <w:trPr>
          <w:tblHeader w:val="true"/>
          <w:tblHeader w:val="true"/>
        </w:trPr>
        <w:tc>
          <w:tcPr>
            <w:tcW w:type="dxa" w:w="2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Пилот</w:t>
            </w:r>
          </w:p>
        </w:tc>
        <w:tc>
          <w:tcPr>
            <w:tcW w:type="dxa" w:w="2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Участники</w:t>
            </w:r>
          </w:p>
        </w:tc>
        <w:tc>
          <w:tcPr>
            <w:tcW w:type="dxa" w:w="2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Продукт</w:t>
            </w:r>
          </w:p>
        </w:tc>
        <w:tc>
          <w:tcPr>
            <w:tcW w:type="dxa" w:w="2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KPI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Совместимые таблицы supply-use / input-output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Статистические службы, OECD/UN, академии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Единые коды товаров, импорт, добавленная стоимость, углерод</w:t>
            </w:r>
          </w:p>
        </w:tc>
        <w:tc>
          <w:tcPr>
            <w:tcW w:type="dxa" w:w="2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30×30 матрица воспроизводится независимой командой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Надёжность энергосетей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Энергетические регуляторы, системные операторы, лаборатории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Протокол стресс-теста и обмен обезличенными параметрами</w:t>
            </w:r>
          </w:p>
        </w:tc>
        <w:tc>
          <w:tcPr>
            <w:tcW w:type="dxa" w:w="2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Снижение RTO и аварийного недоотпуска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Метан и промышленная экология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Экологические ведомства, космические и научные организации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Спутниковая верификация и единые коэффициенты</w:t>
            </w:r>
          </w:p>
        </w:tc>
        <w:tc>
          <w:tcPr>
            <w:tcW w:type="dxa" w:w="2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Тонны подтверждённого предотвращённого CO₂e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Эпидемиологическое раннее предупреждение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Санитарные ведомства, CDC-подобные службы, академии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Образцы, метаданные, резервные мощности</w:t>
            </w:r>
          </w:p>
        </w:tc>
        <w:tc>
          <w:tcPr>
            <w:tcW w:type="dxa" w:w="2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Время от сигнала до подтверждения и реагирования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Критическая логистика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Транспорт, таможни, порты, стандартизация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Совместимые документы и аварийные маршруты</w:t>
            </w:r>
          </w:p>
        </w:tc>
        <w:tc>
          <w:tcPr>
            <w:tcW w:type="dxa" w:w="2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Время и стоимость восстановления поставки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Открытые научные стандарты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РАН, CAS, National Academies, NIST/Росстандарт/SAMR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Референсные материалы, метрология, репликация</w:t>
            </w:r>
          </w:p>
        </w:tc>
        <w:tc>
          <w:tcPr>
            <w:tcW w:type="dxa" w:w="2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Число воспроизводимых методов и внедрённых стандартов</w:t>
            </w:r>
          </w:p>
        </w:tc>
      </w:tr>
    </w:tbl>
    <w:p>
      <w:pPr>
        <w:keepNext w:val="0"/>
        <w:spacing w:before="0" w:after="120" w:line="264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Архитектура пилота: ограниченный периметр → общая базовая линия → независимая верификация → 12–18 месяцев → решение «масштабировать / изменить / остановить». Политическая унификация, единый бюджет и критическая монозависимость не требуются.</w:t>
      </w:r>
    </w:p>
    <w:p>
      <w:pPr>
        <w:pStyle w:val="Heading1"/>
      </w:pPr>
      <w:r>
        <w:t>Выводы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01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Министерства — не отрасли. Они меняют конечный спрос, правила, стоимость капитала, стандарты, инфраструктуру и способность отраслей взаимодействовать.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F4D78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1F4D78"/>
                <w:sz w:val="22"/>
              </w:rPr>
              <w:t>02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Бюджетный баланс без кредитного, физического, межотраслевого и смыслового слоёв систематически переоценивает освоение средств и недооценивает горизонтальные эффекты.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03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Россия: крупнейший прямой федеральный приоритет — безопасность; главный гражданский вопрос — конверсия знаний и тяжёлых компетенций в серийный спрос.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F4D78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1F4D78"/>
                <w:sz w:val="22"/>
              </w:rPr>
              <w:t>04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Китай: государственный бюджет сочетается с крупными банковскими, региональными и корпоративными потоками; главный структурный вызов — демографическое и внутреннее воспроизводство.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05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США: федеральные outlays доминируются социальным страхованием, здравоохранением и процентами; небольшой бюджет стандарта или статистики может воздействовать на триллионы долларов.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F4D78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1F4D78"/>
                <w:sz w:val="22"/>
              </w:rPr>
              <w:t>06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В физическом балансе приоритетны машины, материалы и строительство; в системном — данные, финансы, ПО, метрология и стандарты.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07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Академии наук полезны не числом публикаций, а скоростью проверяемого перехода «знание → стандарт/технология → внедрение → снижение коэффициента затрат или риска».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F4D78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1F4D78"/>
                <w:sz w:val="22"/>
              </w:rPr>
              <w:t>08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Смысловой счёт заставляет отвечать, какую способность общества создаёт программа, и не позволяет называть расход результатом.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09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Центральный сценарий синхронизации даёт +4,1 пункта смыслового индекса; он выгоден, пока средние координационные потери ниже 4,1 пункта.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F4D78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1F4D78"/>
                <w:sz w:val="22"/>
              </w:rPr>
              <w:t>10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Рабочая синхронизация — модульная, проверяемая, обратимая и открытая для третьих сторон по тем же правилам. Её ядро — совместимые данные и независимая верификация.</w:t>
            </w:r>
          </w:p>
        </w:tc>
      </w:tr>
    </w:tbl>
    <w:p>
      <w:pPr>
        <w:pStyle w:val="Heading1"/>
      </w:pPr>
      <w:r>
        <w:t>Приложение A. Исходные показатели смысловой модели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800"/>
        <w:gridCol w:w="1520"/>
        <w:gridCol w:w="1520"/>
        <w:gridCol w:w="1520"/>
      </w:tblGrid>
      <w:tr>
        <w:trPr>
          <w:tblHeader w:val="true"/>
          <w:tblHeader w:val="true"/>
        </w:trPr>
        <w:tc>
          <w:tcPr>
            <w:tcW w:type="dxa" w:w="4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Показатель</w:t>
            </w:r>
          </w:p>
        </w:tc>
        <w:tc>
          <w:tcPr>
            <w:tcW w:type="dxa" w:w="152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Россия</w:t>
            </w:r>
          </w:p>
        </w:tc>
        <w:tc>
          <w:tcPr>
            <w:tcW w:type="dxa" w:w="152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Китай</w:t>
            </w:r>
          </w:p>
        </w:tc>
        <w:tc>
          <w:tcPr>
            <w:tcW w:type="dxa" w:w="152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США</w:t>
            </w:r>
          </w:p>
        </w:tc>
      </w:tr>
      <w:tr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Gross savings, % ВВП (2024)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30,84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42,72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16,60</w:t>
            </w:r>
          </w:p>
        </w:tc>
      </w:tr>
      <w:tr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Net energy imports, % energy use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−75,14 (2022)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23,96 (2023)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−9,00 (2023)</w:t>
            </w:r>
          </w:p>
        </w:tc>
      </w:tr>
      <w:tr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Manufacturing VA, % ВВП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13,26 (2024)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24,84 (2024)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10,53 (2021)</w:t>
            </w:r>
          </w:p>
        </w:tc>
      </w:tr>
      <w:tr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Life expectancy, лет (2024)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73,44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78,02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78,89</w:t>
            </w:r>
          </w:p>
        </w:tc>
      </w:tr>
      <w:tr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Fertility (2024)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1,418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1,013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1,6265</w:t>
            </w:r>
          </w:p>
        </w:tc>
      </w:tr>
      <w:tr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Employment / population, % (2024)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60,32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61,93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59,47</w:t>
            </w:r>
          </w:p>
        </w:tc>
      </w:tr>
      <w:tr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НИОКР / ВВП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0,94 (2024)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2,58 (2023)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3,45 (2023)</w:t>
            </w:r>
          </w:p>
        </w:tc>
      </w:tr>
      <w:tr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High-tech exports, % manufactured exports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9,73 (2021)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26,28 (2024)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24,32 (2024)</w:t>
            </w:r>
          </w:p>
        </w:tc>
      </w:tr>
      <w:tr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Internet users, % (2024)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94,36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92,00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94,69</w:t>
            </w:r>
          </w:p>
        </w:tc>
      </w:tr>
      <w:tr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Renewable electricity, % (2021)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19,15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28,43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20,27</w:t>
            </w:r>
          </w:p>
        </w:tc>
      </w:tr>
      <w:tr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GDP per capita PPP, const. intl$ (2024)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41 891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23 841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75 698</w:t>
            </w:r>
          </w:p>
        </w:tc>
      </w:tr>
      <w:tr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Intentional homicides per 100k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6,77 (2021)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0,50 (2020)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5,76 (2023)</w:t>
            </w:r>
          </w:p>
        </w:tc>
      </w:tr>
      <w:tr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CO₂e per capita, t (2024)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13,98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9,32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13,62</w:t>
            </w:r>
          </w:p>
        </w:tc>
      </w:tr>
      <w:tr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Scientific articles per million (2023)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594,9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661,2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1 279,4</w:t>
            </w:r>
          </w:p>
        </w:tc>
      </w:tr>
      <w:tr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WGI Government Effectiveness (2024)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45,1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68,8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77,8</w:t>
            </w:r>
          </w:p>
        </w:tc>
      </w:tr>
      <w:tr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WGI Rule of Law (2024)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37,1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47,0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73,5</w:t>
            </w:r>
          </w:p>
        </w:tc>
      </w:tr>
      <w:tr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WGI Control of Corruption (2024)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29,8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49,6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69,9</w:t>
            </w:r>
          </w:p>
        </w:tc>
      </w:tr>
      <w:tr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WGI Voice &amp; Accountability (2024)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32,0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27,9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72,4</w:t>
            </w:r>
          </w:p>
        </w:tc>
      </w:tr>
      <w:tr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WGI Political Stability (2024)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50,5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63,3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64,3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Источники: World Development Indicators и Worldwide Governance Indicators. Значения округлены; годы указаны в строках.</w:t>
      </w:r>
    </w:p>
    <w:p>
      <w:pPr>
        <w:pStyle w:val="Heading1"/>
      </w:pPr>
      <w:r>
        <w:t>Приложение B. Формулы смыслового счёта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100"/>
        <w:gridCol w:w="5260"/>
      </w:tblGrid>
      <w:tr>
        <w:trPr>
          <w:tblHeader w:val="true"/>
          <w:tblHeader w:val="true"/>
        </w:trPr>
        <w:tc>
          <w:tcPr>
            <w:tcW w:type="dxa" w:w="4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Показатель</w:t>
            </w:r>
          </w:p>
        </w:tc>
        <w:tc>
          <w:tcPr>
            <w:tcW w:type="dxa" w:w="5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Формула</w:t>
            </w:r>
          </w:p>
        </w:tc>
      </w:tr>
      <w:tr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Внутренняя добавленная стоимость блока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Xc,b = vc′ · Lc · fc,b</w:t>
            </w:r>
          </w:p>
        </w:tc>
      </w:tr>
      <w:tr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Атрибуционный поток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Cc,b,m = Xc,b · pc,b · gb,m;  Σm gb,m = 1</w:t>
            </w:r>
          </w:p>
        </w:tc>
      </w:tr>
      <w:tr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Смысловой KPI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Sc,m = Σj ωm,j · Nm,j(xc,j);  Σj ωm,j = 1</w:t>
            </w:r>
          </w:p>
        </w:tc>
      </w:tr>
      <w:tr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Положительное нормирование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N⁺(x) = 100 · clip((x−L)/(U−L), 0, 1)</w:t>
            </w:r>
          </w:p>
        </w:tc>
      </w:tr>
      <w:tr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Обратное нормирование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N⁻(x) = 100 · clip((U−x)/(U−L), 0, 1)</w:t>
            </w:r>
          </w:p>
        </w:tc>
      </w:tr>
      <w:tr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Причинный вклад при известной эластичности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ΔŜc,m = Σb gb,m · εm,b · Δln Xc,b</w:t>
            </w:r>
          </w:p>
        </w:tc>
      </w:tr>
      <w:tr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Синхронизация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Tm(ρ) = S̄m + ρ(maxc Sc,m − S̄m) − dm</w:t>
            </w:r>
          </w:p>
        </w:tc>
      </w:tr>
      <w:tr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Индекс равновесия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Ec = 0,7 · exp(Σm βm ln(Sc,m+ε)) + 0,3 · minm Sc,m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Атрибуция не является денежной оценкой благосостояния и не складывается с ВВП.</w:t>
      </w:r>
    </w:p>
    <w:p>
      <w:pPr>
        <w:pStyle w:val="Heading1"/>
      </w:pPr>
      <w:r>
        <w:t>Приложение C. Источники</w:t>
      </w:r>
    </w:p>
    <w:p>
      <w:pPr>
        <w:keepNext w:val="0"/>
        <w:spacing w:before="0" w:after="120" w:line="264" w:lineRule="auto"/>
      </w:pPr>
      <w:r>
        <w:rPr>
          <w:rFonts w:ascii="Calibri" w:hAnsi="Calibri" w:eastAsia="Calibri"/>
          <w:b w:val="0"/>
          <w:i w:val="0"/>
          <w:color w:val="5B6573"/>
          <w:sz w:val="18"/>
        </w:rPr>
        <w:t>Основные первичные и методические источники. Дата доступа: 27 августа 2026 года.</w:t>
      </w:r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[M01] </w:t>
      </w:r>
      <w:hyperlink r:id="rId19">
        <w:r>
          <w:rPr>
            <w:color w:val="2E74B5"/>
            <w:u w:val="single"/>
            <w:rFonts w:ascii="Calibri" w:hAnsi="Calibri"/>
          </w:rPr>
          <w:t>OECD Inter-Country Input-Output Tables, edition 2025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[M02] </w:t>
      </w:r>
      <w:hyperlink r:id="rId20">
        <w:r>
          <w:rPr>
            <w:color w:val="2E74B5"/>
            <w:u w:val="single"/>
            <w:rFonts w:ascii="Calibri" w:hAnsi="Calibri"/>
          </w:rPr>
          <w:t>OECD harmonised national Input-Output Tables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[RU01] </w:t>
      </w:r>
      <w:hyperlink r:id="rId21">
        <w:r>
          <w:rPr>
            <w:color w:val="2E74B5"/>
            <w:u w:val="single"/>
            <w:rFonts w:ascii="Calibri" w:hAnsi="Calibri"/>
          </w:rPr>
          <w:t>Росстат: национальные счета и таблицы «затраты—выпуск»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[RU02] </w:t>
      </w:r>
      <w:hyperlink r:id="rId22">
        <w:r>
          <w:rPr>
            <w:color w:val="2E74B5"/>
            <w:u w:val="single"/>
            <w:rFonts w:ascii="Calibri" w:hAnsi="Calibri"/>
          </w:rPr>
          <w:t>Росстат: базовые таблицы «затраты—выпуск» за 2021 год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[RU03] </w:t>
      </w:r>
      <w:hyperlink r:id="rId23">
        <w:r>
          <w:rPr>
            <w:color w:val="2E74B5"/>
            <w:u w:val="single"/>
            <w:rFonts w:ascii="Calibri" w:hAnsi="Calibri"/>
          </w:rPr>
          <w:t>Росстат: пересмотренная оценка ВВП 2024 года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[RU04] </w:t>
      </w:r>
      <w:hyperlink r:id="rId24">
        <w:r>
          <w:rPr>
            <w:color w:val="2E74B5"/>
            <w:u w:val="single"/>
            <w:rFonts w:ascii="Calibri" w:hAnsi="Calibri"/>
          </w:rPr>
          <w:t>Минфин России: предварительное исполнение федерального бюджета за 2024 год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[RU05] </w:t>
      </w:r>
      <w:hyperlink r:id="rId25">
        <w:r>
          <w:rPr>
            <w:color w:val="2E74B5"/>
            <w:u w:val="single"/>
            <w:rFonts w:ascii="Calibri" w:hAnsi="Calibri"/>
          </w:rPr>
          <w:t>Правительство России: федеральный бюджет 2026–2028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[RU06] </w:t>
      </w:r>
      <w:hyperlink r:id="rId26">
        <w:r>
          <w:rPr>
            <w:color w:val="2E74B5"/>
            <w:u w:val="single"/>
            <w:rFonts w:ascii="Calibri" w:hAnsi="Calibri"/>
          </w:rPr>
          <w:t>Минпросвещения России: расходы госпрограммы «Развитие образования»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[RU07] </w:t>
      </w:r>
      <w:hyperlink r:id="rId27">
        <w:r>
          <w:rPr>
            <w:color w:val="2E74B5"/>
            <w:u w:val="single"/>
            <w:rFonts w:ascii="Calibri" w:hAnsi="Calibri"/>
          </w:rPr>
          <w:t>Минобрнауки России: молодёжные лаборатории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[RU08] </w:t>
      </w:r>
      <w:hyperlink r:id="rId28">
        <w:r>
          <w:rPr>
            <w:color w:val="2E74B5"/>
            <w:u w:val="single"/>
            <w:rFonts w:ascii="Calibri" w:hAnsi="Calibri"/>
          </w:rPr>
          <w:t>Минпромторг России: результаты обрабатывающей промышленности 2024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[RU09] </w:t>
      </w:r>
      <w:hyperlink r:id="rId29">
        <w:r>
          <w:rPr>
            <w:color w:val="2E74B5"/>
            <w:u w:val="single"/>
            <w:rFonts w:ascii="Calibri" w:hAnsi="Calibri"/>
          </w:rPr>
          <w:t>Минэнерго России: схема и программа развития электроэнергетических систем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[RU10] </w:t>
      </w:r>
      <w:hyperlink r:id="rId30">
        <w:r>
          <w:rPr>
            <w:color w:val="2E74B5"/>
            <w:u w:val="single"/>
            <w:rFonts w:ascii="Calibri" w:hAnsi="Calibri"/>
          </w:rPr>
          <w:t>Минтранс России: доклад о результатах 2024 года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[RU11] </w:t>
      </w:r>
      <w:hyperlink r:id="rId31">
        <w:r>
          <w:rPr>
            <w:color w:val="2E74B5"/>
            <w:u w:val="single"/>
            <w:rFonts w:ascii="Calibri" w:hAnsi="Calibri"/>
          </w:rPr>
          <w:t>Минсельхоз России: итоги и приоритеты АПК 2024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[RU12] </w:t>
      </w:r>
      <w:hyperlink r:id="rId32">
        <w:r>
          <w:rPr>
            <w:color w:val="2E74B5"/>
            <w:u w:val="single"/>
            <w:rFonts w:ascii="Calibri" w:hAnsi="Calibri"/>
          </w:rPr>
          <w:t>Закон о бюджете ФОМС на 2026 год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[RU13] </w:t>
      </w:r>
      <w:hyperlink r:id="rId33">
        <w:r>
          <w:rPr>
            <w:color w:val="2E74B5"/>
            <w:u w:val="single"/>
            <w:rFonts w:ascii="Calibri" w:hAnsi="Calibri"/>
          </w:rPr>
          <w:t>Госдума: раздел «Национальная оборона» бюджета 2026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[RU14] </w:t>
      </w:r>
      <w:hyperlink r:id="rId34">
        <w:r>
          <w:rPr>
            <w:color w:val="2E74B5"/>
            <w:u w:val="single"/>
            <w:rFonts w:ascii="Calibri" w:hAnsi="Calibri"/>
          </w:rPr>
          <w:t>Госдума: расходы на охрану окружающей среды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[RU15] </w:t>
      </w:r>
      <w:hyperlink r:id="rId35">
        <w:r>
          <w:rPr>
            <w:color w:val="2E74B5"/>
            <w:u w:val="single"/>
            <w:rFonts w:ascii="Calibri" w:hAnsi="Calibri"/>
          </w:rPr>
          <w:t>Минцифры России: национальный проект «Экономика данных»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[CN01] </w:t>
      </w:r>
      <w:hyperlink r:id="rId36">
        <w:r>
          <w:rPr>
            <w:color w:val="2E74B5"/>
            <w:u w:val="single"/>
            <w:rFonts w:ascii="Calibri" w:hAnsi="Calibri"/>
          </w:rPr>
          <w:t>NBS China: Statistical Communiqué 2025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[CN02] </w:t>
      </w:r>
      <w:hyperlink r:id="rId37">
        <w:r>
          <w:rPr>
            <w:color w:val="2E74B5"/>
            <w:u w:val="single"/>
            <w:rFonts w:ascii="Calibri" w:hAnsi="Calibri"/>
          </w:rPr>
          <w:t>NBS China Statistical Yearbook 2025: Input-Output Tables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[CN03] </w:t>
      </w:r>
      <w:hyperlink r:id="rId38">
        <w:r>
          <w:rPr>
            <w:color w:val="2E74B5"/>
            <w:u w:val="single"/>
            <w:rFonts w:ascii="Calibri" w:hAnsi="Calibri"/>
          </w:rPr>
          <w:t>Ministry of Finance China: исполнение бюджета 2025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[CN04] </w:t>
      </w:r>
      <w:hyperlink r:id="rId39">
        <w:r>
          <w:rPr>
            <w:color w:val="2E74B5"/>
            <w:u w:val="single"/>
            <w:rFonts w:ascii="Calibri" w:hAnsi="Calibri"/>
          </w:rPr>
          <w:t>Госсовет КНР: оборонный бюджет 2025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[CN05] </w:t>
      </w:r>
      <w:hyperlink r:id="rId40">
        <w:r>
          <w:rPr>
            <w:color w:val="2E74B5"/>
            <w:u w:val="single"/>
            <w:rFonts w:ascii="Calibri" w:hAnsi="Calibri"/>
          </w:rPr>
          <w:t>Chinese Academy of Sciences: официальный профиль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[US01] </w:t>
      </w:r>
      <w:hyperlink r:id="rId41">
        <w:r>
          <w:rPr>
            <w:color w:val="2E74B5"/>
            <w:u w:val="single"/>
            <w:rFonts w:ascii="Calibri" w:hAnsi="Calibri"/>
          </w:rPr>
          <w:t>OMB: Historical Tables, Budget of the U.S. Government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[US02] </w:t>
      </w:r>
      <w:hyperlink r:id="rId42">
        <w:r>
          <w:rPr>
            <w:color w:val="2E74B5"/>
            <w:u w:val="single"/>
            <w:rFonts w:ascii="Calibri" w:hAnsi="Calibri"/>
          </w:rPr>
          <w:t>BEA: Input-Output Accounts Data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[US03] </w:t>
      </w:r>
      <w:hyperlink r:id="rId43">
        <w:r>
          <w:rPr>
            <w:color w:val="2E74B5"/>
            <w:u w:val="single"/>
            <w:rFonts w:ascii="Calibri" w:hAnsi="Calibri"/>
          </w:rPr>
          <w:t>BEA: Interactive Input-Output Accounts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[US04] </w:t>
      </w:r>
      <w:hyperlink r:id="rId44">
        <w:r>
          <w:rPr>
            <w:color w:val="2E74B5"/>
            <w:u w:val="single"/>
            <w:rFonts w:ascii="Calibri" w:hAnsi="Calibri"/>
          </w:rPr>
          <w:t>Federal Reserve: Monetary Policy Report, July 2026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[US05] </w:t>
      </w:r>
      <w:hyperlink r:id="rId45">
        <w:r>
          <w:rPr>
            <w:color w:val="2E74B5"/>
            <w:u w:val="single"/>
            <w:rFonts w:ascii="Calibri" w:hAnsi="Calibri"/>
          </w:rPr>
          <w:t>EIA: U.S. energy production reached record high in 2024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[US06] </w:t>
      </w:r>
      <w:hyperlink r:id="rId46">
        <w:r>
          <w:rPr>
            <w:color w:val="2E74B5"/>
            <w:u w:val="single"/>
            <w:rFonts w:ascii="Calibri" w:hAnsi="Calibri"/>
          </w:rPr>
          <w:t>FHWA: Highway Statistics 2024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[US07] </w:t>
      </w:r>
      <w:hyperlink r:id="rId47">
        <w:r>
          <w:rPr>
            <w:color w:val="2E74B5"/>
            <w:u w:val="single"/>
            <w:rFonts w:ascii="Calibri" w:hAnsi="Calibri"/>
          </w:rPr>
          <w:t>CMS: National Health Expenditure Fact Sheet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[US08] </w:t>
      </w:r>
      <w:hyperlink r:id="rId48">
        <w:r>
          <w:rPr>
            <w:color w:val="2E74B5"/>
            <w:u w:val="single"/>
            <w:rFonts w:ascii="Calibri" w:hAnsi="Calibri"/>
          </w:rPr>
          <w:t>EPA: Inventory of U.S. Greenhouse Gas Emissions and Sinks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[US09] </w:t>
      </w:r>
      <w:hyperlink r:id="rId49">
        <w:r>
          <w:rPr>
            <w:color w:val="2E74B5"/>
            <w:u w:val="single"/>
            <w:rFonts w:ascii="Calibri" w:hAnsi="Calibri"/>
          </w:rPr>
          <w:t>GAO: Federal IT spending and legacy systems, FY2024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[WB01] </w:t>
      </w:r>
      <w:hyperlink r:id="rId50">
        <w:r>
          <w:rPr>
            <w:color w:val="2E74B5"/>
            <w:u w:val="single"/>
            <w:rFonts w:ascii="Calibri" w:hAnsi="Calibri"/>
          </w:rPr>
          <w:t>World Bank: World Development Indicators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[WB02] </w:t>
      </w:r>
      <w:hyperlink r:id="rId51">
        <w:r>
          <w:rPr>
            <w:color w:val="2E74B5"/>
            <w:u w:val="single"/>
            <w:rFonts w:ascii="Calibri" w:hAnsi="Calibri"/>
          </w:rPr>
          <w:t>World Bank: Worldwide Governance Indicators</w:t>
        </w:r>
      </w:hyperlink>
    </w:p>
    <w:p>
      <w:pPr>
        <w:spacing w:after="40" w:line="240" w:lineRule="auto"/>
      </w:pPr>
      <w:r>
        <w:rPr>
          <w:rFonts w:ascii="Calibri" w:hAnsi="Calibri" w:eastAsia="Calibri"/>
          <w:b/>
          <w:color w:val="17365D"/>
          <w:sz w:val="16"/>
        </w:rPr>
        <w:t xml:space="preserve">[UN01] </w:t>
      </w:r>
      <w:hyperlink r:id="rId52">
        <w:r>
          <w:rPr>
            <w:color w:val="2E74B5"/>
            <w:u w:val="single"/>
            <w:rFonts w:ascii="Calibri" w:hAnsi="Calibri"/>
          </w:rPr>
          <w:t>UN Statistics: handbook on Supply-Use and Input-Output Tables</w:t>
        </w:r>
      </w:hyperlink>
    </w:p>
    <w:p>
      <w:pPr>
        <w:pStyle w:val="Heading1"/>
      </w:pPr>
      <w:r>
        <w:t>Приложение D. Термины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6960"/>
      </w:tblGrid>
      <w:tr>
        <w:trPr>
          <w:tblHeader w:val="true"/>
          <w:tblHeader w:val="true"/>
        </w:trPr>
        <w:tc>
          <w:tcPr>
            <w:tcW w:type="dxa" w:w="24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Термин</w:t>
            </w:r>
          </w:p>
        </w:tc>
        <w:tc>
          <w:tcPr>
            <w:tcW w:type="dxa" w:w="69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Определение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Supply-Use Table</w:t>
            </w:r>
          </w:p>
        </w:tc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Таблица ресурсов и использования: производство, импорт и использование продуктов отраслями и конечными потребителями.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Input-Output Table</w:t>
            </w:r>
          </w:p>
        </w:tc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Симметричная таблица межотраслевых поставок, добавленной стоимости и конечного спроса.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Мультипликатор выпуска</w:t>
            </w:r>
          </w:p>
        </w:tc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Полный валовой выпуск, возникающий во всех отраслях на единицу конечного спроса; содержит повторный счёт промежуточных продуктов.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Добавленная стоимость</w:t>
            </w:r>
          </w:p>
        </w:tc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Выпуск минус промежуточное потребление; корректная база для агрегирования экономического результата.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BL / FL</w:t>
            </w:r>
          </w:p>
        </w:tc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Нормированная обратная и прямая системная связанность отрасли.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Гипотетическое извлечение</w:t>
            </w:r>
          </w:p>
        </w:tc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Сравнение системы с отраслью и без неё для оценки системной критичности.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Спутниковый счёт</w:t>
            </w:r>
          </w:p>
        </w:tc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Расширение национальных счетов для экологии, здоровья, знаний или других результатов без смешения единиц.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Смысловой выход</w:t>
            </w:r>
          </w:p>
        </w:tc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Наблюдаемая общественная способность, возникающая после прохождения ресурсов через институты и отрасли.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Additionality</w:t>
            </w:r>
          </w:p>
        </w:tc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Часть результата, которая не возникла бы без проекта или координации.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Break-even координации</w:t>
            </w:r>
          </w:p>
        </w:tc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Максимальная средняя потеря от согласования, при которой чистый смысловой эффект ещё неотрицателен.</w:t>
            </w:r>
          </w:p>
        </w:tc>
      </w:tr>
    </w:tbl>
    <w:p>
      <w:pPr>
        <w:keepNext w:val="0"/>
        <w:spacing w:before="440" w:after="0" w:line="264" w:lineRule="auto"/>
        <w:jc w:val="center"/>
      </w:pPr>
      <w:r>
        <w:rPr>
          <w:rFonts w:ascii="Calibri" w:hAnsi="Calibri" w:eastAsia="Calibri"/>
          <w:b w:val="0"/>
          <w:i/>
          <w:color w:val="5B6573"/>
          <w:sz w:val="17"/>
        </w:rPr>
        <w:t>Конец документа</w:t>
      </w:r>
    </w:p>
    <w:sectPr w:rsidR="00FC693F" w:rsidRPr="0006063C" w:rsidSect="00034616">
      <w:headerReference w:type="default" r:id="rId11"/>
      <w:footerReference w:type="default" r:id="rId12"/>
      <w:pgSz w:w="12240" w:h="15840"/>
      <w:pgMar w:top="1440" w:right="1440" w:bottom="1440" w:left="1440" w:header="648" w:footer="64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color w:val="5B6573"/>
        <w:sz w:val="16"/>
      </w:rPr>
      <w:t xml:space="preserve">РОССИЯ • КИТАЙ • США  |  </w:t>
    </w:r>
    <w: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 w:eastAsia="Calibri"/>
        <w:color w:val="5B6573"/>
        <w:sz w:val="16"/>
      </w:rPr>
      <w:t xml:space="preserve"> /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color w:val="5B6573"/>
        <w:sz w:val="16"/>
      </w:rPr>
      <w:t xml:space="preserve">РОССИЯ • КИТАЙ • США  |  </w:t>
    </w:r>
    <w: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 w:eastAsia="Calibri"/>
        <w:color w:val="5B6573"/>
        <w:sz w:val="16"/>
      </w:rPr>
      <w:t xml:space="preserve"> /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 w:eastAsia="Calibri"/>
        <w:b/>
        <w:color w:val="5B6573"/>
        <w:sz w:val="16"/>
      </w:rPr>
      <w:t>МИНИСТЕРСТВА • УЧРЕЖДЕНИЯ • МЕЖОТРАСЛЕВОЙ БАЛАНС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9"/>
      </w:pPr>
      <w:rPr>
        <w:rFonts w:ascii="Symbol" w:hAnsi="Symbol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  <w:jc w:val="left"/>
    </w:pPr>
    <w:rPr>
      <w:rFonts w:ascii="Calibri" w:hAnsi="Calibri"/>
      <w:color w:val="24344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pageBreakBefore/>
      <w:spacing w:before="320" w:after="160"/>
      <w:jc w:val="left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jc w:val="left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b/>
      <w:color w:val="17365D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hyperlink" Target="https://www.oecd.org/en/data/datasets/inter-country-input-output-tables.html" TargetMode="External"/><Relationship Id="rId20" Type="http://schemas.openxmlformats.org/officeDocument/2006/relationships/hyperlink" Target="https://www.oecd.org/en/data/datasets/input-output-tables.html" TargetMode="External"/><Relationship Id="rId21" Type="http://schemas.openxmlformats.org/officeDocument/2006/relationships/hyperlink" Target="https://rosstat.gov.ru/statistics/accounts" TargetMode="External"/><Relationship Id="rId22" Type="http://schemas.openxmlformats.org/officeDocument/2006/relationships/hyperlink" Target="https://rosstat.gov.ru/folder/313/document/254127" TargetMode="External"/><Relationship Id="rId23" Type="http://schemas.openxmlformats.org/officeDocument/2006/relationships/hyperlink" Target="https://rosstat.gov.ru/folder/313/document/277380" TargetMode="External"/><Relationship Id="rId24" Type="http://schemas.openxmlformats.org/officeDocument/2006/relationships/hyperlink" Target="https://minfin.gov.ru/ru/press-center/?id_4=39570-predvaritelnaya_otsenka_ispolneniya_federalnogo_byudzheta_za_2024_god" TargetMode="External"/><Relationship Id="rId25" Type="http://schemas.openxmlformats.org/officeDocument/2006/relationships/hyperlink" Target="https://government.ru/news/56347/" TargetMode="External"/><Relationship Id="rId26" Type="http://schemas.openxmlformats.org/officeDocument/2006/relationships/hyperlink" Target="https://edu.gov.ru/press/8947/sergey-kravcov-predstavil-v-gosudarstvennoy-dume-proekt-rashodov-federalnogo-byudzheta-po-gosudarstvennoy-programme-razvitie-obrazovaniya-na-2025-2027-gody/" TargetMode="External"/><Relationship Id="rId27" Type="http://schemas.openxmlformats.org/officeDocument/2006/relationships/hyperlink" Target="https://www.minobrnauki.gov.ru/press-center/news/novosti-ministerstva/91076/" TargetMode="External"/><Relationship Id="rId28" Type="http://schemas.openxmlformats.org/officeDocument/2006/relationships/hyperlink" Target="https://minpromtorg.gov.ru/press-centre/news/952c9c91-74a5-46ac-8ba5-2d0c85120c5b" TargetMode="External"/><Relationship Id="rId29" Type="http://schemas.openxmlformats.org/officeDocument/2006/relationships/hyperlink" Target="https://minenergo.gov.ru/upload/iblock/808/Prikaz-ME-ot-29.11.2024-_2328-ob-utverzhdenii-SiPR-EES-na-2025_2030-PUBLIKATSIYA.pdf" TargetMode="External"/><Relationship Id="rId30" Type="http://schemas.openxmlformats.org/officeDocument/2006/relationships/hyperlink" Target="https://mintrans.gov.ru/file/529090" TargetMode="External"/><Relationship Id="rId31" Type="http://schemas.openxmlformats.org/officeDocument/2006/relationships/hyperlink" Target="https://mcx.gov.ru/press-service/news/na-itogovom-zasedanii-kollegii-minselkhoza-obsudili-itogi-i-prioritety-razvitiya-apk-rossii/" TargetMode="External"/><Relationship Id="rId32" Type="http://schemas.openxmlformats.org/officeDocument/2006/relationships/hyperlink" Target="https://publication.pravo.gov.ru/Document/View/0001202511280090" TargetMode="External"/><Relationship Id="rId33" Type="http://schemas.openxmlformats.org/officeDocument/2006/relationships/hyperlink" Target="https://komitet-oboron.duma.gov.ru/novosti/a9265059-877c-4b78-9903-68db68f81dea" TargetMode="External"/><Relationship Id="rId34" Type="http://schemas.openxmlformats.org/officeDocument/2006/relationships/hyperlink" Target="https://komitet-ekol.duma.gov.ru/novosti/66df718d-0597-4468-9d5f-9d5d4d7ee1fb" TargetMode="External"/><Relationship Id="rId35" Type="http://schemas.openxmlformats.org/officeDocument/2006/relationships/hyperlink" Target="https://digital.gov.ru/target/naczionalnyj-proekt-ekonomika-dannyh-i-czifrovaya-transformacziya-gosudarstva" TargetMode="External"/><Relationship Id="rId36" Type="http://schemas.openxmlformats.org/officeDocument/2006/relationships/hyperlink" Target="https://www.stats.gov.cn/english/PressRelease/202602/t20260228_1962661.html" TargetMode="External"/><Relationship Id="rId37" Type="http://schemas.openxmlformats.org/officeDocument/2006/relationships/hyperlink" Target="https://www.stats.gov.cn/sj/ndsj/2025/html/sme03.htm" TargetMode="External"/><Relationship Id="rId38" Type="http://schemas.openxmlformats.org/officeDocument/2006/relationships/hyperlink" Target="https://www.mof.gov.cn/zhengwuxinxi/caizhengxinwen/202603/t20260317_3985436.htm" TargetMode="External"/><Relationship Id="rId39" Type="http://schemas.openxmlformats.org/officeDocument/2006/relationships/hyperlink" Target="https://english.www.gov.cn/news/202503/05/content_WS67c7ba5dc6d0868f4e8f05cf.html" TargetMode="External"/><Relationship Id="rId40" Type="http://schemas.openxmlformats.org/officeDocument/2006/relationships/hyperlink" Target="https://english.cas.cn/about-cas/profile/202512/t20251224_1141928.shtml" TargetMode="External"/><Relationship Id="rId41" Type="http://schemas.openxmlformats.org/officeDocument/2006/relationships/hyperlink" Target="https://www.whitehouse.gov/omb/information-resources/budget/historical-tables/" TargetMode="External"/><Relationship Id="rId42" Type="http://schemas.openxmlformats.org/officeDocument/2006/relationships/hyperlink" Target="https://www.bea.gov/data/industries/input-output-accounts-data" TargetMode="External"/><Relationship Id="rId43" Type="http://schemas.openxmlformats.org/officeDocument/2006/relationships/hyperlink" Target="https://www.bea.gov/itable/input-output" TargetMode="External"/><Relationship Id="rId44" Type="http://schemas.openxmlformats.org/officeDocument/2006/relationships/hyperlink" Target="https://www.federalreserve.gov/monetarypolicy/2026-07-mpr-part2.htm" TargetMode="External"/><Relationship Id="rId45" Type="http://schemas.openxmlformats.org/officeDocument/2006/relationships/hyperlink" Target="https://www.eia.gov/todayinenergy/detail.php?id=65524" TargetMode="External"/><Relationship Id="rId46" Type="http://schemas.openxmlformats.org/officeDocument/2006/relationships/hyperlink" Target="https://www.fhwa.dot.gov/policyinformation/statistics/2024/vm1.cfm" TargetMode="External"/><Relationship Id="rId47" Type="http://schemas.openxmlformats.org/officeDocument/2006/relationships/hyperlink" Target="https://www.cms.gov/data-research/statistics-trends-and-reports/national-health-expenditure-data/nhe-fact-sheet" TargetMode="External"/><Relationship Id="rId48" Type="http://schemas.openxmlformats.org/officeDocument/2006/relationships/hyperlink" Target="https://www.epa.gov/ghgemissions/inventory-us-greenhouse-gas-emissions-and-sinks" TargetMode="External"/><Relationship Id="rId49" Type="http://schemas.openxmlformats.org/officeDocument/2006/relationships/hyperlink" Target="https://www.gao.gov/products/gao-24-106693" TargetMode="External"/><Relationship Id="rId50" Type="http://schemas.openxmlformats.org/officeDocument/2006/relationships/hyperlink" Target="https://data360.worldbank.org/en/dataset/WB_WDI" TargetMode="External"/><Relationship Id="rId51" Type="http://schemas.openxmlformats.org/officeDocument/2006/relationships/hyperlink" Target="https://www.worldbank.org/en/publication/worldwide-governance-indicators" TargetMode="External"/><Relationship Id="rId52" Type="http://schemas.openxmlformats.org/officeDocument/2006/relationships/hyperlink" Target="https://unstats.un.org/unsd/nationalaccount/capdev/resources/details?ResourceID=36&amp;ResourceType=handbo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Министерства, учреждения, межотраслевой баланс и выходы через смыслы</dc:title>
  <dc:subject>Россия, Китай, США; институциональные и межотраслевые балансы; смысловой спутниковый счёт</dc:subject>
  <dc:creator>OpenAI — аналитический материал</dc:creator>
  <cp:keywords>министерства, учреждения, затраты-выпуск, Россия, Китай, США, смыслы, синхронизация</cp:keywords>
  <dc:description>Официальная статистика отделена от авторских нормированных моделей.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