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="283" w:lineRule="auto"/>
        <w:jc w:val="center"/>
      </w:pPr>
      <w:r>
        <w:rPr>
          <w:rFonts w:ascii="Aptos" w:hAnsi="Aptos"/>
          <w:b/>
          <w:i w:val="0"/>
          <w:color w:val="1B7F79"/>
          <w:sz w:val="22"/>
        </w:rPr>
        <w:t>СТРАТЕГИЧЕСКАЯ КОНЦЕПЦИЯ</w:t>
      </w:r>
    </w:p>
    <w:p>
      <w:pPr>
        <w:spacing w:after="100" w:line="283" w:lineRule="auto"/>
        <w:jc w:val="center"/>
      </w:pPr>
      <w:r>
        <w:rPr>
          <w:rFonts w:ascii="Aptos" w:hAnsi="Aptos"/>
          <w:b/>
          <w:i w:val="0"/>
          <w:color w:val="183B56"/>
          <w:sz w:val="62"/>
        </w:rPr>
        <w:t>МЕСТО</w:t>
      </w:r>
    </w:p>
    <w:p>
      <w:pPr>
        <w:spacing w:after="160" w:line="283" w:lineRule="auto"/>
        <w:jc w:val="center"/>
      </w:pPr>
      <w:r>
        <w:rPr>
          <w:rFonts w:ascii="Aptos" w:hAnsi="Aptos"/>
          <w:b/>
          <w:i w:val="0"/>
          <w:color w:val="24323D"/>
          <w:sz w:val="34"/>
        </w:rPr>
        <w:t>Единая система хранения ценностей</w:t>
      </w:r>
    </w:p>
    <w:p>
      <w:pPr>
        <w:spacing w:after="480" w:line="283" w:lineRule="auto"/>
        <w:jc w:val="center"/>
      </w:pPr>
      <w:r>
        <w:rPr>
          <w:rFonts w:ascii="Aptos" w:hAnsi="Aptos"/>
          <w:b w:val="0"/>
          <w:i w:val="0"/>
          <w:color w:val="60717C"/>
          <w:sz w:val="24"/>
        </w:rPr>
        <w:t>От кладовки рядом с домом — к цифровой инфраструктуре управления личными и деловыми активами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DDEF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Главная идея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Клиент арендует не просто квадратные метры. Система определяет ценность объекта, назначает подходящий режим хранения, фиксирует ответственность, управляет доступом и сопровождает весь жизненный цикл вещи.</w:t>
            </w:r>
          </w:p>
        </w:tc>
      </w:tr>
    </w:tbl>
    <w:p>
      <w:pPr>
        <w:spacing w:after="20"/>
      </w:pPr>
    </w:p>
    <w:p>
      <w:pPr>
        <w:spacing w:after="200" w:line="283" w:lineRule="auto"/>
        <w:jc w:val="center"/>
      </w:pPr>
      <w:r>
        <w:rPr>
          <w:rFonts w:ascii="Aptos" w:hAnsi="Aptos"/>
          <w:b/>
          <w:i w:val="0"/>
          <w:color w:val="183B56"/>
          <w:sz w:val="21"/>
        </w:rPr>
        <w:t>B2C + B2B  •  доступ 24/7  •  цифровой паспорт хранения  •  модульная сеть</w:t>
      </w:r>
    </w:p>
    <w:p>
      <w:pPr>
        <w:spacing w:after="0" w:line="283" w:lineRule="auto"/>
        <w:jc w:val="center"/>
      </w:pPr>
      <w:r>
        <w:rPr>
          <w:rFonts w:ascii="Aptos" w:hAnsi="Aptos"/>
          <w:b w:val="0"/>
          <w:i/>
          <w:color w:val="60717C"/>
          <w:sz w:val="17"/>
        </w:rPr>
        <w:t>Основа: исходная бизнес-модель проекта «Место». Рыночные и финансовые показатели из исходника рассматриваются как предварительные проектные ориентиры и требуют актуализации для выбранного города и объекта.</w:t>
      </w:r>
    </w:p>
    <w:p>
      <w:r>
        <w:br w:type="page"/>
      </w:r>
    </w:p>
    <w:p>
      <w:pPr>
        <w:pStyle w:val="Heading1"/>
      </w:pPr>
      <w:r>
        <w:t>1. Резюме системы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«МЕСТО» — распределённая сеть автоматизированных пространств, в которой физическое хранение связано с цифровым учётом, категоризацией ценности, безопасностью, сервисами перемещения и управлением правами доступа.</w:t>
      </w:r>
    </w:p>
    <w:p>
      <w:pPr>
        <w:spacing w:after="120" w:line="283" w:lineRule="auto"/>
      </w:pPr>
      <w:r>
        <w:rPr>
          <w:rFonts w:ascii="Aptos" w:hAnsi="Aptos"/>
          <w:b/>
          <w:i w:val="0"/>
          <w:color w:val="183B56"/>
          <w:sz w:val="21"/>
        </w:rPr>
        <w:t>Единая логика: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4650"/>
        <w:gridCol w:w="3510"/>
      </w:tblGrid>
      <w:tr>
        <w:trPr>
          <w:tblHeader w:val="true"/>
          <w:tblHeader w:val="true"/>
          <w:tblHeader w:val="true"/>
        </w:trPr>
        <w:tc>
          <w:tcPr>
            <w:tcW w:type="dxa" w:w="12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Этап</w:t>
            </w:r>
          </w:p>
        </w:tc>
        <w:tc>
          <w:tcPr>
            <w:tcW w:type="dxa" w:w="46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Действие системы</w:t>
            </w:r>
          </w:p>
        </w:tc>
        <w:tc>
          <w:tcPr>
            <w:tcW w:type="dxa" w:w="35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1. Выявление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Клиент описывает объект или загружает фото и документы.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Первичная карточка объекта.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2. Оценка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Определяются ценность, восстанавливаемость, риски и частота доступа.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Класс хранения A–F.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3. Назначение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Подбираются бокс, климат, безопасность, упаковка и страхование.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Персональный режим хранения.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4. Приём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Фиксируются состояние, комплектность, владелец и права.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Цифровой паспорт и акт.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5. Хранение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Идут контроль доступа, мониторинг среды и журнал событий.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Прослеживаемость 24/7.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6. Использование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Выдача, доставка, временный доступ, передача или аренда.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Ценность возвращается в оборот.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7. Завершение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Продление, перемещение, продажа, наследование, переработка.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Управляемый выход из хранения.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DDEF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Формула продукта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МЕСТО = пространство + цифровой паспорт + режим защиты + сервисный маршрут + подтверждаемая ответственность.</w:t>
            </w:r>
          </w:p>
        </w:tc>
      </w:tr>
    </w:tbl>
    <w:p>
      <w:pPr>
        <w:spacing w:after="20"/>
      </w:pPr>
    </w:p>
    <w:p>
      <w:pPr>
        <w:pStyle w:val="Heading1"/>
      </w:pPr>
      <w:r>
        <w:t>2. Категории ценности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Категория отвечает на вопрос «что хранится», а класс — «насколько критична утрата». Один объект может одновременно относиться к нескольким категориям.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4300"/>
        <w:gridCol w:w="3610"/>
      </w:tblGrid>
      <w:tr>
        <w:trPr>
          <w:tblHeader w:val="true"/>
          <w:tblHeader w:val="true"/>
          <w:tblHeader w:val="true"/>
        </w:trPr>
        <w:tc>
          <w:tcPr>
            <w:tcW w:type="dxa" w:w="14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Категория</w:t>
            </w:r>
          </w:p>
        </w:tc>
        <w:tc>
          <w:tcPr>
            <w:tcW w:type="dxa" w:w="43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Примеры</w:t>
            </w:r>
          </w:p>
        </w:tc>
        <w:tc>
          <w:tcPr>
            <w:tcW w:type="dxa" w:w="36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Базовый режим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Личная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Документы, семейные вещи, предметы повседневной жизни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Персональный бокс, ограниченный доступ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Правовая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Оригиналы договоров, свидетельства, архивы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Сейфовый модуль, журнал доступа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Финансовая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Ценные бумаги, коллекционные активы, носители ключей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Депозитарный режим, двойной контроль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Материальная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Мебель, техника, шины, инструменты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Стандартный или усиленный бокс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Интеллектуальная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Прототипы, разработки, документация, носители данных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Изолированный контур, NDA, контроль копирования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Коммерческая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Товарные остатки, упаковка, оборудование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Бизнес-бокс, учёт движения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Культурная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Искусство, коллекции, рукописи, семейный архив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Климатический и музейный режим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Историческая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Хроники, фотографии, памятные предметы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Долговременное архивное хранение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Биологическая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Семена и допустимые биоматериалы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Специализированный объект по отдельному регламенту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Стратегическая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Критические запасы, резервная документация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Распределённое и страховое хранение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Социальная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Архивы сообществ, организаций и проектов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Коллективные права и попечительство</w:t>
            </w:r>
          </w:p>
        </w:tc>
      </w:tr>
      <w:tr>
        <w:trPr>
          <w:cantSplit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Потенциальная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Черновики, идеи, неопознанные и спорные объекты</w:t>
            </w:r>
          </w:p>
        </w:tc>
        <w:tc>
          <w:tcPr>
            <w:tcW w:type="dxa" w:w="36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Карантин и переоценка</w:t>
            </w:r>
          </w:p>
        </w:tc>
      </w:tr>
    </w:tbl>
    <w:p>
      <w:pPr>
        <w:spacing w:after="20"/>
      </w:pPr>
    </w:p>
    <w:p>
      <w:pPr>
        <w:pStyle w:val="Heading1"/>
      </w:pPr>
      <w:r>
        <w:t>3. Классы критичности A–F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2750"/>
        <w:gridCol w:w="1900"/>
        <w:gridCol w:w="3510"/>
      </w:tblGrid>
      <w:tr>
        <w:trPr>
          <w:tblHeader w:val="true"/>
          <w:tblHeader w:val="true"/>
          <w:tblHeader w:val="true"/>
          <w:tblHeader w:val="true"/>
        </w:trPr>
        <w:tc>
          <w:tcPr>
            <w:tcW w:type="dxa" w:w="12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Класс</w:t>
            </w:r>
          </w:p>
        </w:tc>
        <w:tc>
          <w:tcPr>
            <w:tcW w:type="dxa" w:w="27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Смысл</w:t>
            </w:r>
          </w:p>
        </w:tc>
        <w:tc>
          <w:tcPr>
            <w:tcW w:type="dxa" w:w="19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Допустимость утраты</w:t>
            </w:r>
          </w:p>
        </w:tc>
        <w:tc>
          <w:tcPr>
            <w:tcW w:type="dxa" w:w="35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Минимальный режим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A — критический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Уникальная или жизненно важная ценность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Недопустима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Изолированное хранение, двойная идентификация, страховая копия/дублирование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B — стратегический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Утрата создаёт тяжёлые последствия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Практически недопустима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Усиленная зона, контроль среды, страхование, журнал операций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C — значимый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Восстановление возможно, но дорого или долго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Низкая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Защищённый бокс, опись, фотофиксация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D — операционный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Нужен для текущей жизни или бизнеса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Средняя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Стандартный бокс и базовый контроль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E — временный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Ценность ограничена сроком или событием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Повышенная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Гибкий тариф, уведомление о пересмотре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F — нулевой/отрицательный</w:t>
            </w:r>
          </w:p>
        </w:tc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Не используется или создаёт расходы и риски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Не применяется</w:t>
            </w:r>
          </w:p>
        </w:tc>
        <w:tc>
          <w:tcPr>
            <w:tcW w:type="dxa" w:w="3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Передача, продажа, переработка или безопасная утилизация</w:t>
            </w:r>
          </w:p>
        </w:tc>
      </w:tr>
    </w:tbl>
    <w:p>
      <w:pPr>
        <w:spacing w:after="20"/>
      </w:pPr>
    </w:p>
    <w:p>
      <w:pPr>
        <w:pStyle w:val="Heading1"/>
      </w:pPr>
      <w:r>
        <w:t>4. Паспорт ценности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Каждая единица хранения получает цифровую карточку, связанную с ячейкой, договором и журналом событий.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50"/>
        <w:gridCol w:w="7510"/>
      </w:tblGrid>
      <w:tr>
        <w:trPr>
          <w:tblHeader w:val="true"/>
          <w:tblHeader w:val="true"/>
        </w:trPr>
        <w:tc>
          <w:tcPr>
            <w:tcW w:type="dxa" w:w="18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Блок данных</w:t>
            </w:r>
          </w:p>
        </w:tc>
        <w:tc>
          <w:tcPr>
            <w:tcW w:type="dxa" w:w="75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Обязательные поля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Идентификация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ID, наименование, категория, фото, маркировка/QR или RFID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Право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Владелец, пользователь, доверенные лица, основания владения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Оценка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Заявленная стоимость, класс A–F, уникальность, восстанавливаемость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Состояние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Комплектность, дефекты, упаковка, дата приёма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Среда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Температура, влажность, свет, пожарные и санитарные ограничения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Доступ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Роли, расписание, двухфакторная проверка, временные разрешения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Ответственность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Лимит ответственности, страхование, исключения, доказательства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Жизненный цикл</w:t>
            </w:r>
          </w:p>
        </w:tc>
        <w:tc>
          <w:tcPr>
            <w:tcW w:type="dxa" w:w="75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8"/>
              </w:rPr>
              <w:t>Срок, напоминания, выдача, перемещение, переоценка, завершение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3F7F7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Принцип минимизации данных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В паспорте хранится только информация, необходимая для исполнения договора, безопасности и сервиса. Чувствительные сведения отделяются от операционных данных и предоставляются строго по ролям.</w:t>
            </w:r>
          </w:p>
        </w:tc>
      </w:tr>
    </w:tbl>
    <w:p>
      <w:pPr>
        <w:spacing w:after="20"/>
      </w:pPr>
    </w:p>
    <w:p>
      <w:pPr>
        <w:pStyle w:val="Heading1"/>
      </w:pPr>
      <w:r>
        <w:t>5. Матрица назначения режима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Решение принимается по совокупности пяти параметров: критичность, чувствительность к среде, привлекательность для хищения, правовая ограниченность и частота доступа.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2600"/>
        <w:gridCol w:w="2850"/>
        <w:gridCol w:w="2560"/>
      </w:tblGrid>
      <w:tr>
        <w:trPr>
          <w:tblHeader w:val="true"/>
          <w:tblHeader w:val="true"/>
          <w:tblHeader w:val="true"/>
          <w:tblHeader w:val="true"/>
        </w:trPr>
        <w:tc>
          <w:tcPr>
            <w:tcW w:type="dxa" w:w="13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Профиль</w:t>
            </w:r>
          </w:p>
        </w:tc>
        <w:tc>
          <w:tcPr>
            <w:tcW w:type="dxa" w:w="26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Типовые объекты</w:t>
            </w:r>
          </w:p>
        </w:tc>
        <w:tc>
          <w:tcPr>
            <w:tcW w:type="dxa" w:w="28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Режим</w:t>
            </w:r>
          </w:p>
        </w:tc>
        <w:tc>
          <w:tcPr>
            <w:tcW w:type="dxa" w:w="25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Сервис</w:t>
            </w:r>
          </w:p>
        </w:tc>
      </w:tr>
      <w:tr>
        <w:trPr>
          <w:cantSplit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Базовый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Сезонные вещи, мебель, шины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Сухой бокс, видеонаблюдение</w:t>
            </w:r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Самостоятельный доступ 24/7</w:t>
            </w:r>
          </w:p>
        </w:tc>
      </w:tr>
      <w:tr>
        <w:trPr>
          <w:cantSplit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Комфорт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Одежда, книги, техника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Тёплая зона, контроль влажности</w:t>
            </w:r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Упаковка и доставка</w:t>
            </w:r>
          </w:p>
        </w:tc>
      </w:tr>
      <w:tr>
        <w:trPr>
          <w:cantSplit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Бизнес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Товар, инструменты, архив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Учёт входа/выхода, роли сотрудников</w:t>
            </w:r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Приём поставок, комплектация</w:t>
            </w:r>
          </w:p>
        </w:tc>
      </w:tr>
      <w:tr>
        <w:trPr>
          <w:cantSplit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Ценный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Коллекции, документы, дорогая техника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Усиленная зона, 2FA, индивидуальная сигнализация</w:t>
            </w:r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Опись, фотофиксация, страхование</w:t>
            </w:r>
          </w:p>
        </w:tc>
      </w:tr>
      <w:tr>
        <w:trPr>
          <w:cantSplit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Архивный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Документы и культурные материалы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Контроль климата, редкий доступ</w:t>
            </w:r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Оцифровка, индексирование</w:t>
            </w:r>
          </w:p>
        </w:tc>
      </w:tr>
      <w:tr>
        <w:trPr>
          <w:cantSplit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Резервный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Запасы и аварийные комплекты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Разнесённые точки, контроль срока годности</w:t>
            </w:r>
          </w:p>
        </w:tc>
        <w:tc>
          <w:tcPr>
            <w:tcW w:type="dxa" w:w="2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Ротация и уведомления</w:t>
            </w:r>
          </w:p>
        </w:tc>
      </w:tr>
    </w:tbl>
    <w:p>
      <w:pPr>
        <w:spacing w:after="20"/>
      </w:pPr>
    </w:p>
    <w:p>
      <w:pPr>
        <w:pStyle w:val="Heading1"/>
      </w:pPr>
      <w:r>
        <w:t>6. Архитектура единой системы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3000"/>
        <w:gridCol w:w="4810"/>
      </w:tblGrid>
      <w:tr>
        <w:trPr>
          <w:tblHeader w:val="true"/>
          <w:tblHeader w:val="true"/>
          <w:tblHeader w:val="true"/>
        </w:trPr>
        <w:tc>
          <w:tcPr>
            <w:tcW w:type="dxa" w:w="15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30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Назначение</w:t>
            </w:r>
          </w:p>
        </w:tc>
        <w:tc>
          <w:tcPr>
            <w:tcW w:type="dxa" w:w="48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Ключевые элементы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1. Клиентский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Управление хранением</w:t>
            </w:r>
          </w:p>
        </w:tc>
        <w:tc>
          <w:tcPr>
            <w:tcW w:type="dxa" w:w="48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Приложение, каталог вещей, бронирование, оплата, доступ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2. Объектовый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Физическая безопасность</w:t>
            </w:r>
          </w:p>
        </w:tc>
        <w:tc>
          <w:tcPr>
            <w:tcW w:type="dxa" w:w="48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Боксы, замки, СКУД, камеры, датчики, пожарная защита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3. Операционный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Исполнение процессов</w:t>
            </w:r>
          </w:p>
        </w:tc>
        <w:tc>
          <w:tcPr>
            <w:tcW w:type="dxa" w:w="48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CRM/WMS, задания персоналу, инциденты, техобслуживание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4. Доверительный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Доказательность</w:t>
            </w:r>
          </w:p>
        </w:tc>
        <w:tc>
          <w:tcPr>
            <w:tcW w:type="dxa" w:w="48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Паспорта, акты, журнал событий, электронные согласия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5. Сетевой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Управление множеством объектов</w:t>
            </w:r>
          </w:p>
        </w:tc>
        <w:tc>
          <w:tcPr>
            <w:tcW w:type="dxa" w:w="48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Единые стандарты, загрузка сети, динамическое ценообразование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6. Партнёрский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Расширение сервиса</w:t>
            </w:r>
          </w:p>
        </w:tc>
        <w:tc>
          <w:tcPr>
            <w:tcW w:type="dxa" w:w="48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Логистика, страхование, упаковка, оценка, маркетплейсы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7. Аналитический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Решения и развитие</w:t>
            </w:r>
          </w:p>
        </w:tc>
        <w:tc>
          <w:tcPr>
            <w:tcW w:type="dxa" w:w="48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Спрос, загрузка, риски, LTV/CAC, прогнозирование</w:t>
            </w:r>
          </w:p>
        </w:tc>
      </w:tr>
    </w:tbl>
    <w:p>
      <w:pPr>
        <w:spacing w:after="20"/>
      </w:pPr>
    </w:p>
    <w:p>
      <w:pPr>
        <w:pStyle w:val="Heading1"/>
      </w:pPr>
      <w:r>
        <w:t>7. Клиентские сценарии</w:t>
      </w:r>
    </w:p>
    <w:p>
      <w:pPr>
        <w:pStyle w:val="Heading2"/>
      </w:pPr>
      <w:r>
        <w:t>Дом и семья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Сезонное хранение с календарными напоминаниями.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Переезд или ремонт с доставкой и временным тарифом.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Семейный архив с назначением доверенных лиц.</w:t>
      </w:r>
    </w:p>
    <w:p>
      <w:pPr>
        <w:pStyle w:val="Heading2"/>
      </w:pPr>
      <w:r>
        <w:t>Малый бизнес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Микросклад с доступом нескольких сотрудников по ролям.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Учёт товарных остатков и журнал приёма поставок.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Масштабирование площади без смены долгосрочного договора.</w:t>
      </w:r>
    </w:p>
    <w:p>
      <w:pPr>
        <w:pStyle w:val="Heading2"/>
      </w:pPr>
      <w:r>
        <w:t>Ценные и редкие объекты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Предварительная оценка требований к среде и безопасности.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Фотофиксация состояния и пломбирование.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Страхование и выдача только по усиленному сценарию.</w:t>
      </w:r>
    </w:p>
    <w:p>
      <w:pPr>
        <w:pStyle w:val="Heading1"/>
      </w:pPr>
      <w:r>
        <w:t>8. Операционная модель объекта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650"/>
        <w:gridCol w:w="3010"/>
      </w:tblGrid>
      <w:tr>
        <w:trPr>
          <w:tblHeader w:val="true"/>
          <w:tblHeader w:val="true"/>
          <w:tblHeader w:val="true"/>
        </w:trPr>
        <w:tc>
          <w:tcPr>
            <w:tcW w:type="dxa" w:w="17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Процесс</w:t>
            </w:r>
          </w:p>
        </w:tc>
        <w:tc>
          <w:tcPr>
            <w:tcW w:type="dxa" w:w="46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Стандарт</w:t>
            </w:r>
          </w:p>
        </w:tc>
        <w:tc>
          <w:tcPr>
            <w:tcW w:type="dxa" w:w="30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Контрольная точка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Бронирование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Онлайн-подбор объёма и режима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Подтверждённые параметры заказа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Онбординг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Идентификация, договор, правила запрещённых предметов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Активированный профиль доступа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Приём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Осмотр внешнего состояния, опись по выбранному тарифу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Подписанный цифровой акт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Размещение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Адресное назначение бокса/ячейки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Связь ID объекта и места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Эксплуатация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Контроль доступа, среды и платежей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Непрерывный журнал событий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Инцидент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Сигнал, локализация, уведомление, документирование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Закрытый отчёт и корректирующие меры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Выдача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Проверка полномочий и фиксация состояния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Акт возврата/частичной выдачи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Освобождение</w:t>
            </w:r>
          </w:p>
        </w:tc>
        <w:tc>
          <w:tcPr>
            <w:tcW w:type="dxa" w:w="46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Закрытие доступа, осмотр, уборка, готовность бокса</w:t>
            </w:r>
          </w:p>
        </w:tc>
        <w:tc>
          <w:tcPr>
            <w:tcW w:type="dxa" w:w="3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Новый статус доступности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9. Безопасность и доверие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Защита строится слоями; отказ одного слоя не должен открывать прямой доступ к ценности.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Периметр: освещение, видеонаблюдение, охранная сигнализация и регламент реагирования.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Доступ: персональный идентификатор, электронный замок, двухфакторная проверка для классов A–B.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Среда: датчики температуры, влажности, дыма, протечки и электропитания.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Данные: разграничение ролей, шифрование, резервное копирование и журналирование.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Ответственность: понятные правила приёма, перечень запрещённых объектов, лимиты и страховые опции.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Непрерывность: резерв связи и питания, аварийный доступ, планы эвакуации и восстановления.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CEDEB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Правило для классов A–B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Высокоценный объект не принимается в стандартный бокс автоматически. До заключения договора проводится отдельная проверка требований, допустимости хранения и страхового покрытия.</w:t>
            </w:r>
          </w:p>
        </w:tc>
      </w:tr>
    </w:tbl>
    <w:p>
      <w:pPr>
        <w:spacing w:after="20"/>
      </w:pPr>
    </w:p>
    <w:p>
      <w:pPr>
        <w:pStyle w:val="Heading1"/>
      </w:pPr>
      <w:r>
        <w:t>10. Продуктовая линейка и тарифы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700"/>
        <w:gridCol w:w="2960"/>
      </w:tblGrid>
      <w:tr>
        <w:trPr>
          <w:tblHeader w:val="true"/>
          <w:tblHeader w:val="true"/>
          <w:tblHeader w:val="true"/>
        </w:trPr>
        <w:tc>
          <w:tcPr>
            <w:tcW w:type="dxa" w:w="17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Продукт</w:t>
            </w:r>
          </w:p>
        </w:tc>
        <w:tc>
          <w:tcPr>
            <w:tcW w:type="dxa" w:w="47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Ценность для клиента</w:t>
            </w:r>
          </w:p>
        </w:tc>
        <w:tc>
          <w:tcPr>
            <w:tcW w:type="dxa" w:w="29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Основа тарифа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Start</w:t>
            </w:r>
          </w:p>
        </w:tc>
        <w:tc>
          <w:tcPr>
            <w:tcW w:type="dxa" w:w="4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Минимальный объём рядом с домом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Объём + срок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Comfort</w:t>
            </w:r>
          </w:p>
        </w:tc>
        <w:tc>
          <w:tcPr>
            <w:tcW w:type="dxa" w:w="4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Тёплое и сухое хранение чувствительных вещей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Объём + климат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Business</w:t>
            </w:r>
          </w:p>
        </w:tc>
        <w:tc>
          <w:tcPr>
            <w:tcW w:type="dxa" w:w="4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Микросклад с командным доступом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Площадь + операции + пользователи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Archive</w:t>
            </w:r>
          </w:p>
        </w:tc>
        <w:tc>
          <w:tcPr>
            <w:tcW w:type="dxa" w:w="4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Долгий срок и структурированная опись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Объём + срок + индексирование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Value</w:t>
            </w:r>
          </w:p>
        </w:tc>
        <w:tc>
          <w:tcPr>
            <w:tcW w:type="dxa" w:w="4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Усиленная защита и доказательность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Класс риска + сервис + страхование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Move</w:t>
            </w:r>
          </w:p>
        </w:tc>
        <w:tc>
          <w:tcPr>
            <w:tcW w:type="dxa" w:w="4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Комплект для ремонта/переезда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Пакет: доставка + упаковка + хранение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Reserve</w:t>
            </w:r>
          </w:p>
        </w:tc>
        <w:tc>
          <w:tcPr>
            <w:tcW w:type="dxa" w:w="47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Распределённый запас в нескольких точках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Объём + ротация + география</w:t>
            </w:r>
          </w:p>
        </w:tc>
      </w:tr>
    </w:tbl>
    <w:p>
      <w:pPr>
        <w:spacing w:after="20"/>
      </w:pP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Дополнительная выручка: упаковка, доставка, погрузка, страхование, опись, оцифровка архивов, приём поставок, комплектация заказов, продажа/передача невостребованных вещей по отдельному поручению.</w:t>
      </w:r>
    </w:p>
    <w:p>
      <w:pPr>
        <w:pStyle w:val="Heading1"/>
      </w:pPr>
      <w:r>
        <w:t>11. Экономическая модель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Исходная модель рассматривает объект около 300 м², из которых примерно 220 м² являются сдаваемыми. При ориентире 3 400 ₽/м² в месяц и загрузке 84% расчётная выручка составляет около 628 тыс. ₽ в месяц. Это не подтверждённые показатели действующего предприятия, а гипотеза для проверки.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2500"/>
        <w:gridCol w:w="4960"/>
      </w:tblGrid>
      <w:tr>
        <w:trPr>
          <w:tblHeader w:val="true"/>
          <w:tblHeader w:val="true"/>
          <w:tblHeader w:val="true"/>
        </w:trPr>
        <w:tc>
          <w:tcPr>
            <w:tcW w:type="dxa" w:w="19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Показатель</w:t>
            </w:r>
          </w:p>
        </w:tc>
        <w:tc>
          <w:tcPr>
            <w:tcW w:type="dxa" w:w="25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Исходный ориентир</w:t>
            </w:r>
          </w:p>
        </w:tc>
        <w:tc>
          <w:tcPr>
            <w:tcW w:type="dxa" w:w="49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Что проверить перед запуском</w:t>
            </w:r>
          </w:p>
        </w:tc>
      </w:tr>
      <w:tr>
        <w:trPr>
          <w:cantSplit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Инвестиции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около 3,0 млн ₽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Смета перегородок, замков, пожарной системы, ИТ и резерва</w:t>
            </w:r>
          </w:p>
        </w:tc>
      </w:tr>
      <w:tr>
        <w:trPr>
          <w:cantSplit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Выручка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600–650 тыс. ₽/мес.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Реальная ставка района, микс размеров, скидки и НДС</w:t>
            </w:r>
          </w:p>
        </w:tc>
      </w:tr>
      <w:tr>
        <w:trPr>
          <w:cantSplit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Расходы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350–470 тыс. ₽/мес.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Аренда, персонал, коммунальные, охрана, ПО, маркетинг</w:t>
            </w:r>
          </w:p>
        </w:tc>
      </w:tr>
      <w:tr>
        <w:trPr>
          <w:cantSplit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Операционная прибыль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150–250 тыс. ₽/мес.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Заполняемость, просрочка, комиссии, ремонт и налоги</w:t>
            </w:r>
          </w:p>
        </w:tc>
      </w:tr>
      <w:tr>
        <w:trPr>
          <w:cantSplit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Окупаемость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15–24 месяца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Сценарии 60/75/85% загрузки и стоимость капитала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DDEF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Ключевой сдвиг экономики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Доходность должна рассчитываться не только на квадратный метр. Единая система создаёт сервисную выручку на один хранимый объект и повышает удержание клиента за счёт цифрового каталога, доставки и управляемого жизненного цикла.</w:t>
            </w:r>
          </w:p>
        </w:tc>
      </w:tr>
    </w:tbl>
    <w:p>
      <w:pPr>
        <w:spacing w:after="20"/>
      </w:pPr>
    </w:p>
    <w:p>
      <w:pPr>
        <w:pStyle w:val="Heading1"/>
      </w:pPr>
      <w:r>
        <w:t>12. Показатели управления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rPr>
          <w:tblHeader w:val="true"/>
          <w:tblHeader w:val="true"/>
        </w:trPr>
        <w:tc>
          <w:tcPr>
            <w:tcW w:type="dxa" w:w="18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Контур</w:t>
            </w:r>
          </w:p>
        </w:tc>
        <w:tc>
          <w:tcPr>
            <w:tcW w:type="dxa" w:w="75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Основные показатели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Спрос</w:t>
            </w:r>
          </w:p>
        </w:tc>
        <w:tc>
          <w:tcPr>
            <w:tcW w:type="dxa" w:w="7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Лиды по радиусу, конверсия, стоимость привлечения, доля B2B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Заполнение</w:t>
            </w:r>
          </w:p>
        </w:tc>
        <w:tc>
          <w:tcPr>
            <w:tcW w:type="dxa" w:w="7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Загрузка площади и объёма, заполняемость по размерам, срок аренды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Экономика</w:t>
            </w:r>
          </w:p>
        </w:tc>
        <w:tc>
          <w:tcPr>
            <w:tcW w:type="dxa" w:w="7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Выручка на м², ARPU, LTV/CAC, маржинальность сервиса, просрочка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Операции</w:t>
            </w:r>
          </w:p>
        </w:tc>
        <w:tc>
          <w:tcPr>
            <w:tcW w:type="dxa" w:w="7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Время заселения, число ручных операций, простой бокса, SLA заявок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Безопасность</w:t>
            </w:r>
          </w:p>
        </w:tc>
        <w:tc>
          <w:tcPr>
            <w:tcW w:type="dxa" w:w="7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Инциденты, ложные тревоги, нарушения доступа, время реагирования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Качество</w:t>
            </w:r>
          </w:p>
        </w:tc>
        <w:tc>
          <w:tcPr>
            <w:tcW w:type="dxa" w:w="7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NPS/CSI, жалобы, повреждения, продления, отток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Ценности</w:t>
            </w:r>
          </w:p>
        </w:tc>
        <w:tc>
          <w:tcPr>
            <w:tcW w:type="dxa" w:w="75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Доля паспортизированных объектов, распределение A–F, переоценки</w:t>
            </w:r>
          </w:p>
        </w:tc>
      </w:tr>
    </w:tbl>
    <w:p>
      <w:pPr>
        <w:spacing w:after="20"/>
      </w:pPr>
    </w:p>
    <w:p>
      <w:pPr>
        <w:pStyle w:val="Heading1"/>
      </w:pPr>
      <w:r>
        <w:t>13. Правовая рамка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До запуска необходимо юридически определить природу услуги для каждого продукта: аренда индивидуального пространства, ответственное хранение либо смешанная сервисная модель. От этого зависят обязанности сторон, ответственность за содержимое и порядок доказательства состояния.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Договорная модель, правила доступа, просрочки, блокировки и освобождения бокса.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Перечень запрещённых и ограниченных предметов; порядок проверки без необоснованного вмешательства в частную жизнь.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Пожарная, санитарная, антитеррористическая и объектовая безопасность.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Обработка персональных данных, видеонаблюдение, хранение журналов и электронных согласий.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Страхование имущества и ответственности; прозрачные лимиты и исключения.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Налоговая модель и применение онлайн-кассы с учётом актуальных правил на дату запуска.</w:t>
      </w:r>
    </w:p>
    <w:p>
      <w:pPr>
        <w:spacing w:after="160" w:line="283" w:lineRule="auto"/>
      </w:pPr>
      <w:r>
        <w:rPr>
          <w:rFonts w:ascii="Aptos" w:hAnsi="Aptos"/>
          <w:b w:val="0"/>
          <w:i/>
          <w:color w:val="A94B4B"/>
          <w:sz w:val="18"/>
        </w:rPr>
        <w:t>Юридические и налоговые положения должны быть проверены профильными специалистами применительно к конкретной юрисдикции, объекту и дате запуска.</w:t>
      </w:r>
    </w:p>
    <w:p>
      <w:pPr>
        <w:pStyle w:val="Heading1"/>
      </w:pPr>
      <w:r>
        <w:t>14. Дорожная карта пилота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Выбрать город и три приоритетных района; построить карту спроса, конкурентов и ставок.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Провести технический и правовой аудит 5–7 помещений; выбрать объект пилота.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Зафиксировать продуктовую матрицу, классы A–F, правила допустимого содержимого и тарифы.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Спроектировать планировку, инженерные системы, безопасность и клиентский маршрут.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Запустить MVP цифровой платформы: бронирование, договор, оплата, доступ и журнал событий.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Переоборудовать объект, провести испытания и открыть предварительные продажи.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Запустить пилот на 90 дней; еженедельно анализировать спрос, загрузку, ошибки и инциденты.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24323D"/>
          <w:sz w:val="20"/>
        </w:rPr>
        <w:t>После контрольной точки принять решение: корректировка, масштабирование или смена формата.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tblHeader w:val="true"/>
        </w:trPr>
        <w:tc>
          <w:tcPr>
            <w:tcW w:type="dxa" w:w="22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Контрольная точка</w:t>
            </w:r>
          </w:p>
        </w:tc>
        <w:tc>
          <w:tcPr>
            <w:tcW w:type="dxa" w:w="71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Критерий перехода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 аренды объекта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Подтверждён спрос, экономика выдерживает стресс-сценарий, помещение проходит аудит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 открытия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Работают доступ, платежи, пожарная защита, видеонаблюдение и аварийные сценарии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Через 90 дней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Есть подтверждённые CAC, конверсия, загрузка, удержание и операционный SLA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 масштабирования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Стандарты воспроизводимы, команда управляет объектом без ручного хаоса</w:t>
            </w:r>
          </w:p>
        </w:tc>
      </w:tr>
    </w:tbl>
    <w:p>
      <w:pPr>
        <w:spacing w:after="20"/>
      </w:pPr>
    </w:p>
    <w:p>
      <w:pPr>
        <w:pStyle w:val="Heading1"/>
      </w:pPr>
      <w:r>
        <w:t>15. Модель масштабирования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Сеть развивается не как набор одинаковых складов, а как портфель форматов, объединённых одной системой данных и стандартов.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100"/>
        <w:gridCol w:w="4460"/>
      </w:tblGrid>
      <w:tr>
        <w:trPr>
          <w:tblHeader w:val="true"/>
          <w:tblHeader w:val="true"/>
          <w:tblHeader w:val="true"/>
        </w:trPr>
        <w:tc>
          <w:tcPr>
            <w:tcW w:type="dxa" w:w="18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Формат</w:t>
            </w:r>
          </w:p>
        </w:tc>
        <w:tc>
          <w:tcPr>
            <w:tcW w:type="dxa" w:w="31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Локация</w:t>
            </w:r>
          </w:p>
        </w:tc>
        <w:tc>
          <w:tcPr>
            <w:tcW w:type="dxa" w:w="44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Домовой</w:t>
            </w:r>
          </w:p>
        </w:tc>
        <w:tc>
          <w:tcPr>
            <w:tcW w:type="dxa" w:w="3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Жилой квартал, паркинг, цоколь</w:t>
            </w:r>
          </w:p>
        </w:tc>
        <w:tc>
          <w:tcPr>
            <w:tcW w:type="dxa" w:w="44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Сезонные и бытовые вещи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Районный</w:t>
            </w:r>
          </w:p>
        </w:tc>
        <w:tc>
          <w:tcPr>
            <w:tcW w:type="dxa" w:w="3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Транспортный узел, первая линия</w:t>
            </w:r>
          </w:p>
        </w:tc>
        <w:tc>
          <w:tcPr>
            <w:tcW w:type="dxa" w:w="44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B2C + переезды + микробизнес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Бизнес-хаб</w:t>
            </w:r>
          </w:p>
        </w:tc>
        <w:tc>
          <w:tcPr>
            <w:tcW w:type="dxa" w:w="3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Промышленная/деловая зона</w:t>
            </w:r>
          </w:p>
        </w:tc>
        <w:tc>
          <w:tcPr>
            <w:tcW w:type="dxa" w:w="44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Товары, инструменты, архивы, поставки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Специализированный</w:t>
            </w:r>
          </w:p>
        </w:tc>
        <w:tc>
          <w:tcPr>
            <w:tcW w:type="dxa" w:w="3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Подготовленный объект</w:t>
            </w:r>
          </w:p>
        </w:tc>
        <w:tc>
          <w:tcPr>
            <w:tcW w:type="dxa" w:w="44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Ценные, архивные и климатически чувствительные объекты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Резервный узел</w:t>
            </w:r>
          </w:p>
        </w:tc>
        <w:tc>
          <w:tcPr>
            <w:tcW w:type="dxa" w:w="3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Географически разнесённая площадка</w:t>
            </w:r>
          </w:p>
        </w:tc>
        <w:tc>
          <w:tcPr>
            <w:tcW w:type="dxa" w:w="44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Страховые копии и критические запасы</w:t>
            </w:r>
          </w:p>
        </w:tc>
      </w:tr>
    </w:tbl>
    <w:p>
      <w:pPr>
        <w:spacing w:after="20"/>
      </w:pPr>
    </w:p>
    <w:p>
      <w:pPr>
        <w:pStyle w:val="Heading1"/>
      </w:pPr>
      <w:r>
        <w:t>16. Институциональный контур хранения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Следующий уровень развития превращает «МЕСТО» из сети кладовых в инфраструктуру сохранения, подтверждения и обращения активов. Разные объекты размещаются в специализированных контурах, но управляются через единый паспорт ценности и общий журнал прав и событий.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3450"/>
        <w:gridCol w:w="4160"/>
      </w:tblGrid>
      <w:tr>
        <w:trPr>
          <w:tblHeader w:val="true"/>
          <w:tblHeader w:val="true"/>
          <w:tblHeader w:val="true"/>
        </w:trPr>
        <w:tc>
          <w:tcPr>
            <w:tcW w:type="dxa" w:w="17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Контур</w:t>
            </w:r>
          </w:p>
        </w:tc>
        <w:tc>
          <w:tcPr>
            <w:tcW w:type="dxa" w:w="34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Объекты</w:t>
            </w:r>
          </w:p>
        </w:tc>
        <w:tc>
          <w:tcPr>
            <w:tcW w:type="dxa" w:w="41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Инфраструктура</w:t>
            </w:r>
          </w:p>
        </w:tc>
      </w:tr>
      <w:tr>
        <w:trPr>
          <w:cantSplit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Художественный</w:t>
            </w:r>
          </w:p>
        </w:tc>
        <w:tc>
          <w:tcPr>
            <w:tcW w:type="dxa" w:w="3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Картины, скульптуры, антиквариат, рукописи</w:t>
            </w:r>
          </w:p>
        </w:tc>
        <w:tc>
          <w:tcPr>
            <w:tcW w:type="dxa" w:w="4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Арт-репозитории, музейные фонды, свободные порты</w:t>
            </w:r>
          </w:p>
        </w:tc>
      </w:tr>
      <w:tr>
        <w:trPr>
          <w:cantSplit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Ювелирный</w:t>
            </w:r>
          </w:p>
        </w:tc>
        <w:tc>
          <w:tcPr>
            <w:tcW w:type="dxa" w:w="3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Металлы, камни, изделия, часы, монеты</w:t>
            </w:r>
          </w:p>
        </w:tc>
        <w:tc>
          <w:tcPr>
            <w:tcW w:type="dxa" w:w="4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Сейфовые центры, ювелирные депозитарии, Security House</w:t>
            </w:r>
          </w:p>
        </w:tc>
      </w:tr>
      <w:tr>
        <w:trPr>
          <w:cantSplit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Финансовый</w:t>
            </w:r>
          </w:p>
        </w:tc>
        <w:tc>
          <w:tcPr>
            <w:tcW w:type="dxa" w:w="3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Ценные бумаги, сертификаты, документы прав</w:t>
            </w:r>
          </w:p>
        </w:tc>
        <w:tc>
          <w:tcPr>
            <w:tcW w:type="dxa" w:w="4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Депозитарии, кастодиальные и реестровые системы</w:t>
            </w:r>
          </w:p>
        </w:tc>
      </w:tr>
      <w:tr>
        <w:trPr>
          <w:cantSplit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Цифровой</w:t>
            </w:r>
          </w:p>
        </w:tc>
        <w:tc>
          <w:tcPr>
            <w:tcW w:type="dxa" w:w="3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Данные, цифровые права, ключи, программный код</w:t>
            </w:r>
          </w:p>
        </w:tc>
        <w:tc>
          <w:tcPr>
            <w:tcW w:type="dxa" w:w="4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Дата-центры, защищённые репозитории, холодное хранение</w:t>
            </w:r>
          </w:p>
        </w:tc>
      </w:tr>
      <w:tr>
        <w:trPr>
          <w:cantSplit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Таможенный</w:t>
            </w:r>
          </w:p>
        </w:tc>
        <w:tc>
          <w:tcPr>
            <w:tcW w:type="dxa" w:w="3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Иностранные товары и транзитные партии</w:t>
            </w:r>
          </w:p>
        </w:tc>
        <w:tc>
          <w:tcPr>
            <w:tcW w:type="dxa" w:w="4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СВХ, таможенные и свободные склады</w:t>
            </w:r>
          </w:p>
        </w:tc>
      </w:tr>
      <w:tr>
        <w:trPr>
          <w:cantSplit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Промышленный</w:t>
            </w:r>
          </w:p>
        </w:tc>
        <w:tc>
          <w:tcPr>
            <w:tcW w:type="dxa" w:w="3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Материалы, оборудование, комплектующие</w:t>
            </w:r>
          </w:p>
        </w:tc>
        <w:tc>
          <w:tcPr>
            <w:tcW w:type="dxa" w:w="4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ОЭЗ, промышленные парки, логистические терминалы</w:t>
            </w:r>
          </w:p>
        </w:tc>
      </w:tr>
      <w:tr>
        <w:trPr>
          <w:cantSplit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Стратегический</w:t>
            </w:r>
          </w:p>
        </w:tc>
        <w:tc>
          <w:tcPr>
            <w:tcW w:type="dxa" w:w="34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Резервы, критические запасы, страховые копии</w:t>
            </w:r>
          </w:p>
        </w:tc>
        <w:tc>
          <w:tcPr>
            <w:tcW w:type="dxa" w:w="4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Защищённые распределённые хранилища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DDEF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Единый принцип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Специализация физического хранения не должна дробить управление. Владелец видит все активы, права, условия, события и сервисы в одном доверительном контуре.</w:t>
            </w:r>
          </w:p>
        </w:tc>
      </w:tr>
    </w:tbl>
    <w:p>
      <w:pPr>
        <w:spacing w:after="20"/>
      </w:pPr>
    </w:p>
    <w:p>
      <w:pPr>
        <w:pStyle w:val="Heading1"/>
      </w:pPr>
      <w:r>
        <w:t>17. Арт-репозитории и художественные ценности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Арт-репозиторий предназначен для профессионального хранения произведений искусства, коллекций и культурных ценностей с контролируемой средой, доказательством происхождения и фиксацией состояния.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000"/>
        <w:gridCol w:w="4860"/>
      </w:tblGrid>
      <w:tr>
        <w:trPr>
          <w:tblHeader w:val="true"/>
          <w:tblHeader w:val="true"/>
          <w:tblHeader w:val="true"/>
        </w:trPr>
        <w:tc>
          <w:tcPr>
            <w:tcW w:type="dxa" w:w="15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Зона</w:t>
            </w:r>
          </w:p>
        </w:tc>
        <w:tc>
          <w:tcPr>
            <w:tcW w:type="dxa" w:w="30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Назначение</w:t>
            </w:r>
          </w:p>
        </w:tc>
        <w:tc>
          <w:tcPr>
            <w:tcW w:type="dxa" w:w="48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Основные требования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Приёмная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Распаковка, сверка и первичная фиксация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Раздельные потоки, видеозапись, акт состояния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Карантинная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Изоляция поступивших объектов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Осмотр, контроль вредителей и загрязнений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Климатическая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Долговременное хранение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Стабильные параметры среды, мониторинг и журнал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Крупноформатная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Скульптура и крупные произведения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Расчёт нагрузки, безопасное перемещение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Сейфовая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Миниатюры, драгоценные и особо ценные предметы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Усиленный доступ и индивидуальная сигнализация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Реставрационная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Консервация и восстановление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Отдельный режим, квалифицированные специалисты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Просмотровая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Экспертиза и закрытые сделки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Контролируемая выдача без вывоза из защищённого контура</w:t>
            </w:r>
          </w:p>
        </w:tc>
      </w:tr>
    </w:tbl>
    <w:p>
      <w:pPr>
        <w:spacing w:after="20"/>
      </w:pPr>
    </w:p>
    <w:p>
      <w:pPr>
        <w:spacing w:after="120" w:line="283" w:lineRule="auto"/>
      </w:pPr>
      <w:r>
        <w:rPr>
          <w:rFonts w:ascii="Aptos" w:hAnsi="Aptos"/>
          <w:b/>
          <w:i w:val="0"/>
          <w:color w:val="1B7F79"/>
          <w:sz w:val="22"/>
        </w:rPr>
        <w:t>Цифровой паспорт произведения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Автор, название, дата, техника, размеры, материалы и маркировка.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Фотографии высокого разрешения и признаки идентификации.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История происхождения, владения, выставок и перемещений.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Экспертные заключения, состояние и реставрационные вмешательства.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Оценочная и страховая стоимость, права на изображение и воспроизведение.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Требования к климату, упаковке, экспонированию и транспортировке.</w:t>
      </w:r>
    </w:p>
    <w:p>
      <w:pPr>
        <w:pStyle w:val="Heading1"/>
      </w:pPr>
      <w:r>
        <w:t>18. Ювелирные и драгоценные ценности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Ювелирный контур объединяет физическую сохранность, экспертизу, подтверждение характеристик и защищённое совершение операций.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3050"/>
        <w:gridCol w:w="5210"/>
      </w:tblGrid>
      <w:tr>
        <w:trPr>
          <w:tblHeader w:val="true"/>
          <w:tblHeader w:val="true"/>
          <w:tblHeader w:val="true"/>
        </w:trPr>
        <w:tc>
          <w:tcPr>
            <w:tcW w:type="dxa" w:w="11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30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Формат</w:t>
            </w:r>
          </w:p>
        </w:tc>
        <w:tc>
          <w:tcPr>
            <w:tcW w:type="dxa" w:w="52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J1</w:t>
            </w:r>
          </w:p>
        </w:tc>
        <w:tc>
          <w:tcPr>
            <w:tcW w:type="dxa" w:w="3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Индивидуальная сейфовая ячейка</w:t>
            </w:r>
          </w:p>
        </w:tc>
        <w:tc>
          <w:tcPr>
            <w:tcW w:type="dxa" w:w="52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Документы, украшения и небольшие коллекции</w:t>
            </w:r>
          </w:p>
        </w:tc>
      </w:tr>
      <w:tr>
        <w:trPr>
          <w:cantSplit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J2</w:t>
            </w:r>
          </w:p>
        </w:tc>
        <w:tc>
          <w:tcPr>
            <w:tcW w:type="dxa" w:w="3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Сертифицированный сейфовый зал</w:t>
            </w:r>
          </w:p>
        </w:tc>
        <w:tc>
          <w:tcPr>
            <w:tcW w:type="dxa" w:w="52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Повышенная физическая защита и журнал доступа</w:t>
            </w:r>
          </w:p>
        </w:tc>
      </w:tr>
      <w:tr>
        <w:trPr>
          <w:cantSplit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J3</w:t>
            </w:r>
          </w:p>
        </w:tc>
        <w:tc>
          <w:tcPr>
            <w:tcW w:type="dxa" w:w="3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Ювелирный депозитарий</w:t>
            </w:r>
          </w:p>
        </w:tc>
        <w:tc>
          <w:tcPr>
            <w:tcW w:type="dxa" w:w="52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Опись, экспертиза, страхование и пломбирование</w:t>
            </w:r>
          </w:p>
        </w:tc>
      </w:tr>
      <w:tr>
        <w:trPr>
          <w:cantSplit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J4</w:t>
            </w:r>
          </w:p>
        </w:tc>
        <w:tc>
          <w:tcPr>
            <w:tcW w:type="dxa" w:w="3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Бронированное хранилище</w:t>
            </w:r>
          </w:p>
        </w:tc>
        <w:tc>
          <w:tcPr>
            <w:tcW w:type="dxa" w:w="52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Крупные партии, слитки и особо ценные активы</w:t>
            </w:r>
          </w:p>
        </w:tc>
      </w:tr>
      <w:tr>
        <w:trPr>
          <w:cantSplit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J5</w:t>
            </w:r>
          </w:p>
        </w:tc>
        <w:tc>
          <w:tcPr>
            <w:tcW w:type="dxa" w:w="3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Распределённое хранение</w:t>
            </w:r>
          </w:p>
        </w:tc>
        <w:tc>
          <w:tcPr>
            <w:tcW w:type="dxa" w:w="52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Разделение критического запаса по независимым точкам</w:t>
            </w:r>
          </w:p>
        </w:tc>
      </w:tr>
    </w:tbl>
    <w:p>
      <w:pPr>
        <w:spacing w:after="20"/>
      </w:pP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Обязательные сервисы: взвешивание, фотофиксация, геммологическая экспертиза, проверка проб и сертификатов, пломбирование, двухключевой доступ, страхование и защищённая транспортировка.</w:t>
      </w:r>
    </w:p>
    <w:p>
      <w:pPr>
        <w:pStyle w:val="Heading1"/>
      </w:pPr>
      <w:r>
        <w:t>19. Security House — Дом защищённых ценностей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Security House — многофункциональный центр, где ценный актив может храниться, оцениваться, страховаться, демонстрироваться и участвовать в сделке без необязательного перемещения за пределы защищённой зоны.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tblHeader w:val="true"/>
        </w:trPr>
        <w:tc>
          <w:tcPr>
            <w:tcW w:type="dxa" w:w="22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Модуль</w:t>
            </w:r>
          </w:p>
        </w:tc>
        <w:tc>
          <w:tcPr>
            <w:tcW w:type="dxa" w:w="71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Функция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Сейфовый депозитарий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Индивидуальное и корпоративное хранение материальных ценностей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Арт-репозиторий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Профессиональное хранение искусства и коллекций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Ювелирный блок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Металлы, камни, изделия и закрытые просмотры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Документарный блок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Оригиналы документов, титулы, сертификаты и архивы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Цифровое хранилище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Ключи, цифровые права и резервные копии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Экспертный центр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Идентификация, оценка, подлинность и состояние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Доверительный офис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Нотариальные, страховые, юридические и расчётные сервисы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Ситуационный центр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Мониторинг безопасности и реагирование на инциденты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3F7F7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Правило Security House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Хранитель обеспечивает сохранность и доказательность, но не смешивает хранение, оценку, распоряжение активом и расчёты без прозрачного распределения ролей и независимого контроля.</w:t>
            </w:r>
          </w:p>
        </w:tc>
      </w:tr>
    </w:tbl>
    <w:p>
      <w:pPr>
        <w:spacing w:after="20"/>
      </w:pPr>
    </w:p>
    <w:p>
      <w:pPr>
        <w:pStyle w:val="Heading1"/>
      </w:pPr>
      <w:r>
        <w:t>20. Система репозиториев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Репозиторий сохраняет не только сам объект, но и его описание, версии, происхождение, права, связи и правила использования.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3300"/>
        <w:gridCol w:w="3910"/>
      </w:tblGrid>
      <w:tr>
        <w:trPr>
          <w:tblHeader w:val="true"/>
          <w:tblHeader w:val="true"/>
          <w:tblHeader w:val="true"/>
        </w:trPr>
        <w:tc>
          <w:tcPr>
            <w:tcW w:type="dxa" w:w="21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Вид репозитория</w:t>
            </w:r>
          </w:p>
        </w:tc>
        <w:tc>
          <w:tcPr>
            <w:tcW w:type="dxa" w:w="33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Предмет</w:t>
            </w:r>
          </w:p>
        </w:tc>
        <w:tc>
          <w:tcPr>
            <w:tcW w:type="dxa" w:w="39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Особая функция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Арт-репозиторий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Искусство и коллекции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Provenance, состояние, выставочная история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Научный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Результаты исследований и образцы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Воспроизводимость и цитирование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Технологический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Прототипы, чертежи, модели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Версионность и режим коммерческой тайны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Интеллектуальный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Патенты, методики, ноу-хау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Фиксация авторства, прав и лицензий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Программный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Код, сборки и зависимости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Контроль версий и восстановление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Доказательственный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Документы, записи, цифровые следы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Целостность и цепочка хранения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Культурный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Архивы, хроники, медиаматериалы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Долговременная сохранность и доступ</w:t>
            </w:r>
          </w:p>
        </w:tc>
      </w:tr>
      <w:tr>
        <w:trPr>
          <w:cantSplit/>
        </w:trPr>
        <w:tc>
          <w:tcPr>
            <w:tcW w:type="dxa" w:w="21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Резервный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Страховые копии и критические данные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Географическое разнесение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DDEF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Формула репозитория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Объект → паспорт → право → версия → происхождение → доступ → сохранность → использование → наследование.</w:t>
            </w:r>
          </w:p>
        </w:tc>
      </w:tr>
    </w:tbl>
    <w:p>
      <w:pPr>
        <w:spacing w:after="20"/>
      </w:pPr>
    </w:p>
    <w:p>
      <w:pPr>
        <w:pStyle w:val="Heading1"/>
      </w:pPr>
      <w:r>
        <w:t>21. Депозитарная система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Депозитарий хранит материальный актив либо обеспечивает учёт прав на него. В единой системе эти функции различаются и связываются через подтверждённые записи.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50"/>
        <w:gridCol w:w="3550"/>
        <w:gridCol w:w="3960"/>
      </w:tblGrid>
      <w:tr>
        <w:trPr>
          <w:tblHeader w:val="true"/>
          <w:tblHeader w:val="true"/>
          <w:tblHeader w:val="true"/>
        </w:trPr>
        <w:tc>
          <w:tcPr>
            <w:tcW w:type="dxa" w:w="18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Вид</w:t>
            </w:r>
          </w:p>
        </w:tc>
        <w:tc>
          <w:tcPr>
            <w:tcW w:type="dxa" w:w="35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Объект хранения или учёта</w:t>
            </w:r>
          </w:p>
        </w:tc>
        <w:tc>
          <w:tcPr>
            <w:tcW w:type="dxa" w:w="39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Ключевой результат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Сейфовый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Материальные ценности и документы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Физическая сохранность и контролируемый доступ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Банковский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Имущество клиентов в защищённых ячейках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Договорный режим доступа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Ценных бумаг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Права на финансовые инструменты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Учёт владения и перехода прав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Специализированный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Активы регулируемых структур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Независимый контроль установленных операций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Товарный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Товары и складские документы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Подтверждение наличия, статуса и обременений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Арт-депозитарий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Искусство и коллекции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Хранение, provenance, оценка и страхование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Ювелирный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Металлы, камни и изделия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Экспертиза, опись и защищённое обращение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Цифровой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Цифровые активы и ключи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Защищённое владение и восстановление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Эскроу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Актив до наступления условия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Условная передача по подтверждённому событию</w:t>
            </w:r>
          </w:p>
        </w:tc>
      </w:tr>
      <w:tr>
        <w:trPr>
          <w:cantSplit/>
        </w:trPr>
        <w:tc>
          <w:tcPr>
            <w:tcW w:type="dxa" w:w="18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Наследственный</w:t>
            </w:r>
          </w:p>
        </w:tc>
        <w:tc>
          <w:tcPr>
            <w:tcW w:type="dxa" w:w="3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Семейные и родовые ценности</w:t>
            </w:r>
          </w:p>
        </w:tc>
        <w:tc>
          <w:tcPr>
            <w:tcW w:type="dxa" w:w="3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Преемственность и исполнение распоряжений</w:t>
            </w:r>
          </w:p>
        </w:tc>
      </w:tr>
    </w:tbl>
    <w:p>
      <w:pPr>
        <w:spacing w:after="20"/>
      </w:pPr>
    </w:p>
    <w:p>
      <w:pPr>
        <w:pStyle w:val="Heading1"/>
      </w:pPr>
      <w:r>
        <w:t>22. Ценные бумаги и финансовые активы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Для большинства современных ценных бумаг основным объектом сохранения является не бумажный сертификат, а подтверждённая запись о правах владельца. Физические документы, если они существуют, хранятся отдельно от учётного контура.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7310"/>
      </w:tblGrid>
      <w:tr>
        <w:trPr>
          <w:tblHeader w:val="true"/>
          <w:tblHeader w:val="true"/>
        </w:trPr>
        <w:tc>
          <w:tcPr>
            <w:tcW w:type="dxa" w:w="20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Функция</w:t>
            </w:r>
          </w:p>
        </w:tc>
        <w:tc>
          <w:tcPr>
            <w:tcW w:type="dxa" w:w="73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Учёт прав</w:t>
            </w:r>
          </w:p>
        </w:tc>
        <w:tc>
          <w:tcPr>
            <w:tcW w:type="dxa" w:w="73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Лицевые счета, счета депо и иные предусмотренные формы учёта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Расчёты</w:t>
            </w:r>
          </w:p>
        </w:tc>
        <w:tc>
          <w:tcPr>
            <w:tcW w:type="dxa" w:w="73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Поставка актива и исполнение денежной части сделки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Обременения</w:t>
            </w:r>
          </w:p>
        </w:tc>
        <w:tc>
          <w:tcPr>
            <w:tcW w:type="dxa" w:w="73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Фиксация залога, блокировки и иных ограничений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Корпоративные действия</w:t>
            </w:r>
          </w:p>
        </w:tc>
        <w:tc>
          <w:tcPr>
            <w:tcW w:type="dxa" w:w="73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Доходы, погашение, конвертация и голосование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Кастодиальный контроль</w:t>
            </w:r>
          </w:p>
        </w:tc>
        <w:tc>
          <w:tcPr>
            <w:tcW w:type="dxa" w:w="73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Хранение, подтверждение и отчётность по активам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Непрерывность</w:t>
            </w:r>
          </w:p>
        </w:tc>
        <w:tc>
          <w:tcPr>
            <w:tcW w:type="dxa" w:w="73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Резервирование, восстановление и сверка данных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Наследование</w:t>
            </w:r>
          </w:p>
        </w:tc>
        <w:tc>
          <w:tcPr>
            <w:tcW w:type="dxa" w:w="73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Переход прав по подтверждённому основанию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3F7F7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Паспорт финансовой ценности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Владелец → инструмент → эмитент → объём прав → стоимость → обременения → хранитель → история операций → доходы → наследование.</w:t>
            </w:r>
          </w:p>
        </w:tc>
      </w:tr>
    </w:tbl>
    <w:p>
      <w:pPr>
        <w:spacing w:after="20"/>
      </w:pPr>
    </w:p>
    <w:p>
      <w:pPr>
        <w:pStyle w:val="Heading1"/>
      </w:pPr>
      <w:r>
        <w:t>23. Таможенные зоны хранения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Таможенный контур применяется к товарам, находящимся под специальным контролем до выпуска, изменения режима, перемещения или реэкспорта. Конкретные операции определяются действующим законодательством и разрешениями объекта.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3600"/>
        <w:gridCol w:w="3710"/>
      </w:tblGrid>
      <w:tr>
        <w:trPr>
          <w:tblHeader w:val="true"/>
          <w:tblHeader w:val="true"/>
          <w:tblHeader w:val="true"/>
        </w:trPr>
        <w:tc>
          <w:tcPr>
            <w:tcW w:type="dxa" w:w="20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Формат</w:t>
            </w:r>
          </w:p>
        </w:tc>
        <w:tc>
          <w:tcPr>
            <w:tcW w:type="dxa" w:w="36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Назначение</w:t>
            </w:r>
          </w:p>
        </w:tc>
        <w:tc>
          <w:tcPr>
            <w:tcW w:type="dxa" w:w="37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Управленческий акцент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Склад временного хранения</w:t>
            </w:r>
          </w:p>
        </w:tc>
        <w:tc>
          <w:tcPr>
            <w:tcW w:type="dxa" w:w="3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Размещение до завершения формальностей</w:t>
            </w:r>
          </w:p>
        </w:tc>
        <w:tc>
          <w:tcPr>
            <w:tcW w:type="dxa" w:w="37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Сроки, сохранность, идентификация партии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Таможенный склад</w:t>
            </w:r>
          </w:p>
        </w:tc>
        <w:tc>
          <w:tcPr>
            <w:tcW w:type="dxa" w:w="3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Хранение в установленном таможенном режиме</w:t>
            </w:r>
          </w:p>
        </w:tc>
        <w:tc>
          <w:tcPr>
            <w:tcW w:type="dxa" w:w="37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Статус товара, операции и платежи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Свободный склад</w:t>
            </w:r>
          </w:p>
        </w:tc>
        <w:tc>
          <w:tcPr>
            <w:tcW w:type="dxa" w:w="3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Производственно-логистические операции в специальном режиме</w:t>
            </w:r>
          </w:p>
        </w:tc>
        <w:tc>
          <w:tcPr>
            <w:tcW w:type="dxa" w:w="37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Раздельный учёт и контроль использования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Свободная таможенная зона</w:t>
            </w:r>
          </w:p>
        </w:tc>
        <w:tc>
          <w:tcPr>
            <w:tcW w:type="dxa" w:w="3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Инфраструктура территории с особым режимом</w:t>
            </w:r>
          </w:p>
        </w:tc>
        <w:tc>
          <w:tcPr>
            <w:tcW w:type="dxa" w:w="37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Границы зоны, допуск и прослеживаемость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Бондовый склад</w:t>
            </w:r>
          </w:p>
        </w:tc>
        <w:tc>
          <w:tcPr>
            <w:tcW w:type="dxa" w:w="3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Хранение импортных товаров до выпуска или вывоза</w:t>
            </w:r>
          </w:p>
        </w:tc>
        <w:tc>
          <w:tcPr>
            <w:tcW w:type="dxa" w:w="37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Контроль партии и коммерческих операций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Транзитный терминал</w:t>
            </w:r>
          </w:p>
        </w:tc>
        <w:tc>
          <w:tcPr>
            <w:tcW w:type="dxa" w:w="3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Консолидация и дальнейшее перемещение</w:t>
            </w:r>
          </w:p>
        </w:tc>
        <w:tc>
          <w:tcPr>
            <w:tcW w:type="dxa" w:w="37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Маршрут, сроки и целостность груза</w:t>
            </w:r>
          </w:p>
        </w:tc>
      </w:tr>
    </w:tbl>
    <w:p>
      <w:pPr>
        <w:spacing w:after="20"/>
      </w:pPr>
    </w:p>
    <w:p>
      <w:pPr>
        <w:spacing w:after="120" w:line="283" w:lineRule="auto"/>
      </w:pPr>
      <w:r>
        <w:rPr>
          <w:rFonts w:ascii="Aptos" w:hAnsi="Aptos"/>
          <w:b/>
          <w:i w:val="0"/>
          <w:color w:val="1B7F79"/>
          <w:sz w:val="22"/>
        </w:rPr>
        <w:t>Паспорт партии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Товар → собственник → происхождение → код и описание → документы → таможенный статус → место → разрешённые операции → платежи → выпуск или реэкспорт.</w:t>
      </w:r>
    </w:p>
    <w:p>
      <w:pPr>
        <w:pStyle w:val="Heading1"/>
      </w:pPr>
      <w:r>
        <w:t>24. Особые экономические зоны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24323D"/>
          <w:sz w:val="21"/>
        </w:rPr>
        <w:t>ОЭЗ — не отдельный тип склада, а территориальный режим, внутри которого могут объединяться производство, хранение, таможенная инфраструктура, сертификация, финансирование и экспорт.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tblHeader w:val="true"/>
        </w:trPr>
        <w:tc>
          <w:tcPr>
            <w:tcW w:type="dxa" w:w="26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Модуль ОЭЗ</w:t>
            </w:r>
          </w:p>
        </w:tc>
        <w:tc>
          <w:tcPr>
            <w:tcW w:type="dxa" w:w="67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Индустриальный склад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Материалы, комплектующие и готовая продукция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Таможенно-логистический терминал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Приём, контроль, консолидация и выпуск партий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Свободный склад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Операции в специальном режиме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Холодильный комплекс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Температурно чувствительные товары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Центр e-commerce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Фулфилмент, возвраты и трансграничная торговля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Технологический репозиторий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Документация, образцы, прототипы и права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Центр сертификации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Проверка соответствия и доказательная документация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Выставочно-торговый депозитарий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Показ и сделки без лишнего перемещения</w:t>
            </w:r>
          </w:p>
        </w:tc>
      </w:tr>
      <w:tr>
        <w:trPr>
          <w:cantSplit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Стратегический резерв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Критические материалы и оборудование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DDEF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Связка ОЭЗ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Производство → хранение → таможня → сертификация → финансирование → торговля → экспорт.</w:t>
            </w:r>
          </w:p>
        </w:tc>
      </w:tr>
    </w:tbl>
    <w:p>
      <w:pPr>
        <w:spacing w:after="20"/>
      </w:pPr>
    </w:p>
    <w:p>
      <w:pPr>
        <w:pStyle w:val="Heading1"/>
      </w:pPr>
      <w:r>
        <w:t>25. Дополнительные специализированные хранилища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tblHeader w:val="true"/>
        </w:trPr>
        <w:tc>
          <w:tcPr>
            <w:tcW w:type="dxa" w:w="22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Группа</w:t>
            </w:r>
          </w:p>
        </w:tc>
        <w:tc>
          <w:tcPr>
            <w:tcW w:type="dxa" w:w="71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Виды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Транспортные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Портовые и авиационные склады, контейнерные депо, железнодорожные и автомобильные терминалы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Температурные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Холодильные, морозильные, фармацевтические и пищевые комплексы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Регулируемые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Химические, горючие, радиоактивные, медицинские и оружейные хранилища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Информационные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Дата-центры, архивные площадки, комнаты данных, хранилища ключей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Биологические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Биобанки, криохранилища, банки семян и коллекции микроорганизмов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Природные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Кернохранилища, экологические образцы, гербарии и фонды биоразнообразия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Резервные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Государственные, муниципальные, медицинские, продовольственные и аварийные резервы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Космические и научные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Образцы, уникальные приборы и данные длительных исследований</w:t>
            </w:r>
          </w:p>
        </w:tc>
      </w:tr>
    </w:tbl>
    <w:p>
      <w:pPr>
        <w:spacing w:after="20"/>
      </w:pPr>
    </w:p>
    <w:p>
      <w:pPr>
        <w:pStyle w:val="Heading1"/>
      </w:pPr>
      <w:r>
        <w:t>26. Единый маршрут институционального актива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3800"/>
        <w:gridCol w:w="4010"/>
      </w:tblGrid>
      <w:tr>
        <w:trPr>
          <w:tblHeader w:val="true"/>
          <w:tblHeader w:val="true"/>
          <w:tblHeader w:val="true"/>
        </w:trPr>
        <w:tc>
          <w:tcPr>
            <w:tcW w:type="dxa" w:w="15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Этап</w:t>
            </w:r>
          </w:p>
        </w:tc>
        <w:tc>
          <w:tcPr>
            <w:tcW w:type="dxa" w:w="380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Решение</w:t>
            </w:r>
          </w:p>
        </w:tc>
        <w:tc>
          <w:tcPr>
            <w:tcW w:type="dxa" w:w="401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Контроль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Квалификация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Определяются правовой статус, категория и допустимость хранения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Экспертное заключение и перечень ограничений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Проверка происхождения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Собираются документы владения и история объекта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Комплаенс и фиксация пробелов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Оценка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Определяются характеристики, состояние и стоимость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Независимость методики и эксперта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Назначение режима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Выбираются хранилище, климат, доступ и страхование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Соответствие классу A–F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Приём и маркировка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Создаются паспорт, акт, упаковка и идентификатор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Цепочка хранения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Эксплуатация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Ведутся мониторинг, журнал и переоценка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SLA, инциденты и срок действия документов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Операция с активом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Просмотр, залог, передача, продажа или выставка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Проверка полномочий и обременений</w:t>
            </w:r>
          </w:p>
        </w:tc>
      </w:tr>
      <w:tr>
        <w:trPr>
          <w:cantSplit/>
        </w:trPr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Выход</w:t>
            </w:r>
          </w:p>
        </w:tc>
        <w:tc>
          <w:tcPr>
            <w:tcW w:type="dxa" w:w="380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Возврат, перемещение, наследование или утилизация</w:t>
            </w:r>
          </w:p>
        </w:tc>
        <w:tc>
          <w:tcPr>
            <w:tcW w:type="dxa" w:w="401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6"/>
              </w:rPr>
              <w:t>Закрывающий акт и сохранение истории</w:t>
            </w:r>
          </w:p>
        </w:tc>
      </w:tr>
    </w:tbl>
    <w:p>
      <w:pPr>
        <w:spacing w:after="20"/>
      </w:pPr>
    </w:p>
    <w:p>
      <w:pPr>
        <w:pStyle w:val="Heading1"/>
      </w:pPr>
      <w:r>
        <w:t>27. Правила разделения ответственности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Владелец подтверждает права, раскрывает существенные свойства и соблюдает перечень допустимого содержимого.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Оператор отвечает за заявленные условия, безопасность объекта и доказательность операций.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Оценщик и эксперт действуют независимо в пределах своей квалификации.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Страховщик принимает риск только после согласования объекта, стоимости и режима хранения.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Логист отвечает за согласованный участок цепочки перемещения и передачу по акту.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Депозитарий или регистратор отвечает за учёт прав, но не подменяет физического хранителя.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Таможенный представитель и владелец склада действуют в пределах установленного режима и полномочий.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CEDEB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Правовой фильтр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Хранение культурных ценностей, драгоценных металлов и камней, финансовых инструментов, опасных материалов и товаров под таможенным контролем требует отдельных разрешений, процедур и профессиональной проверки. Концепция не заменяет юридического заключения.</w:t>
            </w:r>
          </w:p>
        </w:tc>
      </w:tr>
    </w:tbl>
    <w:p>
      <w:pPr>
        <w:spacing w:after="20"/>
      </w:pPr>
    </w:p>
    <w:p>
      <w:pPr>
        <w:pStyle w:val="Heading1"/>
      </w:pPr>
      <w:r>
        <w:t>28. Пятиуровневая продуктовая архитектура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4350"/>
        <w:gridCol w:w="2960"/>
      </w:tblGrid>
      <w:tr>
        <w:trPr>
          <w:tblHeader w:val="true"/>
          <w:tblHeader w:val="true"/>
          <w:tblHeader w:val="true"/>
        </w:trPr>
        <w:tc>
          <w:tcPr>
            <w:tcW w:type="dxa" w:w="20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435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Назначение</w:t>
            </w:r>
          </w:p>
        </w:tc>
        <w:tc>
          <w:tcPr>
            <w:tcW w:type="dxa" w:w="2960"/>
            <w:shd w:fill="183B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7"/>
              </w:rPr>
              <w:t>Типовые клиенты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Personal</w:t>
            </w:r>
          </w:p>
        </w:tc>
        <w:tc>
          <w:tcPr>
            <w:tcW w:type="dxa" w:w="4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Личные вещи, семейные архивы и бытовые ценности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Граждане и семьи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Business</w:t>
            </w:r>
          </w:p>
        </w:tc>
        <w:tc>
          <w:tcPr>
            <w:tcW w:type="dxa" w:w="4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Товары, инструменты, документы и оборудование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Предприниматели и компании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Professional</w:t>
            </w:r>
          </w:p>
        </w:tc>
        <w:tc>
          <w:tcPr>
            <w:tcW w:type="dxa" w:w="4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Искусство, ювелирные и коллекционные активы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Коллекционеры, галереи, эксперты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Institutional</w:t>
            </w:r>
          </w:p>
        </w:tc>
        <w:tc>
          <w:tcPr>
            <w:tcW w:type="dxa" w:w="4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Депозитарии, фонды, музеи и корпоративные архивы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F3F7F7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Банки, фонды, музеи, корпорации</w:t>
            </w:r>
          </w:p>
        </w:tc>
      </w:tr>
      <w:tr>
        <w:trPr>
          <w:cantSplit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МЕСТО Strategic</w:t>
            </w:r>
          </w:p>
        </w:tc>
        <w:tc>
          <w:tcPr>
            <w:tcW w:type="dxa" w:w="435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ОЭЗ, таможенные зоны и распределённые резервы</w:t>
            </w:r>
          </w:p>
        </w:tc>
        <w:tc>
          <w:tcPr>
            <w:tcW w:type="dxa" w:w="2960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17"/>
              </w:rPr>
              <w:t>Государство, территории, крупные операторы</w:t>
            </w:r>
          </w:p>
        </w:tc>
      </w:tr>
    </w:tbl>
    <w:p>
      <w:pPr>
        <w:spacing w:after="20"/>
      </w:pPr>
    </w:p>
    <w:p>
      <w:pPr>
        <w:pStyle w:val="Heading1"/>
      </w:pPr>
      <w:r>
        <w:t>29. Итоговое позиционирование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DDEF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83B56"/>
                <w:sz w:val="22"/>
              </w:rPr>
              <w:t>МЕСТО — пространство для ценного</w:t>
            </w:r>
          </w:p>
          <w:p>
            <w:pPr>
              <w:spacing w:after="0" w:line="276" w:lineRule="auto"/>
            </w:pPr>
            <w:r>
              <w:rPr>
                <w:rFonts w:ascii="Aptos" w:hAnsi="Aptos"/>
                <w:b w:val="0"/>
                <w:i w:val="0"/>
                <w:color w:val="24323D"/>
                <w:sz w:val="20"/>
              </w:rPr>
              <w:t>Единая система помогает человеку и бизнесу понять, что действительно ценно, где это должно находиться, кто имеет доступ, как объект защищён и что с ним произойдёт дальше.</w:t>
            </w:r>
          </w:p>
        </w:tc>
      </w:tr>
    </w:tbl>
    <w:p>
      <w:pPr>
        <w:spacing w:after="20"/>
      </w:pPr>
    </w:p>
    <w:p>
      <w:pPr>
        <w:spacing w:after="120" w:line="283" w:lineRule="auto"/>
      </w:pPr>
      <w:r>
        <w:rPr>
          <w:rFonts w:ascii="Aptos" w:hAnsi="Aptos"/>
          <w:b/>
          <w:i w:val="0"/>
          <w:color w:val="183B56"/>
          <w:sz w:val="21"/>
        </w:rPr>
        <w:t>Позиционирование: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Для человека — больше свободного пространства и спокойствия.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Для бизнеса — гибкая инфраструктура без лишней площади.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Для партнёров — стандартизированная сеть сервисов вокруг хранения.</w:t>
      </w:r>
    </w:p>
    <w:p>
      <w:pPr>
        <w:pStyle w:val="ListBullet"/>
        <w:keepLines/>
        <w:spacing w:before="20" w:after="100" w:line="269" w:lineRule="auto"/>
      </w:pPr>
      <w:r>
        <w:rPr>
          <w:rFonts w:ascii="Aptos" w:hAnsi="Aptos"/>
          <w:b w:val="0"/>
          <w:i w:val="0"/>
          <w:color w:val="24323D"/>
          <w:sz w:val="20"/>
        </w:rPr>
        <w:t>Для инвестора — масштабируемая модель с базовой арендной и дополнительной сервисной выручкой.</w:t>
      </w:r>
    </w:p>
    <w:p>
      <w:pPr>
        <w:spacing w:after="80" w:line="283" w:lineRule="auto"/>
        <w:jc w:val="center"/>
      </w:pPr>
      <w:r>
        <w:rPr>
          <w:rFonts w:ascii="Aptos" w:hAnsi="Aptos"/>
          <w:b/>
          <w:i w:val="0"/>
          <w:color w:val="1B7F79"/>
          <w:sz w:val="22"/>
        </w:rPr>
        <w:t>Ключевой слоган</w:t>
      </w:r>
    </w:p>
    <w:p>
      <w:pPr>
        <w:spacing w:after="200" w:line="283" w:lineRule="auto"/>
        <w:jc w:val="center"/>
      </w:pPr>
      <w:r>
        <w:rPr>
          <w:rFonts w:ascii="Aptos" w:hAnsi="Aptos"/>
          <w:b w:val="0"/>
          <w:i w:val="0"/>
          <w:color w:val="183B56"/>
          <w:sz w:val="36"/>
        </w:rPr>
        <w:t>«Храним не вещи — сохраняем ценность».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224" w:bottom="1080" w:left="1224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0717C"/>
        <w:sz w:val="16"/>
      </w:rPr>
      <w:t>Концепция 1.0  •  23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0717C"/>
        <w:sz w:val="17"/>
      </w:rPr>
      <w:t>МЕСТО  |  ЕДИНАЯ СИСТЕМА ХРАНЕНИЯ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2432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83B5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B7F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C89A45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