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60"/>
        </w:rPr>
        <w:t>МАТЕРИАЛОВЕДЕНИЕ</w:t>
      </w:r>
    </w:p>
    <w:p>
      <w:pPr>
        <w:jc w:val="center"/>
      </w:pPr>
      <w:r>
        <w:rPr>
          <w:b/>
          <w:sz w:val="38"/>
        </w:rPr>
        <w:t>Новая промышленная платформа сверхчистых материалов</w:t>
      </w:r>
    </w:p>
    <w:p>
      <w:pPr>
        <w:jc w:val="center"/>
      </w:pPr>
      <w:r>
        <w:rPr>
          <w:color w:val="2F5597"/>
          <w:sz w:val="28"/>
        </w:rPr>
        <w:t>Сверхкритическая металлургия · техническая керамика · синтетические кристаллы</w:t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32000" cy="325364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terials_platform_schem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32536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llout"/>
      </w:pPr>
      <w:r>
        <w:t>Основа: предоставленный материал «Принципиально новая отрасль: апробированная сверхкритическая металлургия». Документ расширяет исходную концепцию до единой системы материаловедения, сохраняя СКФЭ как обязательный технологический контур и добавляя керамику и синтетические кристаллы как самостоятельные продуктовые направления.</w:t>
      </w:r>
    </w:p>
    <w:p>
      <w:pPr>
        <w:jc w:val="center"/>
      </w:pPr>
      <w:r>
        <w:rPr>
          <w:sz w:val="21"/>
        </w:rPr>
        <w:t>Проектный формат для научно-технологической, промышленной и государственной проработки</w:t>
      </w:r>
    </w:p>
    <w:p>
      <w:r>
        <w:br w:type="page"/>
      </w:r>
    </w:p>
    <w:p>
      <w:pPr>
        <w:pStyle w:val="Heading1"/>
      </w:pPr>
      <w:r>
        <w:t>1. Стратегический замысел</w:t>
      </w:r>
    </w:p>
    <w:p>
      <w:r>
        <w:t>Исходный материал предлагает формирование новой отрасли на основе сверхкритической флюидной экстракции (СКФЭ): использование сверхкритических сред для селективного извлечения компонентов, ускоренного массопереноса и последующего получения чистых и сверхчистых веществ. В качестве ключевых областей применения названы микроэлектроника, оптика, горнорудная и металлургическая промышленность, медицина и направления двойного назначения.</w:t>
      </w:r>
    </w:p>
    <w:p>
      <w:r>
        <w:t>Для развития идеи целесообразно рассматривать СКФЭ не как изолированную технологию, а как один из базовых переделов единой платформы материаловедения. Такая платформа связывает сырьё и техногенные ресурсы, глубокое разделение и очистку, синтез порошков и прекурсоров, выращивание синтетических кристаллов, производство технической керамики и функциональных материалов, а также метрологию, испытания и цифровые паспорта материала.</w:t>
      </w:r>
    </w:p>
    <w:p>
      <w:r>
        <w:t>Ключевой результат — переход от продажи сырья или промежуточного концентрата к выпуску материалов с заданной чистотой, фазовым составом, структурой, дефектностью и функциональными свойствами. Это создаёт более длинную цепочку добавленной стоимости и формирует технологический суверенитет в критических материалах.</w:t>
      </w:r>
    </w:p>
    <w:p>
      <w:pPr>
        <w:pStyle w:val="Callout"/>
      </w:pPr>
      <w:r>
        <w:rPr>
          <w:b/>
        </w:rPr>
        <w:t xml:space="preserve">Научная оговорка. </w:t>
      </w:r>
      <w:r>
        <w:t>СКФЭ, гидротермальный синтез, кристалловыращивание и производство керамики — разные технологические классы. Их следует объединять на уровне отраслевой платформы и сырьевых/продуктовых цепочек, но не смешивать как один физико-химический процесс.</w:t>
      </w:r>
    </w:p>
    <w:p>
      <w:pPr>
        <w:pStyle w:val="Heading1"/>
      </w:pPr>
      <w:r>
        <w:t>2. Базовый контур: сверхкритические среды и СКФЭ</w:t>
      </w:r>
    </w:p>
    <w:p>
      <w:r>
        <w:t>Сверхкритический флюид — состояние вещества выше критических температуры и давления, при котором исчезает обычная граница между жидкой и газовой фазами. Для технологических задач важна комбинация высокой плотности, сравнительно низкой вязкости, повышенной диффузионной способности и регулируемой растворяющей способности.</w:t>
      </w:r>
    </w:p>
    <w:p>
      <w:r>
        <w:t>В предоставленном материале особо выделены сверхкритическая вода и сверхкритический диоксид углерода. Указывается, что изменение давления, температуры и состава среды позволяет управлять растворимостью и селективностью, а перевод системы ниже критической области может использоваться для выделения растворённых твёрдых компонентов.</w:t>
      </w:r>
    </w:p>
    <w:p>
      <w:r>
        <w:t>Исходный документ также связывает сверхкритические водные среды с гидротермальными технологиями, где при специальных условиях растворяются вещества, слабо растворимые в обычной воде, и приводятся примеры синтеза/выращивания SiO₂, GeO₂, ZnO, AlPO₄, Al₂O₃ и GaN.</w:t>
      </w:r>
    </w:p>
    <w:p>
      <w:r>
        <w:rPr>
          <w:b/>
        </w:rPr>
        <w:t>Технологические преимущества, сформулированные в исходном материале:</w:t>
      </w:r>
    </w:p>
    <w:p>
      <w:pPr>
        <w:pStyle w:val="ListBullet"/>
      </w:pPr>
      <w:r>
        <w:t>высокая проникающая способность и эффективный массоперенос;</w:t>
      </w:r>
    </w:p>
    <w:p>
      <w:pPr>
        <w:pStyle w:val="ListBullet"/>
      </w:pPr>
      <w:r>
        <w:t>регулируемая растворяющая способность и возможность селективного разделения;</w:t>
      </w:r>
    </w:p>
    <w:p>
      <w:pPr>
        <w:pStyle w:val="ListBullet"/>
      </w:pPr>
      <w:r>
        <w:t>сокращение времени ряда экстракционных операций;</w:t>
      </w:r>
    </w:p>
    <w:p>
      <w:pPr>
        <w:pStyle w:val="ListBullet"/>
      </w:pPr>
      <w:r>
        <w:t>относительно простое разделение флюида и выделяемой фракции при изменении параметров;</w:t>
      </w:r>
    </w:p>
    <w:p>
      <w:pPr>
        <w:pStyle w:val="ListBullet"/>
      </w:pPr>
      <w:r>
        <w:t>возможность многостадийных «проходов» с разными флюидами и модификаторами.</w:t>
      </w:r>
    </w:p>
    <w:p>
      <w:pPr>
        <w:pStyle w:val="Callout"/>
      </w:pPr>
      <w:r>
        <w:rPr>
          <w:b/>
        </w:rPr>
        <w:t xml:space="preserve">Проверка утверждений. </w:t>
      </w:r>
      <w:r>
        <w:t>Численные оценки рынка GaN в России, заявленные в исходном документе, а также параметры конкретных российских реакторов здесь не подтверждались внешними источниками и должны рассматриваться как исходные проектные утверждения до отдельной верификации.</w:t>
      </w:r>
    </w:p>
    <w:p>
      <w:pPr>
        <w:pStyle w:val="Heading1"/>
      </w:pPr>
      <w:r>
        <w:t>3. Карта новой отрасли материаловедения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5"/>
        <w:gridCol w:w="2535"/>
        <w:gridCol w:w="2535"/>
        <w:gridCol w:w="2535"/>
      </w:tblGrid>
      <w:tr>
        <w:tc>
          <w:tcPr>
            <w:tcW w:type="dxa" w:w="2535"/>
            <w:shd w:fill="D9EAF7"/>
          </w:tcPr>
          <w:p>
            <w:pPr>
              <w:spacing w:after="40"/>
            </w:pPr>
            <w:r>
              <w:rPr>
                <w:sz w:val="16"/>
              </w:rPr>
              <w:t>Контур</w:t>
            </w:r>
          </w:p>
        </w:tc>
        <w:tc>
          <w:tcPr>
            <w:tcW w:type="dxa" w:w="2535"/>
            <w:shd w:fill="D9EAF7"/>
          </w:tcPr>
          <w:p>
            <w:pPr>
              <w:spacing w:after="40"/>
            </w:pPr>
            <w:r>
              <w:rPr>
                <w:sz w:val="16"/>
              </w:rPr>
              <w:t>Материалы / продукты</w:t>
            </w:r>
          </w:p>
        </w:tc>
        <w:tc>
          <w:tcPr>
            <w:tcW w:type="dxa" w:w="2535"/>
            <w:shd w:fill="D9EAF7"/>
          </w:tcPr>
          <w:p>
            <w:pPr>
              <w:spacing w:after="40"/>
            </w:pPr>
            <w:r>
              <w:rPr>
                <w:sz w:val="16"/>
              </w:rPr>
              <w:t>Ключевые параметры</w:t>
            </w:r>
          </w:p>
        </w:tc>
        <w:tc>
          <w:tcPr>
            <w:tcW w:type="dxa" w:w="2535"/>
            <w:shd w:fill="D9EAF7"/>
          </w:tcPr>
          <w:p>
            <w:pPr>
              <w:spacing w:after="40"/>
            </w:pPr>
            <w:r>
              <w:rPr>
                <w:sz w:val="16"/>
              </w:rPr>
              <w:t>Основные потребители</w:t>
            </w:r>
          </w:p>
        </w:tc>
      </w:tr>
      <w:tr>
        <w:tc>
          <w:tcPr>
            <w:tcW w:type="dxa" w:w="2535"/>
            <w:vAlign w:val="center"/>
          </w:tcPr>
          <w:p>
            <w:pPr>
              <w:spacing w:after="40"/>
            </w:pPr>
            <w:r>
              <w:rPr>
                <w:sz w:val="16"/>
              </w:rPr>
              <w:t>Сверхчистые вещества</w:t>
            </w:r>
          </w:p>
        </w:tc>
        <w:tc>
          <w:tcPr>
            <w:tcW w:type="dxa" w:w="2535"/>
            <w:vAlign w:val="center"/>
          </w:tcPr>
          <w:p>
            <w:pPr>
              <w:spacing w:after="40"/>
            </w:pPr>
            <w:r>
              <w:rPr>
                <w:sz w:val="16"/>
              </w:rPr>
              <w:t>оксиды, соли, металлы, прекурсоры</w:t>
            </w:r>
          </w:p>
        </w:tc>
        <w:tc>
          <w:tcPr>
            <w:tcW w:type="dxa" w:w="2535"/>
            <w:vAlign w:val="center"/>
          </w:tcPr>
          <w:p>
            <w:pPr>
              <w:spacing w:after="40"/>
            </w:pPr>
            <w:r>
              <w:rPr>
                <w:sz w:val="16"/>
              </w:rPr>
              <w:t>6N+ чистота, примеси, изотопный/элементный состав</w:t>
            </w:r>
          </w:p>
        </w:tc>
        <w:tc>
          <w:tcPr>
            <w:tcW w:type="dxa" w:w="2535"/>
            <w:vAlign w:val="center"/>
          </w:tcPr>
          <w:p>
            <w:pPr>
              <w:spacing w:after="40"/>
            </w:pPr>
            <w:r>
              <w:rPr>
                <w:sz w:val="16"/>
              </w:rPr>
              <w:t>микроэлектроника, оптика, химия</w:t>
            </w:r>
          </w:p>
        </w:tc>
      </w:tr>
      <w:tr>
        <w:tc>
          <w:tcPr>
            <w:tcW w:type="dxa" w:w="2535"/>
            <w:vAlign w:val="center"/>
          </w:tcPr>
          <w:p>
            <w:pPr>
              <w:spacing w:after="40"/>
            </w:pPr>
            <w:r>
              <w:rPr>
                <w:sz w:val="16"/>
              </w:rPr>
              <w:t>Техническая керамика</w:t>
            </w:r>
          </w:p>
        </w:tc>
        <w:tc>
          <w:tcPr>
            <w:tcW w:type="dxa" w:w="2535"/>
            <w:vAlign w:val="center"/>
          </w:tcPr>
          <w:p>
            <w:pPr>
              <w:spacing w:after="40"/>
            </w:pPr>
            <w:r>
              <w:rPr>
                <w:sz w:val="16"/>
              </w:rPr>
              <w:t>Al₂O₃, ZrO₂, SiC, Si₃N₄, AlN и композиты</w:t>
            </w:r>
          </w:p>
        </w:tc>
        <w:tc>
          <w:tcPr>
            <w:tcW w:type="dxa" w:w="2535"/>
            <w:vAlign w:val="center"/>
          </w:tcPr>
          <w:p>
            <w:pPr>
              <w:spacing w:after="40"/>
            </w:pPr>
            <w:r>
              <w:rPr>
                <w:sz w:val="16"/>
              </w:rPr>
              <w:t>плотность, пористость, размер зерна, теплопроводность, прочность</w:t>
            </w:r>
          </w:p>
        </w:tc>
        <w:tc>
          <w:tcPr>
            <w:tcW w:type="dxa" w:w="2535"/>
            <w:vAlign w:val="center"/>
          </w:tcPr>
          <w:p>
            <w:pPr>
              <w:spacing w:after="40"/>
            </w:pPr>
            <w:r>
              <w:rPr>
                <w:sz w:val="16"/>
              </w:rPr>
              <w:t>электроника, энергетика, транспорт, медицина</w:t>
            </w:r>
          </w:p>
        </w:tc>
      </w:tr>
      <w:tr>
        <w:tc>
          <w:tcPr>
            <w:tcW w:type="dxa" w:w="2535"/>
            <w:vAlign w:val="center"/>
          </w:tcPr>
          <w:p>
            <w:pPr>
              <w:spacing w:after="40"/>
            </w:pPr>
            <w:r>
              <w:rPr>
                <w:sz w:val="16"/>
              </w:rPr>
              <w:t>Синтетические кристаллы</w:t>
            </w:r>
          </w:p>
        </w:tc>
        <w:tc>
          <w:tcPr>
            <w:tcW w:type="dxa" w:w="2535"/>
            <w:vAlign w:val="center"/>
          </w:tcPr>
          <w:p>
            <w:pPr>
              <w:spacing w:after="40"/>
            </w:pPr>
            <w:r>
              <w:rPr>
                <w:sz w:val="16"/>
              </w:rPr>
              <w:t>лейкосапфир, YAG, GGG, фианит, кварц, GaN, ZnO</w:t>
            </w:r>
          </w:p>
        </w:tc>
        <w:tc>
          <w:tcPr>
            <w:tcW w:type="dxa" w:w="2535"/>
            <w:vAlign w:val="center"/>
          </w:tcPr>
          <w:p>
            <w:pPr>
              <w:spacing w:after="40"/>
            </w:pPr>
            <w:r>
              <w:rPr>
                <w:sz w:val="16"/>
              </w:rPr>
              <w:t>дефектность, ориентация, оптические и электрические свойства</w:t>
            </w:r>
          </w:p>
        </w:tc>
        <w:tc>
          <w:tcPr>
            <w:tcW w:type="dxa" w:w="2535"/>
            <w:vAlign w:val="center"/>
          </w:tcPr>
          <w:p>
            <w:pPr>
              <w:spacing w:after="40"/>
            </w:pPr>
            <w:r>
              <w:rPr>
                <w:sz w:val="16"/>
              </w:rPr>
              <w:t>лазеры, СВЧ, силовая электроника, оптика</w:t>
            </w:r>
          </w:p>
        </w:tc>
      </w:tr>
      <w:tr>
        <w:tc>
          <w:tcPr>
            <w:tcW w:type="dxa" w:w="2535"/>
            <w:vAlign w:val="center"/>
          </w:tcPr>
          <w:p>
            <w:pPr>
              <w:spacing w:after="40"/>
            </w:pPr>
            <w:r>
              <w:rPr>
                <w:sz w:val="16"/>
              </w:rPr>
              <w:t>Порошки и наноматериалы</w:t>
            </w:r>
          </w:p>
        </w:tc>
        <w:tc>
          <w:tcPr>
            <w:tcW w:type="dxa" w:w="2535"/>
            <w:vAlign w:val="center"/>
          </w:tcPr>
          <w:p>
            <w:pPr>
              <w:spacing w:after="40"/>
            </w:pPr>
            <w:r>
              <w:rPr>
                <w:sz w:val="16"/>
              </w:rPr>
              <w:t>оксидные, нитридные, карбидные порошки</w:t>
            </w:r>
          </w:p>
        </w:tc>
        <w:tc>
          <w:tcPr>
            <w:tcW w:type="dxa" w:w="2535"/>
            <w:vAlign w:val="center"/>
          </w:tcPr>
          <w:p>
            <w:pPr>
              <w:spacing w:after="40"/>
            </w:pPr>
            <w:r>
              <w:rPr>
                <w:sz w:val="16"/>
              </w:rPr>
              <w:t>гранулометрия, удельная поверхность, чистота, агломерация</w:t>
            </w:r>
          </w:p>
        </w:tc>
        <w:tc>
          <w:tcPr>
            <w:tcW w:type="dxa" w:w="2535"/>
            <w:vAlign w:val="center"/>
          </w:tcPr>
          <w:p>
            <w:pPr>
              <w:spacing w:after="40"/>
            </w:pPr>
            <w:r>
              <w:rPr>
                <w:sz w:val="16"/>
              </w:rPr>
              <w:t>аддитивные технологии, покрытия, керамика</w:t>
            </w:r>
          </w:p>
        </w:tc>
      </w:tr>
      <w:tr>
        <w:tc>
          <w:tcPr>
            <w:tcW w:type="dxa" w:w="2535"/>
            <w:vAlign w:val="center"/>
          </w:tcPr>
          <w:p>
            <w:pPr>
              <w:spacing w:after="40"/>
            </w:pPr>
            <w:r>
              <w:rPr>
                <w:sz w:val="16"/>
              </w:rPr>
              <w:t>Функциональные покрытия</w:t>
            </w:r>
          </w:p>
        </w:tc>
        <w:tc>
          <w:tcPr>
            <w:tcW w:type="dxa" w:w="2535"/>
            <w:vAlign w:val="center"/>
          </w:tcPr>
          <w:p>
            <w:pPr>
              <w:spacing w:after="40"/>
            </w:pPr>
            <w:r>
              <w:rPr>
                <w:sz w:val="16"/>
              </w:rPr>
              <w:t>защитные, оптические, проводящие, диэлектрические</w:t>
            </w:r>
          </w:p>
        </w:tc>
        <w:tc>
          <w:tcPr>
            <w:tcW w:type="dxa" w:w="2535"/>
            <w:vAlign w:val="center"/>
          </w:tcPr>
          <w:p>
            <w:pPr>
              <w:spacing w:after="40"/>
            </w:pPr>
            <w:r>
              <w:rPr>
                <w:sz w:val="16"/>
              </w:rPr>
              <w:t>толщина, адгезия, дефекты, стойкость</w:t>
            </w:r>
          </w:p>
        </w:tc>
        <w:tc>
          <w:tcPr>
            <w:tcW w:type="dxa" w:w="2535"/>
            <w:vAlign w:val="center"/>
          </w:tcPr>
          <w:p>
            <w:pPr>
              <w:spacing w:after="40"/>
            </w:pPr>
            <w:r>
              <w:rPr>
                <w:sz w:val="16"/>
              </w:rPr>
              <w:t>машиностроение, приборостроение, космос</w:t>
            </w:r>
          </w:p>
        </w:tc>
      </w:tr>
    </w:tbl>
    <w:p>
      <w:pPr>
        <w:pStyle w:val="Heading2"/>
      </w:pPr>
      <w:r>
        <w:t>3.1. Принцип единого паспорта материала</w:t>
      </w:r>
    </w:p>
    <w:p>
      <w:pPr>
        <w:pStyle w:val="ListBullet"/>
      </w:pPr>
      <w:r>
        <w:t>сырьё и происхождение партии;</w:t>
      </w:r>
    </w:p>
    <w:p>
      <w:pPr>
        <w:pStyle w:val="ListBullet"/>
      </w:pPr>
      <w:r>
        <w:t>химическая и элементная чистота;</w:t>
      </w:r>
    </w:p>
    <w:p>
      <w:pPr>
        <w:pStyle w:val="ListBullet"/>
      </w:pPr>
      <w:r>
        <w:t>фазовый состав и кристаллография;</w:t>
      </w:r>
    </w:p>
    <w:p>
      <w:pPr>
        <w:pStyle w:val="ListBullet"/>
      </w:pPr>
      <w:r>
        <w:t>микроструктура, пористость, дефекты и включения;</w:t>
      </w:r>
    </w:p>
    <w:p>
      <w:pPr>
        <w:pStyle w:val="ListBullet"/>
      </w:pPr>
      <w:r>
        <w:t>механические, термические, электрические, оптические и химические свойства;</w:t>
      </w:r>
    </w:p>
    <w:p>
      <w:pPr>
        <w:pStyle w:val="ListBullet"/>
      </w:pPr>
      <w:r>
        <w:t>технологическая история партии и режимы обработки;</w:t>
      </w:r>
    </w:p>
    <w:p>
      <w:pPr>
        <w:pStyle w:val="ListBullet"/>
      </w:pPr>
      <w:r>
        <w:t>методы измерений, неопределённость, лаборатория и протоколы;</w:t>
      </w:r>
    </w:p>
    <w:p>
      <w:pPr>
        <w:pStyle w:val="ListBullet"/>
      </w:pPr>
      <w:r>
        <w:t>прослеживаемость от сырья до конечного изделия.</w:t>
      </w:r>
    </w:p>
    <w:p>
      <w:pPr>
        <w:pStyle w:val="Heading1"/>
      </w:pPr>
      <w:r>
        <w:t>4. Синтетические кристаллы как отдельный продуктовый контур</w:t>
      </w:r>
    </w:p>
    <w:p>
      <w:r>
        <w:t>Синтетические кристаллы — кристаллические материалы, выращенные в контролируемых лабораторных или промышленных условиях. Их химическая основа может совпадать с природным минералом, однако промышленная ценность определяется не происхождением, а управляемой чистотой, дефектностью, геометрией, ориентацией и функциональными характеристиками.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5"/>
        <w:gridCol w:w="2535"/>
        <w:gridCol w:w="2535"/>
        <w:gridCol w:w="2535"/>
      </w:tblGrid>
      <w:tr>
        <w:tc>
          <w:tcPr>
            <w:tcW w:type="dxa" w:w="2535"/>
            <w:shd w:fill="E2F0D9"/>
          </w:tcPr>
          <w:p>
            <w:pPr>
              <w:spacing w:after="40"/>
            </w:pPr>
            <w:r>
              <w:rPr>
                <w:sz w:val="16"/>
              </w:rPr>
              <w:t>Материал</w:t>
            </w:r>
          </w:p>
        </w:tc>
        <w:tc>
          <w:tcPr>
            <w:tcW w:type="dxa" w:w="2535"/>
            <w:shd w:fill="E2F0D9"/>
          </w:tcPr>
          <w:p>
            <w:pPr>
              <w:spacing w:after="40"/>
            </w:pPr>
            <w:r>
              <w:rPr>
                <w:sz w:val="16"/>
              </w:rPr>
              <w:t>Химическая основа</w:t>
            </w:r>
          </w:p>
        </w:tc>
        <w:tc>
          <w:tcPr>
            <w:tcW w:type="dxa" w:w="2535"/>
            <w:shd w:fill="E2F0D9"/>
          </w:tcPr>
          <w:p>
            <w:pPr>
              <w:spacing w:after="40"/>
            </w:pPr>
            <w:r>
              <w:rPr>
                <w:sz w:val="16"/>
              </w:rPr>
              <w:t>Типичные функции</w:t>
            </w:r>
          </w:p>
        </w:tc>
        <w:tc>
          <w:tcPr>
            <w:tcW w:type="dxa" w:w="2535"/>
            <w:shd w:fill="E2F0D9"/>
          </w:tcPr>
          <w:p>
            <w:pPr>
              <w:spacing w:after="40"/>
            </w:pPr>
            <w:r>
              <w:rPr>
                <w:sz w:val="16"/>
              </w:rPr>
              <w:t>Связь с платформой</w:t>
            </w:r>
          </w:p>
        </w:tc>
      </w:tr>
      <w:tr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Синтетический алмаз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C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теплоотвод, оптика, режущий материал, электроника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сверхчистые исходные вещества, газофазный/HPHT синтез</w:t>
            </w:r>
          </w:p>
        </w:tc>
      </w:tr>
      <w:tr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Лейкосапфир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Al₂O₃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оптические окна, подложки, защитные элементы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высокочистый Al₂O₃ → кристалловыращивание</w:t>
            </w:r>
          </w:p>
        </w:tc>
      </w:tr>
      <w:tr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ИАГ / YAG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Y₃Al₅O₁₂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лазерные и оптические материалы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чистые оксиды Y и Al → выращивание/легирование</w:t>
            </w:r>
          </w:p>
        </w:tc>
      </w:tr>
      <w:tr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ГГГ / GGG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Gd₃Ga₅O₁₂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магнитооптика, подложки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чистые соединения Gd/Ga → кристалловыращивание</w:t>
            </w:r>
          </w:p>
        </w:tc>
      </w:tr>
      <w:tr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Фианит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ZrO₂, стабилизированный Y₂O₃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оптика, ювелирные и технические применения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чистые Zr/Y-прекурсоры → плавление/кристаллизация</w:t>
            </w:r>
          </w:p>
        </w:tc>
      </w:tr>
      <w:tr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Кварц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SiO₂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частотные элементы, оптика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гидротермальное выращивание из высокочистого SiO₂</w:t>
            </w:r>
          </w:p>
        </w:tc>
      </w:tr>
      <w:tr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GaN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GaN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силовая и СВЧ-электроника, оптоэлектроника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чистые прекурсоры + специализированные методы роста</w:t>
            </w:r>
          </w:p>
        </w:tc>
      </w:tr>
      <w:tr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ZnO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ZnO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оптика, пьезоэлектрика, сенсоры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гидротермальный/другой контролируемый рост</w:t>
            </w:r>
          </w:p>
        </w:tc>
      </w:tr>
    </w:tbl>
    <w:p>
      <w:pPr>
        <w:pStyle w:val="Callout"/>
      </w:pPr>
      <w:r>
        <w:rPr>
          <w:b/>
        </w:rPr>
        <w:t xml:space="preserve">Важно: </w:t>
      </w:r>
      <w:r>
        <w:t>не все перечисленные кристаллы рационально выращивать именно в сверхкритической среде. Роль СКФЭ в общей архитектуре может заключаться прежде всего в глубокой очистке сырья и получении высокочистых прекурсоров, тогда как сам рост кристалла выполняется гидротермальным, Чохральского, Степанова, зонной плавкой, HPHT/CVD или другим методом — по материалу и ТЗ.</w:t>
      </w:r>
    </w:p>
    <w:p>
      <w:pPr>
        <w:pStyle w:val="Heading1"/>
      </w:pPr>
      <w:r>
        <w:t>5. Техническая керамика: обязательный второй контур</w:t>
      </w:r>
    </w:p>
    <w:p>
      <w:r>
        <w:t>Керамика должна рассматриваться не как «побочный» продукт металлургии, а как самостоятельный класс конструкционных и функциональных материалов. Для многих применений решающими являются не только химическая чистота, но и качество порошка, гранулометрия, формование, спекание, фазовые превращения и управление пористостью.</w:t>
      </w:r>
    </w:p>
    <w:p>
      <w:r>
        <w:rPr>
          <w:b/>
        </w:rPr>
        <w:t xml:space="preserve">Оксидная керамика: </w:t>
      </w:r>
      <w:r>
        <w:t>Al₂O₃, ZrO₂ и их композиции: электрическая изоляция, износостойкость, биосовместимые и высокотемпературные узлы.</w:t>
      </w:r>
    </w:p>
    <w:p>
      <w:r>
        <w:rPr>
          <w:b/>
        </w:rPr>
        <w:t xml:space="preserve">Нитридная керамика: </w:t>
      </w:r>
      <w:r>
        <w:t>AlN и Si₃N₄: теплопроводящие подложки, электрическая изоляция, термостойкие и прочностные детали.</w:t>
      </w:r>
    </w:p>
    <w:p>
      <w:r>
        <w:rPr>
          <w:b/>
        </w:rPr>
        <w:t xml:space="preserve">Карбидная керамика: </w:t>
      </w:r>
      <w:r>
        <w:t>SiC и другие карбиды: высокая твёрдость, химическая и температурная стойкость, силовые и конструкционные применения.</w:t>
      </w:r>
    </w:p>
    <w:p>
      <w:r>
        <w:rPr>
          <w:b/>
        </w:rPr>
        <w:t xml:space="preserve">Прозрачная керамика: </w:t>
      </w:r>
      <w:r>
        <w:t>поликристаллические оптические материалы с высокой плотностью и контролируемой микроструктурой; конкурируют и дополняют монокристаллы в части оптических задач.</w:t>
      </w:r>
    </w:p>
    <w:p>
      <w:r>
        <w:rPr>
          <w:b/>
        </w:rPr>
        <w:t xml:space="preserve">Керамические композиты: </w:t>
      </w:r>
      <w:r>
        <w:t>материалы с сочетанием матриц и армирующих фаз для управления трещиностойкостью, температурным ресурсом и массой.</w:t>
      </w:r>
    </w:p>
    <w:p>
      <w:pPr>
        <w:pStyle w:val="Heading1"/>
      </w:pPr>
      <w:r>
        <w:t>6. Сквозная технологическая цепочка</w:t>
      </w:r>
    </w:p>
    <w:p>
      <w:r>
        <w:rPr>
          <w:b/>
        </w:rPr>
        <w:t>1. Сырьевая карта</w:t>
      </w:r>
      <w:r>
        <w:t xml:space="preserve"> — Руды, концентраты, металлургические отвалы, техногенные отходы, вторичные материалы; химико-минералогический паспорт.</w:t>
      </w:r>
    </w:p>
    <w:p>
      <w:r>
        <w:rPr>
          <w:b/>
        </w:rPr>
        <w:t>2. Предподготовка</w:t>
      </w:r>
      <w:r>
        <w:t xml:space="preserve"> — Дробление, классификация, выщелачивание/обогащение при необходимости, перевод целевых компонентов в извлекаемую форму.</w:t>
      </w:r>
    </w:p>
    <w:p>
      <w:r>
        <w:rPr>
          <w:b/>
        </w:rPr>
        <w:t>3. Сверхкритическое разделение</w:t>
      </w:r>
      <w:r>
        <w:t xml:space="preserve"> — Подбор флюида, модификаторов, давления, температуры и последовательности стадий для селективного извлечения.</w:t>
      </w:r>
    </w:p>
    <w:p>
      <w:r>
        <w:rPr>
          <w:b/>
        </w:rPr>
        <w:t>4. Очистка и прекурсоры</w:t>
      </w:r>
      <w:r>
        <w:t xml:space="preserve"> — Получение соединений высокой чистоты, контроль остаточных примесей, перевод в заданную химическую форму.</w:t>
      </w:r>
    </w:p>
    <w:p>
      <w:r>
        <w:rPr>
          <w:b/>
        </w:rPr>
        <w:t>5. Формирование материала</w:t>
      </w:r>
      <w:r>
        <w:t xml:space="preserve"> — Кристалловыращивание, синтез порошков, спекание керамики, напыление покрытий, получение композитов.</w:t>
      </w:r>
    </w:p>
    <w:p>
      <w:r>
        <w:rPr>
          <w:b/>
        </w:rPr>
        <w:t>6. Постобработка</w:t>
      </w:r>
      <w:r>
        <w:t xml:space="preserve"> — Резка, шлифование, полирование, отжиг, легирование, термообработка, чистовая обработка.</w:t>
      </w:r>
    </w:p>
    <w:p>
      <w:r>
        <w:rPr>
          <w:b/>
        </w:rPr>
        <w:t>7. Валидация</w:t>
      </w:r>
      <w:r>
        <w:t xml:space="preserve"> — Химический анализ, рентгенофазовый и структурный анализ, микроскопия, механические/оптические/электрические испытания.</w:t>
      </w:r>
    </w:p>
    <w:p>
      <w:r>
        <w:rPr>
          <w:b/>
        </w:rPr>
        <w:t>8. Цифровой паспорт</w:t>
      </w:r>
      <w:r>
        <w:t xml:space="preserve"> — Прослеживаемость партии, технологические режимы, протоколы испытаний, область допустимого применения.</w:t>
      </w:r>
    </w:p>
    <w:p>
      <w:pPr>
        <w:pStyle w:val="Heading1"/>
      </w:pPr>
      <w:r>
        <w:t>7. Центр компетенций по сверхчистым материалам</w:t>
      </w:r>
    </w:p>
    <w:p>
      <w:r>
        <w:t>Исходный документ предлагает создание Центра компетенций по СК-технологиям в горнорудной сфере. В расширенной модели центр становится межотраслевой инфраструктурой, объединяющей СКФЭ, материалы высокой чистоты, керамику и синтетические кристаллы.</w:t>
      </w:r>
    </w:p>
    <w:p>
      <w:pPr>
        <w:pStyle w:val="ListBullet"/>
      </w:pPr>
      <w:r>
        <w:t>реакторный участок СКФЭ и гидротермальных процессов;</w:t>
      </w:r>
    </w:p>
    <w:p>
      <w:pPr>
        <w:pStyle w:val="ListBullet"/>
      </w:pPr>
      <w:r>
        <w:t>аналитический центр сверхнизких концентраций примесей;</w:t>
      </w:r>
    </w:p>
    <w:p>
      <w:pPr>
        <w:pStyle w:val="ListBullet"/>
      </w:pPr>
      <w:r>
        <w:t>участок получения высокочистых оксидов, солей и металлических прекурсоров;</w:t>
      </w:r>
    </w:p>
    <w:p>
      <w:pPr>
        <w:pStyle w:val="ListBullet"/>
      </w:pPr>
      <w:r>
        <w:t>лаборатория порошков и керамических технологий;</w:t>
      </w:r>
    </w:p>
    <w:p>
      <w:pPr>
        <w:pStyle w:val="ListBullet"/>
      </w:pPr>
      <w:r>
        <w:t>участок выращивания синтетических кристаллов и постобработки;</w:t>
      </w:r>
    </w:p>
    <w:p>
      <w:pPr>
        <w:pStyle w:val="ListBullet"/>
      </w:pPr>
      <w:r>
        <w:t>центр испытаний и валидации свойств;</w:t>
      </w:r>
    </w:p>
    <w:p>
      <w:pPr>
        <w:pStyle w:val="ListBullet"/>
      </w:pPr>
      <w:r>
        <w:t>цифровой реестр материалов, рецептур, режимов и партий;</w:t>
      </w:r>
    </w:p>
    <w:p>
      <w:pPr>
        <w:pStyle w:val="ListBullet"/>
      </w:pPr>
      <w:r>
        <w:t>пилотная линия масштабирования «лаборатория → опытное производство → серия»;</w:t>
      </w:r>
    </w:p>
    <w:p>
      <w:pPr>
        <w:pStyle w:val="ListBullet"/>
      </w:pPr>
      <w:r>
        <w:t>инженерная школа по высокому давлению, материалам оборудования, безопасности и автоматизации.</w:t>
      </w:r>
    </w:p>
    <w:p>
      <w:pPr>
        <w:pStyle w:val="Heading1"/>
      </w:pPr>
      <w:r>
        <w:t>8. Пилотные продуктовые программы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28"/>
        <w:gridCol w:w="2028"/>
        <w:gridCol w:w="2028"/>
        <w:gridCol w:w="2028"/>
        <w:gridCol w:w="2028"/>
      </w:tblGrid>
      <w:tr>
        <w:tc>
          <w:tcPr>
            <w:tcW w:type="dxa" w:w="2028"/>
            <w:shd w:fill="FCE4D6"/>
          </w:tcPr>
          <w:p>
            <w:pPr>
              <w:spacing w:after="40"/>
            </w:pPr>
            <w:r>
              <w:rPr>
                <w:sz w:val="16"/>
              </w:rPr>
              <w:t>Пилот</w:t>
            </w:r>
          </w:p>
        </w:tc>
        <w:tc>
          <w:tcPr>
            <w:tcW w:type="dxa" w:w="2028"/>
            <w:shd w:fill="FCE4D6"/>
          </w:tcPr>
          <w:p>
            <w:pPr>
              <w:spacing w:after="40"/>
            </w:pPr>
            <w:r>
              <w:rPr>
                <w:sz w:val="16"/>
              </w:rPr>
              <w:t>Целевой продукт</w:t>
            </w:r>
          </w:p>
        </w:tc>
        <w:tc>
          <w:tcPr>
            <w:tcW w:type="dxa" w:w="2028"/>
            <w:shd w:fill="FCE4D6"/>
          </w:tcPr>
          <w:p>
            <w:pPr>
              <w:spacing w:after="40"/>
            </w:pPr>
            <w:r>
              <w:rPr>
                <w:sz w:val="16"/>
              </w:rPr>
              <w:t>Вход</w:t>
            </w:r>
          </w:p>
        </w:tc>
        <w:tc>
          <w:tcPr>
            <w:tcW w:type="dxa" w:w="2028"/>
            <w:shd w:fill="FCE4D6"/>
          </w:tcPr>
          <w:p>
            <w:pPr>
              <w:spacing w:after="40"/>
            </w:pPr>
            <w:r>
              <w:rPr>
                <w:sz w:val="16"/>
              </w:rPr>
              <w:t>Ключевой передел</w:t>
            </w:r>
          </w:p>
        </w:tc>
        <w:tc>
          <w:tcPr>
            <w:tcW w:type="dxa" w:w="2028"/>
            <w:shd w:fill="FCE4D6"/>
          </w:tcPr>
          <w:p>
            <w:pPr>
              <w:spacing w:after="40"/>
            </w:pPr>
            <w:r>
              <w:rPr>
                <w:sz w:val="16"/>
              </w:rPr>
              <w:t>Критерий результата</w:t>
            </w:r>
          </w:p>
        </w:tc>
      </w:tr>
      <w:tr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P1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6N Al₂O₃ / прекурсор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алюминийсодержащее сырьё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разделение + глубинная очистка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стабильный профиль примесей и воспроизводимость</w:t>
            </w:r>
          </w:p>
        </w:tc>
      </w:tr>
      <w:tr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P2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лейкосапфир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6N Al₂O₃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кристалловыращивание + отжиг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оптическая однородность и низкая дефектность</w:t>
            </w:r>
          </w:p>
        </w:tc>
      </w:tr>
      <w:tr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P3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Al₂O₃-керамика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высокочистый порошок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порошкоподготовка + спекание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плотность, прочность, диэлектрические свойства</w:t>
            </w:r>
          </w:p>
        </w:tc>
      </w:tr>
      <w:tr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P4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YAG / GGG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чистые оксиды Y/Gd/Ga/Al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синтез шихты + рост кристалла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оптические параметры и однородность легирования</w:t>
            </w:r>
          </w:p>
        </w:tc>
      </w:tr>
      <w:tr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P5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Ga/GaN-контур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галлийсодержащее сырьё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извлечение/очистка + специализированный рост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электронная чистота и качество кристалла</w:t>
            </w:r>
          </w:p>
        </w:tc>
      </w:tr>
      <w:tr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P6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извлечение из отвалов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техногенное сырьё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селективная СКФЭ</w:t>
            </w:r>
          </w:p>
        </w:tc>
        <w:tc>
          <w:tcPr>
            <w:tcW w:type="dxa" w:w="2028"/>
          </w:tcPr>
          <w:p>
            <w:pPr>
              <w:spacing w:after="40"/>
            </w:pPr>
            <w:r>
              <w:rPr>
                <w:sz w:val="16"/>
              </w:rPr>
              <w:t>извлечение целевого элемента + экономика хвостов</w:t>
            </w:r>
          </w:p>
        </w:tc>
      </w:tr>
    </w:tbl>
    <w:p>
      <w:pPr>
        <w:pStyle w:val="Heading1"/>
      </w:pPr>
      <w:r>
        <w:t>9. Система показателей</w:t>
      </w:r>
    </w:p>
    <w:p>
      <w:pPr>
        <w:pStyle w:val="ListBullet"/>
      </w:pPr>
      <w:r>
        <w:t>чистота: массовая доля основного вещества и профиль критических примесей;</w:t>
      </w:r>
    </w:p>
    <w:p>
      <w:pPr>
        <w:pStyle w:val="ListBullet"/>
      </w:pPr>
      <w:r>
        <w:t>выход целевого компонента и селективность разделения;</w:t>
      </w:r>
    </w:p>
    <w:p>
      <w:pPr>
        <w:pStyle w:val="ListBullet"/>
      </w:pPr>
      <w:r>
        <w:t>удельные энергозатраты и расход флюида/реагентов;</w:t>
      </w:r>
    </w:p>
    <w:p>
      <w:pPr>
        <w:pStyle w:val="ListBullet"/>
      </w:pPr>
      <w:r>
        <w:t>производительность реактора и коэффициент использования оборудования;</w:t>
      </w:r>
    </w:p>
    <w:p>
      <w:pPr>
        <w:pStyle w:val="ListBullet"/>
      </w:pPr>
      <w:r>
        <w:t>стабильность качества от партии к партии;</w:t>
      </w:r>
    </w:p>
    <w:p>
      <w:pPr>
        <w:pStyle w:val="ListBullet"/>
      </w:pPr>
      <w:r>
        <w:t>для керамики: плотность, пористость, зерно, прочность, теплопроводность, электрические свойства;</w:t>
      </w:r>
    </w:p>
    <w:p>
      <w:pPr>
        <w:pStyle w:val="ListBullet"/>
      </w:pPr>
      <w:r>
        <w:t>для кристаллов: дислокации, включения, оптическая однородность, ориентация, удельное сопротивление и другие профильные параметры;</w:t>
      </w:r>
    </w:p>
    <w:p>
      <w:pPr>
        <w:pStyle w:val="ListBullet"/>
      </w:pPr>
      <w:r>
        <w:t>доля отечественных материалов и оборудования в критических цепочках;</w:t>
      </w:r>
    </w:p>
    <w:p>
      <w:pPr>
        <w:pStyle w:val="ListBullet"/>
      </w:pPr>
      <w:r>
        <w:t>срок масштабирования от лабораторного образца до квалифицированной серии;</w:t>
      </w:r>
    </w:p>
    <w:p>
      <w:pPr>
        <w:pStyle w:val="ListBullet"/>
      </w:pPr>
      <w:r>
        <w:t>экономика полного жизненного цикла, включая возврат вторичных ресурсов.</w:t>
      </w:r>
    </w:p>
    <w:p>
      <w:pPr>
        <w:pStyle w:val="Heading1"/>
      </w:pPr>
      <w:r>
        <w:t>10. Дорожная карта 2026–2032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5"/>
        <w:gridCol w:w="2535"/>
        <w:gridCol w:w="2535"/>
        <w:gridCol w:w="2535"/>
      </w:tblGrid>
      <w:tr>
        <w:tc>
          <w:tcPr>
            <w:tcW w:type="dxa" w:w="2535"/>
            <w:shd w:fill="DDEBF7"/>
          </w:tcPr>
          <w:p>
            <w:pPr>
              <w:spacing w:after="40"/>
            </w:pPr>
            <w:r>
              <w:rPr>
                <w:sz w:val="16"/>
              </w:rPr>
              <w:t>Этап</w:t>
            </w:r>
          </w:p>
        </w:tc>
        <w:tc>
          <w:tcPr>
            <w:tcW w:type="dxa" w:w="2535"/>
            <w:shd w:fill="DDEBF7"/>
          </w:tcPr>
          <w:p>
            <w:pPr>
              <w:spacing w:after="40"/>
            </w:pPr>
            <w:r>
              <w:rPr>
                <w:sz w:val="16"/>
              </w:rPr>
              <w:t>Срок</w:t>
            </w:r>
          </w:p>
        </w:tc>
        <w:tc>
          <w:tcPr>
            <w:tcW w:type="dxa" w:w="2535"/>
            <w:shd w:fill="DDEBF7"/>
          </w:tcPr>
          <w:p>
            <w:pPr>
              <w:spacing w:after="40"/>
            </w:pPr>
            <w:r>
              <w:rPr>
                <w:sz w:val="16"/>
              </w:rPr>
              <w:t>Содержание</w:t>
            </w:r>
          </w:p>
        </w:tc>
        <w:tc>
          <w:tcPr>
            <w:tcW w:type="dxa" w:w="2535"/>
            <w:shd w:fill="DDEBF7"/>
          </w:tcPr>
          <w:p>
            <w:pPr>
              <w:spacing w:after="40"/>
            </w:pPr>
            <w:r>
              <w:rPr>
                <w:sz w:val="16"/>
              </w:rPr>
              <w:t>Результат</w:t>
            </w:r>
          </w:p>
        </w:tc>
      </w:tr>
      <w:tr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I. Верификация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0–6 мес.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аудит исходных реакторов, сырья, аналитики, экономики; воспроизводимость опытов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паспорт технологии и перечень приоритетных продуктов</w:t>
            </w:r>
          </w:p>
        </w:tc>
      </w:tr>
      <w:tr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II. Пилот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6–18 мес.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2–3 целевых материала; опытные партии; независимая аналитика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подтверждённые ТУ/спецификации и технико-экономическая модель</w:t>
            </w:r>
          </w:p>
        </w:tc>
      </w:tr>
      <w:tr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III. Демонстрация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18–36 мес.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полупромышленная линия, непрерывность, безопасность, очистка флюида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демонстрационная мощность и квалификация потребителями</w:t>
            </w:r>
          </w:p>
        </w:tc>
      </w:tr>
      <w:tr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IV. Серия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3–5 лет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серийные линии по выбранным материалам, контрактование сырья и сбыта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устойчивое производство критических материалов</w:t>
            </w:r>
          </w:p>
        </w:tc>
      </w:tr>
      <w:tr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V. Сеть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5–6 лет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региональные узлы на сырьевых и техногенных базах</w:t>
            </w:r>
          </w:p>
        </w:tc>
        <w:tc>
          <w:tcPr>
            <w:tcW w:type="dxa" w:w="2535"/>
          </w:tcPr>
          <w:p>
            <w:pPr>
              <w:spacing w:after="40"/>
            </w:pPr>
            <w:r>
              <w:rPr>
                <w:sz w:val="16"/>
              </w:rPr>
              <w:t>национальная сеть центров материаловедения</w:t>
            </w:r>
          </w:p>
        </w:tc>
      </w:tr>
    </w:tbl>
    <w:p>
      <w:pPr>
        <w:pStyle w:val="Heading1"/>
      </w:pPr>
      <w:r>
        <w:t>11. Критические риски и условия промышленной состоятельности</w:t>
      </w:r>
    </w:p>
    <w:p>
      <w:r>
        <w:rPr>
          <w:b/>
        </w:rPr>
        <w:t xml:space="preserve">Материаловедение оборудования: </w:t>
      </w:r>
      <w:r>
        <w:t>Высокие давление/температура и агрессивные среды предъявляют жёсткие требования к материалам реакторов, уплотнениям, арматуре и контролю коррозии.</w:t>
      </w:r>
    </w:p>
    <w:p>
      <w:r>
        <w:rPr>
          <w:b/>
        </w:rPr>
        <w:t xml:space="preserve">Масштабирование: </w:t>
      </w:r>
      <w:r>
        <w:t>Результат лабораторной экстракции не гарантирует экономичность непрерывного промышленного процесса; необходимы данные по массопереносу, циклам, регенерации и долговечности.</w:t>
      </w:r>
    </w:p>
    <w:p>
      <w:r>
        <w:rPr>
          <w:b/>
        </w:rPr>
        <w:t xml:space="preserve">Чистота: </w:t>
      </w:r>
      <w:r>
        <w:t>Для микроэлектроники важна не абстрактная «сверхчистота», а конкретный профиль примесей. Аналитика должна быть сопоставима с требованиями конечного потребителя.</w:t>
      </w:r>
    </w:p>
    <w:p>
      <w:r>
        <w:rPr>
          <w:b/>
        </w:rPr>
        <w:t xml:space="preserve">Кристаллы и керамика: </w:t>
      </w:r>
      <w:r>
        <w:t>Высокочистый прекурсор — необходимое, но недостаточное условие. Качество конечного материала определяется отдельной технологией роста/спекания и постобработки.</w:t>
      </w:r>
    </w:p>
    <w:p>
      <w:r>
        <w:rPr>
          <w:b/>
        </w:rPr>
        <w:t xml:space="preserve">Экономика: </w:t>
      </w:r>
      <w:r>
        <w:t>Требуется сравнение с действующими гидрометаллургическими, пирометаллургическими, зонно-плавочными, химическими и кристалловыращивающими маршрутами по полной себестоимости.</w:t>
      </w:r>
    </w:p>
    <w:p>
      <w:r>
        <w:rPr>
          <w:b/>
        </w:rPr>
        <w:t xml:space="preserve">Безопасность: </w:t>
      </w:r>
      <w:r>
        <w:t>СК-системы — оборудование повышенного риска. Нужны промышленная безопасность, HAZOP/аналогичный анализ опасностей, автоматизированные блокировки и сценарии аварийного сброса.</w:t>
      </w:r>
    </w:p>
    <w:p>
      <w:pPr>
        <w:pStyle w:val="Heading1"/>
      </w:pPr>
      <w:r>
        <w:t>12. Предлагаемая организационная модель</w:t>
      </w:r>
    </w:p>
    <w:p>
      <w:pPr>
        <w:pStyle w:val="ListBullet"/>
      </w:pPr>
      <w:r>
        <w:t>Научно-технологический совет — приоритеты материалов, методики и независимая экспертиза;</w:t>
      </w:r>
    </w:p>
    <w:p>
      <w:pPr>
        <w:pStyle w:val="ListBullet"/>
      </w:pPr>
      <w:r>
        <w:t>Инжиниринговый центр — реакторы, масштабирование, автоматизация и безопасность;</w:t>
      </w:r>
    </w:p>
    <w:p>
      <w:pPr>
        <w:pStyle w:val="ListBullet"/>
      </w:pPr>
      <w:r>
        <w:t>Центр материалов — порошки, керамика, кристаллы, покрытия и композиты;</w:t>
      </w:r>
    </w:p>
    <w:p>
      <w:pPr>
        <w:pStyle w:val="ListBullet"/>
      </w:pPr>
      <w:r>
        <w:t>Центр метрологии и валидации — стандартные образцы, межлабораторные сравнения, цифровые паспорта;</w:t>
      </w:r>
    </w:p>
    <w:p>
      <w:pPr>
        <w:pStyle w:val="ListBullet"/>
      </w:pPr>
      <w:r>
        <w:t>Промышленные консорциумы по продуктам — сырьевые компании + производители материалов + конечные потребители;</w:t>
      </w:r>
    </w:p>
    <w:p>
      <w:pPr>
        <w:pStyle w:val="ListBullet"/>
      </w:pPr>
      <w:r>
        <w:t>Фонд пилотирования — финансирование опытных партий с переходом к контрактам при достижении KPI.</w:t>
      </w:r>
    </w:p>
    <w:p>
      <w:pPr>
        <w:pStyle w:val="Heading1"/>
      </w:pPr>
      <w:r>
        <w:t>13. Итоговая формула</w:t>
      </w:r>
    </w:p>
    <w:p>
      <w:pPr>
        <w:jc w:val="center"/>
      </w:pPr>
      <w:r>
        <w:rPr>
          <w:b/>
          <w:color w:val="1F4E79"/>
          <w:sz w:val="26"/>
        </w:rPr>
        <w:t>СЫРЬЁ → СЕЛЕКТИВНОЕ РАЗДЕЛЕНИЕ → СВЕРХЧИСТЫЕ ПРЕКУРСОРЫ → КЕРАМИКА / КРИСТАЛЛЫ / ФУНКЦИОНАЛЬНЫЕ МАТЕРИАЛЫ → ИЗДЕЛИЯ</w:t>
      </w:r>
    </w:p>
    <w:p>
      <w:r>
        <w:t>Предлагаемая отрасль — это не только «сверхкритическая металлургия», а интегрированное материаловедение полного цикла. СКФЭ занимает в нём центральное место как инструмент разделения и очистки там, где она подтверждает технологическое и экономическое преимущество. Керамика и синтетические кристаллы формируют два обязательных высокотехнологичных контура, превращающих сверхчистые вещества в материалы с заданными функциями и высокой добавленной стоимостью.</w:t>
      </w:r>
    </w:p>
    <w:p>
      <w:pPr>
        <w:pStyle w:val="Heading1"/>
      </w:pPr>
      <w:r>
        <w:t>Приложение. Положения, прямо взятые из исходного материала</w:t>
      </w:r>
    </w:p>
    <w:p>
      <w:pPr>
        <w:pStyle w:val="ListBullet"/>
      </w:pPr>
      <w:r>
        <w:t>СКФ сочетает свойства плотной жидкости и высокоподвижной газовой среды и может использоваться как регулируемый экстрагент.</w:t>
      </w:r>
    </w:p>
    <w:p>
      <w:pPr>
        <w:pStyle w:val="ListBullet"/>
      </w:pPr>
      <w:r>
        <w:t>Изменение температуры и давления позволяет менять растворимость и селективность; возможны последовательные режимы выделения фракций.</w:t>
      </w:r>
    </w:p>
    <w:p>
      <w:pPr>
        <w:pStyle w:val="ListBullet"/>
      </w:pPr>
      <w:r>
        <w:t>СКФЭ рассматривается как основа селективного выделения комплексов металлов и получения чистых/сверхчистых материалов.</w:t>
      </w:r>
    </w:p>
    <w:p>
      <w:pPr>
        <w:pStyle w:val="ListBullet"/>
      </w:pPr>
      <w:r>
        <w:t>Гидротермальные процессы в специальных автоклавах применимы к ряду оксидов и другим соединениям; в исходнике приведены SiO₂, GeO₂, ZnO, AlPO₄, Al₂O₃ и GaN.</w:t>
      </w:r>
    </w:p>
    <w:p>
      <w:pPr>
        <w:pStyle w:val="ListBullet"/>
      </w:pPr>
      <w:r>
        <w:t>Предложено создать Центр компетенций по СК-технологиям на сырьевой базе горнорудных предприятий и/или металлургических отвалов.</w:t>
      </w:r>
    </w:p>
    <w:p>
      <w:pPr>
        <w:pStyle w:val="ListBullet"/>
      </w:pPr>
      <w:r>
        <w:t>Исходный документ заявляет наличие разработанной в РФ реакторной установки и проведённых работ по алюминиевой группе; эти сведения требуют отдельного документального подтверждения при подготовке официального инвестиционного/государственного пакета.</w:t>
      </w:r>
    </w:p>
    <w:p>
      <w:pPr>
        <w:pStyle w:val="Callout"/>
      </w:pPr>
      <w:r>
        <w:rPr>
          <w:b/>
        </w:rPr>
        <w:t xml:space="preserve">Источник основы: </w:t>
      </w:r>
      <w:r>
        <w:t>пользовательский документ «Новая отрасль СКФЭ металлургия.docx», 3 страницы. Настоящий документ — структурированное и расширенное развитие этой концепции; добавленные разделы по керамике, синтетическим кристаллам, KPI и дорожной карте являются проектным расширением, а не дословным содержанием исходника.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Концептуальный отраслевой документ ·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6E6E6E"/>
        <w:sz w:val="16"/>
      </w:rPr>
      <w:t>МАТЕРИАЛОВЕДЕНИЕ · СКФЭ · КЕРАМИКА · СИНТЕТИЧЕСКИЕ КРИСТАЛЛЫ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F4E79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F559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4546A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F4E79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llout">
    <w:name w:val="Callout"/>
    <w:pPr>
      <w:spacing w:before="120" w:after="160"/>
      <w:ind w:left="340" w:right="227"/>
    </w:pPr>
    <w:rPr>
      <w:rFonts w:ascii="Aptos" w:hAnsi="Aptos"/>
      <w:i/>
      <w:color w:val="404040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Материаловедение: СКФЭ, керамика и синтетические кристаллы</dc:title>
  <dc:subject>Концептуальный отраслевой документ</dc:subject>
  <dc:creator>python-docx</dc:creator>
  <cp:keywords>материаловедение, СКФЭ, сверхкритическая металлургия, керамика, синтетические кристаллы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