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8375B"/>
          <w:sz w:val="64"/>
        </w:rPr>
        <w:t>МАТЕРИАЛОВЕДЕНИЕ</w:t>
      </w:r>
    </w:p>
    <w:p>
      <w:pPr>
        <w:jc w:val="center"/>
      </w:pPr>
      <w:r>
        <w:rPr>
          <w:b/>
          <w:color w:val="316368"/>
          <w:sz w:val="34"/>
        </w:rPr>
        <w:t>Керамика • синтетические кристаллы • гибридные материалы</w:t>
      </w:r>
    </w:p>
    <w:p>
      <w:pPr>
        <w:jc w:val="center"/>
      </w:pPr>
      <w:r>
        <w:rPr>
          <w:color w:val="555555"/>
          <w:sz w:val="26"/>
        </w:rPr>
        <w:t>Стратегическая научно-инженерная концепция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rPr>
          <w:cantSplit/>
        </w:trPr>
        <w:tc>
          <w:tcPr>
            <w:tcW w:type="dxa" w:w="10166"/>
            <w:shd w:fill="EEF3F7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color w:val="AB7E27"/>
                <w:sz w:val="17"/>
              </w:rPr>
              <w:t>БАЗОВАЯ ФОРМУЛА</w:t>
            </w:r>
          </w:p>
          <w:p>
            <w:pPr>
              <w:spacing w:before="0" w:after="0" w:line="240" w:lineRule="auto"/>
              <w:jc w:val="center"/>
            </w:pPr>
            <w:r>
              <w:rPr>
                <w:b/>
                <w:color w:val="18375B"/>
                <w:sz w:val="17"/>
              </w:rPr>
              <w:t>СОСТАВ + СТРУКТУРА + ТЕХНОЛОГИЯ ПОЛУЧЕНИЯ + СВОЙСТВА + РЕСУРС + ЦИФРОВОЙ ПАСПОРТ + ВАЛИДАЦИЯ</w:t>
            </w:r>
          </w:p>
        </w:tc>
      </w:tr>
    </w:tbl>
    <w:p>
      <w:pPr>
        <w:jc w:val="center"/>
      </w:pPr>
      <w:r>
        <w:rPr>
          <w:color w:val="6E6E6E"/>
          <w:sz w:val="20"/>
        </w:rPr>
        <w:t>ЭКО-PPA • ИМАШ РАН • минигенерация • экомодули • научная робототехника • 2026</w:t>
      </w:r>
    </w:p>
    <w:p>
      <w:r>
        <w:br w:type="page"/>
      </w:r>
    </w:p>
    <w:p>
      <w:pPr>
        <w:pStyle w:val="Heading1"/>
      </w:pPr>
      <w:r>
        <w:t>1. Новая рамка материаловедения</w:t>
      </w:r>
    </w:p>
    <w:p>
      <w:pPr>
        <w:spacing w:after="120"/>
      </w:pPr>
      <w:r>
        <w:t>Материаловедение должно быть закреплено как самостоятельный сквозной научно-инженерный контур. При этом керамика сохраняется как обязательная базовая категория, но дополняется полноценным направлением синтетических кристаллов различного типа, химической природы и назначения.</w:t>
      </w:r>
    </w:p>
    <w:p>
      <w:pPr>
        <w:spacing w:after="120"/>
      </w:pPr>
      <w:r>
        <w:t>Синтетические кристаллы — это кристаллы, выращенные в лабораторных или промышленных контролируемых условиях. Их химическая основа может совпадать с природным минералом, однако технология получения позволяет управлять чистотой, составом примесей, ориентацией, дефектностью, внутренними напряжениями и, следовательно, функциональными свойствами.</w:t>
      </w:r>
    </w:p>
    <w:p>
      <w:pPr>
        <w:pStyle w:val="Heading2"/>
      </w:pPr>
      <w:r>
        <w:t>1.1. Обязательная терминологическая формула</w:t>
      </w:r>
    </w:p>
    <w:p>
      <w:pPr>
        <w:jc w:val="center"/>
      </w:pPr>
      <w:r>
        <w:rPr>
          <w:b/>
          <w:color w:val="18375B"/>
          <w:sz w:val="28"/>
        </w:rPr>
        <w:t>КЕРАМИКА + СИНТЕТИЧЕСКИЕ КРИСТАЛЛЫ + КОМПОЗИТЫ + ПОКРЫТИЯ + ЦИФРОВОЙ ПАСПОРТ + ВАЛИДАЦИЯ</w:t>
      </w:r>
    </w:p>
    <w:p>
      <w:pPr>
        <w:pStyle w:val="Heading1"/>
      </w:pPr>
      <w:r>
        <w:t>2. Почему керамику и синтетические кристаллы нужно разделять</w:t>
      </w:r>
    </w:p>
    <w:p>
      <w:pPr>
        <w:spacing w:after="120"/>
      </w:pPr>
      <w:r>
        <w:t>Один и тот же химический состав может существовать в принципиально разных структурных состояниях. Например, Al₂O₃ может быть поликристаллической технической керамикой либо выращенным монокристаллом корунда. Бесцветный прозрачный синтетический корунд обычно называют лейкосапфиром. Структура материала определяет анизотропию, прозрачность, дефектность, трещиностойкость, теплопроводность, электрические и оптические свойства.</w:t>
      </w:r>
    </w:p>
    <w:p>
      <w:pPr>
        <w:spacing w:after="60"/>
      </w:pPr>
      <w:r>
        <w:t>• Керамика обычно представляет собой поликристаллический материал с границами зерен.</w:t>
      </w:r>
    </w:p>
    <w:p>
      <w:pPr>
        <w:spacing w:after="60"/>
      </w:pPr>
      <w:r>
        <w:t>• Синтетический монокристалл имеет непрерывную кристаллографическую структуру в рабочем объеме.</w:t>
      </w:r>
    </w:p>
    <w:p>
      <w:pPr>
        <w:spacing w:after="60"/>
      </w:pPr>
      <w:r>
        <w:t>• Кристаллы позволяют целенаправленно использовать оптические, пьезоэлектрические, электрооптические и иные свойства.</w:t>
      </w:r>
    </w:p>
    <w:p>
      <w:pPr>
        <w:spacing w:after="60"/>
      </w:pPr>
      <w:r>
        <w:t>• Керамика дает масштабируемость, прочность, химическую и температурную стойкость.</w:t>
      </w:r>
    </w:p>
    <w:p>
      <w:pPr>
        <w:spacing w:after="60"/>
      </w:pPr>
      <w:r>
        <w:t>• Наиболее перспективные изделия возникают в зоне интеграции керамики и кристаллов.</w:t>
      </w:r>
    </w:p>
    <w:p>
      <w:pPr>
        <w:pStyle w:val="Heading1"/>
      </w:pPr>
      <w:r>
        <w:t>3. Основные классы синтетических кристаллов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  <w:cantSplit/>
        </w:trPr>
        <w:tc>
          <w:tcPr>
            <w:tcW w:type="dxa" w:w="2033"/>
            <w:shd w:fill="DDE8F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Материал</w:t>
            </w:r>
          </w:p>
        </w:tc>
        <w:tc>
          <w:tcPr>
            <w:tcW w:type="dxa" w:w="2033"/>
            <w:shd w:fill="DDE8F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Химическая основа</w:t>
            </w:r>
          </w:p>
        </w:tc>
        <w:tc>
          <w:tcPr>
            <w:tcW w:type="dxa" w:w="2033"/>
            <w:shd w:fill="DDE8F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Класс</w:t>
            </w:r>
          </w:p>
        </w:tc>
        <w:tc>
          <w:tcPr>
            <w:tcW w:type="dxa" w:w="2033"/>
            <w:shd w:fill="DDE8F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Ключевые свойства</w:t>
            </w:r>
          </w:p>
        </w:tc>
        <w:tc>
          <w:tcPr>
            <w:tcW w:type="dxa" w:w="2033"/>
            <w:shd w:fill="DDE8F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Инженерные применения</w:t>
            </w:r>
          </w:p>
        </w:tc>
      </w:tr>
      <w:tr>
        <w:trPr>
          <w:cantSplit/>
        </w:trPr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Синтетический алмаз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C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ковалентный кристалл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очень высокая твердость, теплопроводность, химическая стойкость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режущий инструмент, теплоотвод, оптика, сенсорика</w:t>
            </w:r>
          </w:p>
        </w:tc>
      </w:tr>
      <w:tr>
        <w:trPr>
          <w:cantSplit/>
        </w:trPr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Лейкосапфир / синтетический корунд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Al₂O₃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оксидный монокристалл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прозрачность, твердость, термостойкость, электроизоляция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защитные окна, подложки, датчики, высокотемпературные элементы</w:t>
            </w:r>
          </w:p>
        </w:tc>
      </w:tr>
      <w:tr>
        <w:trPr>
          <w:cantSplit/>
        </w:trPr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Фианит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ZrO₂, стабилизированный в кубической фазе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оксидный кристалл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высокий показатель преломления, оптическая прозрачность, твердость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оптические и функциональные элементы</w:t>
            </w:r>
          </w:p>
        </w:tc>
      </w:tr>
      <w:tr>
        <w:trPr>
          <w:cantSplit/>
        </w:trPr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ИАГ / YAG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Y₃Al₅O₁₂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гранат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оптическая стабильность, легируемость, лазерные свойства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лазерные среды, спектроскопия, лидар</w:t>
            </w:r>
          </w:p>
        </w:tc>
      </w:tr>
      <w:tr>
        <w:trPr>
          <w:cantSplit/>
        </w:trPr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ГГГ / GGG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Gd₃Ga₅O₁₂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гранат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магнитооптические и оптические свойства, подложки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фотоника, магнитооптика, сенсорные системы</w:t>
            </w:r>
          </w:p>
        </w:tc>
      </w:tr>
      <w:tr>
        <w:trPr>
          <w:cantSplit/>
        </w:trPr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Ниобат лития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LiNbO₃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ферроэлектрический кристалл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пьезоэлектрические, электрооптические и нелинейно-оптические свойства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датчики, модуляторы, акустооптика, фотоника</w:t>
            </w:r>
          </w:p>
        </w:tc>
      </w:tr>
      <w:tr>
        <w:trPr>
          <w:cantSplit/>
        </w:trPr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Синтетический кварц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SiO₂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пьезоэлектрический кристалл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частотная стабильность, пьезоэффект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резонаторы, метрология, датчики</w:t>
            </w:r>
          </w:p>
        </w:tc>
      </w:tr>
      <w:tr>
        <w:trPr>
          <w:cantSplit/>
        </w:trPr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Карбид кремния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SiC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широкозонный кристаллический материал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жаростойкость, твердость, теплопроводность, полупроводниковые свойства</w:t>
            </w:r>
          </w:p>
        </w:tc>
        <w:tc>
          <w:tcPr>
            <w:tcW w:type="dxa" w:w="203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6"/>
              </w:rPr>
              <w:t>силовая электроника, экстремальные среды, механические узлы</w:t>
            </w:r>
          </w:p>
        </w:tc>
      </w:tr>
    </w:tbl>
    <w:p>
      <w:r>
        <w:br w:type="page"/>
      </w:r>
    </w:p>
    <w:p>
      <w:pPr>
        <w:pStyle w:val="Heading1"/>
      </w:pPr>
      <w:r>
        <w:t>4. Технологии выращивания и получения</w:t>
      </w:r>
    </w:p>
    <w:p>
      <w:pPr>
        <w:spacing w:after="120"/>
      </w:pPr>
      <w:r>
        <w:t>Функциональные свойства синтетического кристалла зависят не только от химической формулы, но и от метода выращивания. Именно технология определяет распределение примесей, дефектность, напряжения, геометрию и ряд специальных свойств.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  <w:cantSplit/>
        </w:trPr>
        <w:tc>
          <w:tcPr>
            <w:tcW w:type="dxa" w:w="2541"/>
            <w:shd w:fill="E7EDF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Метод</w:t>
            </w:r>
          </w:p>
        </w:tc>
        <w:tc>
          <w:tcPr>
            <w:tcW w:type="dxa" w:w="2541"/>
            <w:shd w:fill="E7EDF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Принцип</w:t>
            </w:r>
          </w:p>
        </w:tc>
        <w:tc>
          <w:tcPr>
            <w:tcW w:type="dxa" w:w="2541"/>
            <w:shd w:fill="E7EDF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Типичные материалы</w:t>
            </w:r>
          </w:p>
        </w:tc>
        <w:tc>
          <w:tcPr>
            <w:tcW w:type="dxa" w:w="2541"/>
            <w:shd w:fill="E7EDF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Управляемые параметры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Чохральского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вытягивание монокристалла из расплава на затравке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сапфир, YAG и др.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ориентация, скорость роста, легирование, диаметр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Бриджмена–Стокбаргера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направленная кристаллизация расплава в температурном градиенте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оксидные и полупроводниковые кристаллы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фронт кристаллизации, температурный градиент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Вернейля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плавление порошка и наращивание кристаллической були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корунд, ряд оксидов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скорость роста, состав исходного порошка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Гидротермальный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рост из раствора при повышенных температуре и давлении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кварц и некоторые оксиды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чистота, дефектность, размеры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Флюсовый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рост из высокотемпературного раствора-флюса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сложные оксиды, гранаты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состав, легирование, температура роста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HPHT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высокое давление и высокая температура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синтетический алмаз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скорость роста, примеси, дефектность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CVD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химическое осаждение из газовой фазы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алмаз и функциональные слои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толщина, чистота, легирование, структура слоя</w:t>
            </w:r>
          </w:p>
        </w:tc>
      </w:tr>
    </w:tbl>
    <w:p>
      <w:pPr>
        <w:pStyle w:val="Heading1"/>
      </w:pPr>
      <w:r>
        <w:t>5. Управляемые свойства синтетических кристаллов</w:t>
      </w:r>
    </w:p>
    <w:p>
      <w:pPr>
        <w:spacing w:after="60"/>
      </w:pPr>
      <w:r>
        <w:t>• химическая чистота и концентрация легирующих добавок;</w:t>
      </w:r>
    </w:p>
    <w:p>
      <w:pPr>
        <w:spacing w:after="60"/>
      </w:pPr>
      <w:r>
        <w:t>• кристаллографическая ориентация;</w:t>
      </w:r>
    </w:p>
    <w:p>
      <w:pPr>
        <w:spacing w:after="60"/>
      </w:pPr>
      <w:r>
        <w:t>• плотность дислокаций и других дефектов;</w:t>
      </w:r>
    </w:p>
    <w:p>
      <w:pPr>
        <w:spacing w:after="60"/>
      </w:pPr>
      <w:r>
        <w:t>• остаточные внутренние напряжения;</w:t>
      </w:r>
    </w:p>
    <w:p>
      <w:pPr>
        <w:spacing w:after="60"/>
      </w:pPr>
      <w:r>
        <w:t>• оптическая прозрачность, поглощение и рассеяние;</w:t>
      </w:r>
    </w:p>
    <w:p>
      <w:pPr>
        <w:spacing w:after="60"/>
      </w:pPr>
      <w:r>
        <w:t>• пьезоэлектрические и электрооптические коэффициенты;</w:t>
      </w:r>
    </w:p>
    <w:p>
      <w:pPr>
        <w:spacing w:after="60"/>
      </w:pPr>
      <w:r>
        <w:t>• теплопроводность и коэффициент теплового расширения;</w:t>
      </w:r>
    </w:p>
    <w:p>
      <w:pPr>
        <w:spacing w:after="60"/>
      </w:pPr>
      <w:r>
        <w:t>• радиационная, химическая и температурная стойкость;</w:t>
      </w:r>
    </w:p>
    <w:p>
      <w:pPr>
        <w:spacing w:after="60"/>
      </w:pPr>
      <w:r>
        <w:t>• поверхностная структура после механической, лазерной и химической обработки.</w:t>
      </w:r>
    </w:p>
    <w:p>
      <w:pPr>
        <w:pStyle w:val="Heading1"/>
      </w:pPr>
      <w:r>
        <w:t>6. Единая классификация материалов проекта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E4EEE9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Класс</w:t>
            </w:r>
          </w:p>
        </w:tc>
        <w:tc>
          <w:tcPr>
            <w:tcW w:type="dxa" w:w="5083"/>
            <w:shd w:fill="E4EEE9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Роль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Металлы и сплавы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несущие конструкции, проводимость, пластичность, технологичность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Техническая керамика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изоляция, износостойкость, химическая и температурная стойкость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Синтетические кристаллы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оптика, пьезоэлектричество, фотоника, сенсорика, теплоотвод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Полимеры и эластомеры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герметизация, гибкость, электроизоляция, легкие конструкции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Композиты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совмещение свойств нескольких фаз и снижение массы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Покрытия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барьерные, антифрикционные, оптические, каталитические и защитные функции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Функциональные материалы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электрические, магнитные, оптические, каталитические и сенсорные функции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Гибридные кристалло-керамические системы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одновременная несущая, защитная и интеллектуальная функция</w:t>
            </w:r>
          </w:p>
        </w:tc>
      </w:tr>
    </w:tbl>
    <w:p>
      <w:pPr>
        <w:pStyle w:val="Heading1"/>
      </w:pPr>
      <w:r>
        <w:t>7. Кристаллокерамические интеллектуальные узлы</w:t>
      </w:r>
    </w:p>
    <w:p>
      <w:pPr>
        <w:spacing w:after="120"/>
      </w:pPr>
      <w:r>
        <w:t>В качестве перспективного инженерного класса предлагается закрепить понятие «кристаллокерамический интеллектуальный узел» — элемент машины, сенсорного комплекса или экомодуля, в котором керамическая часть выполняет несущую, защитную или термостойкую функцию, а синтетический кристалл — измерительную, оптическую, пьезоэлектрическую, фотонную или теплоотводящую функцию.</w:t>
      </w:r>
    </w:p>
    <w:p>
      <w:pPr>
        <w:spacing w:after="60"/>
      </w:pPr>
      <w:r>
        <w:t>• сапфировое окно + керамический корпус + оптический сенсор;</w:t>
      </w:r>
    </w:p>
    <w:p>
      <w:pPr>
        <w:spacing w:after="60"/>
      </w:pPr>
      <w:r>
        <w:t>• LiNbO₃-пьезоэлемент + керамический силовой узел для вибродиагностики;</w:t>
      </w:r>
    </w:p>
    <w:p>
      <w:pPr>
        <w:spacing w:after="60"/>
      </w:pPr>
      <w:r>
        <w:t>• алмазный теплоотвод + SiC-керамика + силовой преобразователь;</w:t>
      </w:r>
    </w:p>
    <w:p>
      <w:pPr>
        <w:spacing w:after="60"/>
      </w:pPr>
      <w:r>
        <w:t>• YAG-кристалл + керамический корпус компактного лидара;</w:t>
      </w:r>
    </w:p>
    <w:p>
      <w:pPr>
        <w:spacing w:after="60"/>
      </w:pPr>
      <w:r>
        <w:t>• кварцевый резонатор + керамический изолятор метрологического узла.</w:t>
      </w:r>
    </w:p>
    <w:p>
      <w:r>
        <w:br w:type="page"/>
      </w:r>
    </w:p>
    <w:p>
      <w:pPr>
        <w:pStyle w:val="Heading1"/>
      </w:pPr>
      <w:r>
        <w:t>8. Применение в ЭКО-PPA</w:t>
      </w:r>
    </w:p>
    <w:p>
      <w:pPr>
        <w:pStyle w:val="Heading2"/>
      </w:pPr>
      <w:r>
        <w:t>Минигенерация</w:t>
      </w:r>
    </w:p>
    <w:p>
      <w:pPr>
        <w:spacing w:after="120"/>
      </w:pPr>
      <w:r>
        <w:t>SiC/GaN силовая электроника, керамические изоляторы, алмазные теплоотводы, стойкие узлы и покрытия.</w:t>
      </w:r>
    </w:p>
    <w:p>
      <w:pPr>
        <w:pStyle w:val="Heading2"/>
      </w:pPr>
      <w:r>
        <w:t>Экомодули</w:t>
      </w:r>
    </w:p>
    <w:p>
      <w:pPr>
        <w:spacing w:after="120"/>
      </w:pPr>
      <w:r>
        <w:t>керамические и сапфировые компоненты для насосов, арматуры, мембранных систем, оптических окон и химически стойких сенсоров.</w:t>
      </w:r>
    </w:p>
    <w:p>
      <w:pPr>
        <w:pStyle w:val="Heading2"/>
      </w:pPr>
      <w:r>
        <w:t>Биоценозный мониторинг</w:t>
      </w:r>
    </w:p>
    <w:p>
      <w:pPr>
        <w:spacing w:after="120"/>
      </w:pPr>
      <w:r>
        <w:t>кварцевые и LiNbO₃-резонаторы, сапфировые окна, фотонные и спектроскопические элементы.</w:t>
      </w:r>
    </w:p>
    <w:p>
      <w:pPr>
        <w:pStyle w:val="Heading2"/>
      </w:pPr>
      <w:r>
        <w:t>Научная робототехника</w:t>
      </w:r>
    </w:p>
    <w:p>
      <w:pPr>
        <w:spacing w:after="120"/>
      </w:pPr>
      <w:r>
        <w:t>износостойкие пары трения, пьезоприводы, оптика, силовая электроника, датчики и защитные элементы.</w:t>
      </w:r>
    </w:p>
    <w:p>
      <w:pPr>
        <w:pStyle w:val="Heading2"/>
      </w:pPr>
      <w:r>
        <w:t>Инструменты валидации</w:t>
      </w:r>
    </w:p>
    <w:p>
      <w:pPr>
        <w:spacing w:after="120"/>
      </w:pPr>
      <w:r>
        <w:t>эталонные оптические элементы, стабильные резонаторы, калибровочные узлы, устойчивые сенсоры.</w:t>
      </w:r>
    </w:p>
    <w:p>
      <w:pPr>
        <w:pStyle w:val="Heading1"/>
      </w:pPr>
      <w:r>
        <w:t>9. Применение в ИМАШ РАН</w:t>
      </w:r>
    </w:p>
    <w:p>
      <w:pPr>
        <w:spacing w:after="60"/>
      </w:pPr>
      <w:r>
        <w:t>• механика разрушения монокристаллов и кристаллокерамических композитов;</w:t>
      </w:r>
    </w:p>
    <w:p>
      <w:pPr>
        <w:spacing w:after="60"/>
      </w:pPr>
      <w:r>
        <w:t>• трибология керамико-кристаллических пар;</w:t>
      </w:r>
    </w:p>
    <w:p>
      <w:pPr>
        <w:spacing w:after="60"/>
      </w:pPr>
      <w:r>
        <w:t>• динамика и виброакустика пьезоэлектрических кристаллов;</w:t>
      </w:r>
    </w:p>
    <w:p>
      <w:pPr>
        <w:spacing w:after="60"/>
      </w:pPr>
      <w:r>
        <w:t>• цифровые двойники процессов роста, обработки и эксплуатации;</w:t>
      </w:r>
    </w:p>
    <w:p>
      <w:pPr>
        <w:spacing w:after="60"/>
      </w:pPr>
      <w:r>
        <w:t>• исследование высокотемпературных и химически стойких узлов;</w:t>
      </w:r>
    </w:p>
    <w:p>
      <w:pPr>
        <w:spacing w:after="60"/>
      </w:pPr>
      <w:r>
        <w:t>• роботизированная диагностика дефектов и ориентации кристаллов;</w:t>
      </w:r>
    </w:p>
    <w:p>
      <w:pPr>
        <w:spacing w:after="60"/>
      </w:pPr>
      <w:r>
        <w:t>• V&amp;V механических, термических и функциональных характеристик.</w:t>
      </w:r>
    </w:p>
    <w:p>
      <w:pPr>
        <w:pStyle w:val="Heading1"/>
      </w:pPr>
      <w:r>
        <w:t>10. Инструменты валидации материалов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  <w:cantSplit/>
        </w:trPr>
        <w:tc>
          <w:tcPr>
            <w:tcW w:type="dxa" w:w="2541"/>
            <w:shd w:fill="F3E9D2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Уровень</w:t>
            </w:r>
          </w:p>
        </w:tc>
        <w:tc>
          <w:tcPr>
            <w:tcW w:type="dxa" w:w="2541"/>
            <w:shd w:fill="F3E9D2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Что проверяется</w:t>
            </w:r>
          </w:p>
        </w:tc>
        <w:tc>
          <w:tcPr>
            <w:tcW w:type="dxa" w:w="2541"/>
            <w:shd w:fill="F3E9D2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Инструменты</w:t>
            </w:r>
          </w:p>
        </w:tc>
        <w:tc>
          <w:tcPr>
            <w:tcW w:type="dxa" w:w="2541"/>
            <w:shd w:fill="F3E9D2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Химический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состав, примеси, легирование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спектроскопия, масс-спектрометрия, химический анализ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паспорт состава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Структурный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фазы, ориентация, дефекты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рентгенодифракция, микроскопия, топография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карта структуры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Оптический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прозрачность, поглощение, рассеяние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спектрофотометрия, интерферометрия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оптический паспорт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Механический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твердость, прочность, трещиностойкость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индентирование, испытательные машины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механический паспорт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Тепловой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теплопроводность, расширение, термостойкость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термоанализ, дилатометрия, лазерная вспышка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тепловой паспорт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Функциональный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пьезо-, электро-, оптические свойства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специализированные стенды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функциональный паспорт</w:t>
            </w:r>
          </w:p>
        </w:tc>
      </w:tr>
      <w:tr>
        <w:trPr>
          <w:cantSplit/>
        </w:trPr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Эксплуатационный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ресурс и деградация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циклические и ускоренные испытания</w:t>
            </w:r>
          </w:p>
        </w:tc>
        <w:tc>
          <w:tcPr>
            <w:tcW w:type="dxa" w:w="2541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границы применимости</w:t>
            </w:r>
          </w:p>
        </w:tc>
      </w:tr>
    </w:tbl>
    <w:p>
      <w:pPr>
        <w:pStyle w:val="Heading1"/>
      </w:pPr>
      <w:r>
        <w:t>11. Цифровой паспорт материала</w:t>
      </w:r>
    </w:p>
    <w:p>
      <w:pPr>
        <w:spacing w:after="60"/>
      </w:pPr>
      <w:r>
        <w:t>• наименование и химическая формула;</w:t>
      </w:r>
    </w:p>
    <w:p>
      <w:pPr>
        <w:spacing w:after="60"/>
      </w:pPr>
      <w:r>
        <w:t>• метод получения или выращивания;</w:t>
      </w:r>
    </w:p>
    <w:p>
      <w:pPr>
        <w:spacing w:after="60"/>
      </w:pPr>
      <w:r>
        <w:t>• партия, затравка и идентификатор образца;</w:t>
      </w:r>
    </w:p>
    <w:p>
      <w:pPr>
        <w:spacing w:after="60"/>
      </w:pPr>
      <w:r>
        <w:t>• кристаллографическая ориентация;</w:t>
      </w:r>
    </w:p>
    <w:p>
      <w:pPr>
        <w:spacing w:after="60"/>
      </w:pPr>
      <w:r>
        <w:t>• состав и легирование;</w:t>
      </w:r>
    </w:p>
    <w:p>
      <w:pPr>
        <w:spacing w:after="60"/>
      </w:pPr>
      <w:r>
        <w:t>• режимы роста, спекания и термообработки;</w:t>
      </w:r>
    </w:p>
    <w:p>
      <w:pPr>
        <w:spacing w:after="60"/>
      </w:pPr>
      <w:r>
        <w:t>• карта дефектов и внутренних напряжений;</w:t>
      </w:r>
    </w:p>
    <w:p>
      <w:pPr>
        <w:spacing w:after="60"/>
      </w:pPr>
      <w:r>
        <w:t>• механические, тепловые, электрические и оптические свойства;</w:t>
      </w:r>
    </w:p>
    <w:p>
      <w:pPr>
        <w:spacing w:after="60"/>
      </w:pPr>
      <w:r>
        <w:t>• механическая обработка, покрытия и соединения;</w:t>
      </w:r>
    </w:p>
    <w:p>
      <w:pPr>
        <w:spacing w:after="60"/>
      </w:pPr>
      <w:r>
        <w:t>• результаты испытаний и статус независимой валидации;</w:t>
      </w:r>
    </w:p>
    <w:p>
      <w:pPr>
        <w:spacing w:after="60"/>
      </w:pPr>
      <w:r>
        <w:t>• привязка к изделию, экомодулю, роботу или измерительному прибору.</w:t>
      </w:r>
    </w:p>
    <w:p>
      <w:r>
        <w:br w:type="page"/>
      </w:r>
    </w:p>
    <w:p>
      <w:pPr>
        <w:pStyle w:val="Heading1"/>
      </w:pPr>
      <w:r>
        <w:t>12. Самовалидирующееся материаловедение</w:t>
      </w:r>
    </w:p>
    <w:p>
      <w:pPr>
        <w:spacing w:after="120"/>
      </w:pPr>
      <w:r>
        <w:t>В рамках самовалидирующейся природно-технической системы каждый критический материал должен иметь цифровую историю, связанную с фактическими условиями эксплуатации. Таким образом, материал перестает быть строкой в спецификации и становится наблюдаемым объектом жизненного цикла.</w:t>
      </w:r>
    </w:p>
    <w:p>
      <w:pPr>
        <w:jc w:val="center"/>
      </w:pPr>
      <w:r>
        <w:rPr>
          <w:b/>
          <w:color w:val="18375B"/>
          <w:sz w:val="27"/>
        </w:rPr>
        <w:t>ПОЛУЧЕНИЕ → ХАРАКТЕРИЗАЦИЯ → ИЗГОТОВЛЕНИЕ → ЭКСПЛУАТАЦИЯ → ДИАГНОСТИКА → ВАЛИДАЦИЯ → КОРРЕКЦИЯ</w:t>
      </w:r>
    </w:p>
    <w:p>
      <w:pPr>
        <w:pStyle w:val="Heading1"/>
      </w:pPr>
      <w:r>
        <w:t>13. Новые направления изобретений</w:t>
      </w:r>
    </w:p>
    <w:p>
      <w:pPr>
        <w:spacing w:after="60"/>
      </w:pPr>
      <w:r>
        <w:t>• кристаллокерамический самодиагностируемый механический узел;</w:t>
      </w:r>
    </w:p>
    <w:p>
      <w:pPr>
        <w:spacing w:after="60"/>
      </w:pPr>
      <w:r>
        <w:t>• сенсорный узел с синтетическим кристаллом и встроенным цифровым паспортом;</w:t>
      </w:r>
    </w:p>
    <w:p>
      <w:pPr>
        <w:spacing w:after="60"/>
      </w:pPr>
      <w:r>
        <w:t>• оптический биоценозный датчик с сапфировым защитным окном;</w:t>
      </w:r>
    </w:p>
    <w:p>
      <w:pPr>
        <w:spacing w:after="60"/>
      </w:pPr>
      <w:r>
        <w:t>• энергетический модуль с керамической защитой и синтетическим алмазным теплоотводом;</w:t>
      </w:r>
    </w:p>
    <w:p>
      <w:pPr>
        <w:spacing w:after="60"/>
      </w:pPr>
      <w:r>
        <w:t>• пьезоэлектрический узел на основе LiNbO₃ для диагностики состояния робота или экомодуля;</w:t>
      </w:r>
    </w:p>
    <w:p>
      <w:pPr>
        <w:spacing w:after="60"/>
      </w:pPr>
      <w:r>
        <w:t>• роботизированная система автоматической валидации дефектности кристаллов;</w:t>
      </w:r>
    </w:p>
    <w:p>
      <w:pPr>
        <w:spacing w:after="60"/>
      </w:pPr>
      <w:r>
        <w:t>• способ адаптивного выбора материала по данным цифрового двойника и фактической деградации.</w:t>
      </w:r>
    </w:p>
    <w:p>
      <w:pPr>
        <w:pStyle w:val="Heading1"/>
      </w:pPr>
      <w:r>
        <w:t>14. Унифицированный текст для всех будущих материалов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rPr>
          <w:cantSplit/>
        </w:trPr>
        <w:tc>
          <w:tcPr>
            <w:tcW w:type="dxa" w:w="10166"/>
            <w:shd w:fill="EEF3F7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AB7E27"/>
                <w:sz w:val="17"/>
              </w:rPr>
              <w:t>Рекомендуемая формулировка:</w:t>
            </w:r>
          </w:p>
          <w:p>
            <w:pPr>
              <w:spacing w:before="0" w:after="0" w:line="240" w:lineRule="auto"/>
            </w:pPr>
            <w:r>
              <w:rPr>
                <w:sz w:val="17"/>
              </w:rPr>
              <w:t>«Материаловедческий контур включает техническую и функциональную керамику, синтетические кристаллы различной химической природы и способов выращивания, металлические, полимерные и композиционные материалы, покрытия, кристаллокерамические и гибридные структуры. Для критических материалов формируется цифровой паспорт происхождения, состава, структуры, технологии получения, свойств, дефектности, ресурса и результатов независимой валидации.»</w:t>
            </w:r>
          </w:p>
        </w:tc>
      </w:tr>
    </w:tbl>
    <w:p>
      <w:pPr>
        <w:pStyle w:val="Heading1"/>
      </w:pPr>
      <w:r>
        <w:t>15. Рабочий словарь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E5EDF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Термин</w:t>
            </w:r>
          </w:p>
        </w:tc>
        <w:tc>
          <w:tcPr>
            <w:tcW w:type="dxa" w:w="5083"/>
            <w:shd w:fill="E5EDF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Рабочее определение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Синтетический кристалл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кристалл, выращенный в искусственно созданных и контролируемых условиях.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Лейкосапфир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бесцветный прозрачный синтетический корунд Al₂O₃.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ИАГ / YAG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иттрий-алюминиевый гранат Y₃Al₅O₁₂.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ГГГ / GGG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гадолиний-галлиевый гранат Gd₃Ga₅O₁₂.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Ниобат лития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LiNbO₃; пьезо-, электрооптический и нелинейно-оптический кристалл.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Фианит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искусственный кристаллический материал на основе кубической фазы диоксида циркония.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Кристаллокерамический узел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гибридный элемент, объединяющий конструкционную керамику и функциональный кристалл.</w:t>
            </w:r>
          </w:p>
        </w:tc>
      </w:tr>
      <w:tr>
        <w:trPr>
          <w:cantSplit/>
        </w:trPr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Цифровой паспорт материала</w:t>
            </w:r>
          </w:p>
        </w:tc>
        <w:tc>
          <w:tcPr>
            <w:tcW w:type="dxa" w:w="5083"/>
            <w:tcMar>
              <w:top w:w="50" w:type="dxa"/>
              <w:left w:w="70" w:type="dxa"/>
              <w:bottom w:w="50" w:type="dxa"/>
              <w:right w:w="70" w:type="dxa"/>
            </w:tcMar>
          </w:tcPr>
          <w:p>
            <w:pPr>
              <w:spacing w:before="0" w:after="0" w:line="240" w:lineRule="auto"/>
            </w:pPr>
            <w:r>
              <w:rPr>
                <w:sz w:val="17"/>
              </w:rPr>
              <w:t>структурированная запись о происхождении, технологии, структуре, свойствах, испытаниях и ресурсе.</w:t>
            </w:r>
          </w:p>
        </w:tc>
      </w:tr>
    </w:tbl>
    <w:p>
      <w:pPr>
        <w:pStyle w:val="Heading1"/>
      </w:pPr>
      <w:r>
        <w:t>16. Источниковая база для дальнейшей проработки</w:t>
      </w:r>
    </w:p>
    <w:p>
      <w:pPr>
        <w:spacing w:after="120"/>
      </w:pPr>
      <w:r>
        <w:t>В исходных материалах к концепции указаны публикации и справочные материалы: «Наука и жизнь» (nkj.ru), ресурсы кафедры кристаллографии и кристаллохимии МГУ (cryst.geol.msu.ru), GeoKniga (geokniga.org), Gem Center (gem-center.ru), а также другие образовательные и отраслевые источники. При подготовке патентной, нормативной или научной версии документа конкретные свойства и методы необходимо подтверждать первичными научными публикациями, стандартами и технической документацией.</w:t>
      </w:r>
    </w:p>
    <w:p>
      <w:pPr>
        <w:pStyle w:val="Heading1"/>
      </w:pPr>
      <w:r>
        <w:t>17. Итог</w:t>
      </w:r>
    </w:p>
    <w:p>
      <w:pPr>
        <w:jc w:val="center"/>
      </w:pPr>
      <w:r>
        <w:rPr>
          <w:b/>
          <w:color w:val="18375B"/>
          <w:sz w:val="28"/>
        </w:rPr>
        <w:t>КЕРАМИКА СОХРАНЯЕТСЯ КАК ОБЯЗАТЕЛЬНЫЙ КОНТУР. СИНТЕТИЧЕСКИЕ КРИСТАЛЛЫ ВВОДЯТСЯ КАК ВТОРОЙ РАВНОПРАВНЫЙ КОНТУР.</w:t>
      </w:r>
    </w:p>
    <w:p>
      <w:pPr>
        <w:spacing w:after="120"/>
      </w:pPr>
      <w:r>
        <w:t>Такой подход расширяет материаловедение от конструкционных решений к функциональным, сенсорным, фотонным, энергетическим и интеллектуальным материалам и напрямую связывает его с ЭКО-PPA, научной робототехникой, минигенерацией, биоценозным мониторингом и самовалидирующейся природно-технической системой.</w:t>
      </w:r>
    </w:p>
    <w:sectPr w:rsidR="00FC693F" w:rsidRPr="0006063C" w:rsidSect="00034616"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28282"/>
        <w:sz w:val="16"/>
      </w:rPr>
      <w:t>МАТЕРИАЛОВЕДЕНИЕ • керамика + синтетические кристаллы •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18375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2E65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9C712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 w:eastAsia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 w:eastAsia="Apto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