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6"/>
        </w:rPr>
        <w:t>МАТЕРИАЛОВЕДЕНИЕ И ТРАНСПОРТ</w:t>
      </w:r>
    </w:p>
    <w:p>
      <w:pPr>
        <w:jc w:val="center"/>
      </w:pPr>
      <w:r>
        <w:rPr>
          <w:i/>
          <w:sz w:val="24"/>
        </w:rPr>
        <w:t>Концепция технологической модернизации транспортной системы Российской Федерации</w:t>
      </w:r>
    </w:p>
    <w:p/>
    <w:p>
      <w:pPr>
        <w:jc w:val="center"/>
      </w:pPr>
      <w:r>
        <w:rPr>
          <w:b/>
        </w:rPr>
        <w:t>Позиционный и концептуальный документ</w:t>
      </w:r>
    </w:p>
    <w:p>
      <w:r>
        <w:br w:type="page"/>
      </w:r>
    </w:p>
    <w:p>
      <w:pPr>
        <w:pStyle w:val="Heading1"/>
      </w:pPr>
      <w:r>
        <w:t>1. Общие положения</w:t>
      </w:r>
    </w:p>
    <w:p>
      <w:r>
        <w:t>Транспортная система Российской Федерации является одной из базовых инфраструктурных систем государства. Её эффективность непосредственно зависит не только от организации перевозок, цифрового управления и развития сети, но и от качества материалов, из которых создаются транспортные средства, дороги, мосты, тоннели, рельсовая инфраструктура, энергетические установки, узлы хранения и передачи энергии.</w:t>
      </w:r>
    </w:p>
    <w:p>
      <w:r>
        <w:t>В рамках системы «ЭКВИЛИБРИУМ» материаловедение рассматривается как один из ключевых технологических контуров транспорта. Предлагается перейти от раздельного развития транспортной инфраструктуры и материаловедческих разработок к единой модели, в которой требования транспорта формируют заказ на материалы, а новые материалы меняют экономику, ресурс, безопасность и архитектуру транспорта.</w:t>
      </w:r>
    </w:p>
    <w:p>
      <w:pPr>
        <w:pStyle w:val="Heading1"/>
      </w:pPr>
      <w:r>
        <w:t>2. Стратегическая цель</w:t>
      </w:r>
    </w:p>
    <w:p>
      <w:r>
        <w:t>Формирование национального контура «Материаловедение — Транспорт», обеспечивающего ускоренное внедрение отечественных материалов, композитов, покрытий, сплавов, керамики, сверхчистых веществ и функциональных материалов в гражданскую, промышленную и инфраструктурную транспортную систему.</w:t>
      </w:r>
    </w:p>
    <w:p>
      <w:pPr>
        <w:pStyle w:val="ListBullet"/>
      </w:pPr>
      <w:r>
        <w:t>снижение зависимости от критического импорта материалов и компонентов;</w:t>
      </w:r>
    </w:p>
    <w:p>
      <w:pPr>
        <w:pStyle w:val="ListBullet"/>
      </w:pPr>
      <w:r>
        <w:t>повышение ресурса транспортной инфраструктуры и подвижного состава;</w:t>
      </w:r>
    </w:p>
    <w:p>
      <w:pPr>
        <w:pStyle w:val="ListBullet"/>
      </w:pPr>
      <w:r>
        <w:t>снижение массы конструкций, энергопотребления и стоимости жизненного цикла;</w:t>
      </w:r>
    </w:p>
    <w:p>
      <w:pPr>
        <w:pStyle w:val="ListBullet"/>
      </w:pPr>
      <w:r>
        <w:t>повышение безопасности и устойчивости к экстремальным климатическим и эксплуатационным нагрузкам;</w:t>
      </w:r>
    </w:p>
    <w:p>
      <w:pPr>
        <w:pStyle w:val="ListBullet"/>
      </w:pPr>
      <w:r>
        <w:t>формирование отечественной технологической базы двойного назначения в части материалов, инфраструктуры и производства.</w:t>
      </w:r>
    </w:p>
    <w:p>
      <w:pPr>
        <w:pStyle w:val="Heading1"/>
      </w:pPr>
      <w:r>
        <w:t>3. Материаловедение как основа транспортного суверенитета</w:t>
      </w:r>
    </w:p>
    <w:p>
      <w:r>
        <w:t>Современный транспорт всё в большей степени является материалозависимой отраслью. Конкурентоспособность авиации, железнодорожного транспорта, автомобилестроения, судостроения, энергетики транспорта и инфраструктурного строительства определяется не только качеством конструкции, но и доступностью материалов с заданными физико-химическими, механическими, тепловыми, электрическими и ресурсными характеристиками.</w:t>
      </w:r>
    </w:p>
    <w:p>
      <w:pPr>
        <w:pStyle w:val="Heading2"/>
      </w:pPr>
      <w:r>
        <w:t>3.1. Приоритетные классы материалов</w:t>
      </w:r>
    </w:p>
    <w:p>
      <w:pPr>
        <w:pStyle w:val="ListBullet"/>
      </w:pPr>
      <w:r>
        <w:t>высокопрочные и коррозионностойкие стали;</w:t>
      </w:r>
    </w:p>
    <w:p>
      <w:pPr>
        <w:pStyle w:val="ListBullet"/>
      </w:pPr>
      <w:r>
        <w:t>алюминиевые и магниевые сплавы;</w:t>
      </w:r>
    </w:p>
    <w:p>
      <w:pPr>
        <w:pStyle w:val="ListBullet"/>
      </w:pPr>
      <w:r>
        <w:t>титановые сплавы и специальные жаропрочные материалы;</w:t>
      </w:r>
    </w:p>
    <w:p>
      <w:pPr>
        <w:pStyle w:val="ListBullet"/>
      </w:pPr>
      <w:r>
        <w:t>полимерные и углеродные композиты;</w:t>
      </w:r>
    </w:p>
    <w:p>
      <w:pPr>
        <w:pStyle w:val="ListBullet"/>
      </w:pPr>
      <w:r>
        <w:t>керамические и металлокерамические материалы;</w:t>
      </w:r>
    </w:p>
    <w:p>
      <w:pPr>
        <w:pStyle w:val="ListBullet"/>
      </w:pPr>
      <w:r>
        <w:t>функциональные покрытия и системы защиты от износа и коррозии;</w:t>
      </w:r>
    </w:p>
    <w:p>
      <w:pPr>
        <w:pStyle w:val="ListBullet"/>
      </w:pPr>
      <w:r>
        <w:t>наноструктурированные материалы и сверхчистые исходные вещества;</w:t>
      </w:r>
    </w:p>
    <w:p>
      <w:pPr>
        <w:pStyle w:val="ListBullet"/>
      </w:pPr>
      <w:r>
        <w:t>материалы для аккумуляторных систем, электротранспорта и силовой электроники;</w:t>
      </w:r>
    </w:p>
    <w:p>
      <w:pPr>
        <w:pStyle w:val="ListBullet"/>
      </w:pPr>
      <w:r>
        <w:t>материалы для водородной инфраструктуры и хранения газов;</w:t>
      </w:r>
    </w:p>
    <w:p>
      <w:pPr>
        <w:pStyle w:val="ListBullet"/>
      </w:pPr>
      <w:r>
        <w:t>геоматериалы и технологии стабилизации грунтов для транспортного строительства.</w:t>
      </w:r>
    </w:p>
    <w:p>
      <w:pPr>
        <w:pStyle w:val="Heading1"/>
      </w:pPr>
      <w:r>
        <w:t>4. Основные транспортные направления</w:t>
      </w:r>
    </w:p>
    <w:p>
      <w:pPr>
        <w:pStyle w:val="Heading2"/>
      </w:pPr>
      <w:r>
        <w:t>4.1. Автомобильный транспорт</w:t>
      </w:r>
    </w:p>
    <w:p>
      <w:r>
        <w:t>Лёгкие кузовные конструкции, высокоресурсные детали, тормозные и фрикционные материалы, композиты, антикоррозионные покрытия, материалы для аккумуляторов и электродвигателей.</w:t>
      </w:r>
    </w:p>
    <w:p>
      <w:pPr>
        <w:pStyle w:val="Heading2"/>
      </w:pPr>
      <w:r>
        <w:t>4.2. Железнодорожный транспорт</w:t>
      </w:r>
    </w:p>
    <w:p>
      <w:r>
        <w:t>Рельсовые стали нового поколения, износостойкие колёсные пары, композиционные материалы, покрытия, материалы для мостов, контактных сетей и элементов высокоскоростной инфраструктуры.</w:t>
      </w:r>
    </w:p>
    <w:p>
      <w:pPr>
        <w:pStyle w:val="Heading2"/>
      </w:pPr>
      <w:r>
        <w:t>4.3. Авиационный транспорт</w:t>
      </w:r>
    </w:p>
    <w:p>
      <w:r>
        <w:t>Высокопрочные алюминиевые и титановые сплавы, композиты, жаропрочные системы, керамика, покрытия, лёгкие конструкции и материалы для электрических и гибридных силовых установок.</w:t>
      </w:r>
    </w:p>
    <w:p>
      <w:pPr>
        <w:pStyle w:val="Heading2"/>
      </w:pPr>
      <w:r>
        <w:t>4.4. Морской и речной транспорт</w:t>
      </w:r>
    </w:p>
    <w:p>
      <w:r>
        <w:t>Коррозионностойкие материалы, судовые стали, композиты, покрытия, материалы для арктической эксплуатации, энергетических систем и портовой инфраструктуры.</w:t>
      </w:r>
    </w:p>
    <w:p>
      <w:pPr>
        <w:pStyle w:val="Heading2"/>
      </w:pPr>
      <w:r>
        <w:t>4.5. Городской электротранспорт</w:t>
      </w:r>
    </w:p>
    <w:p>
      <w:r>
        <w:t>Материалы для аккумуляторов, силовой электроники, контактных сетей, лёгких кузовов, высокоресурсных колёсных узлов и инфраструктуры зарядки.</w:t>
      </w:r>
    </w:p>
    <w:p>
      <w:pPr>
        <w:pStyle w:val="Heading2"/>
      </w:pPr>
      <w:r>
        <w:t>4.6. Трубопроводный и специальный транспорт</w:t>
      </w:r>
    </w:p>
    <w:p>
      <w:r>
        <w:t>Высокопрочные трубы, антикоррозионные покрытия, материалы для высоких давлений, низких температур, химически активных сред и мониторинга целостности.</w:t>
      </w:r>
    </w:p>
    <w:p>
      <w:pPr>
        <w:pStyle w:val="Heading1"/>
      </w:pPr>
      <w:r>
        <w:t>5. Архитектура «ЭКВИЛИБРИУМ Материаловедение — Транспорт»</w:t>
      </w:r>
    </w:p>
    <w:p>
      <w:r>
        <w:t>Предлагаемая архитектура строится как единый цикл: потребность транспорта → техническое задание → научная разработка → опытный материал → валидация → сертификация → пилотное применение → промышленное производство → эксплуатационный мониторинг → повторное улучшение.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Контур</w:t>
            </w:r>
          </w:p>
        </w:tc>
        <w:tc>
          <w:tcPr>
            <w:tcW w:type="dxa" w:w="3324"/>
          </w:tcPr>
          <w:p>
            <w:r>
              <w:t>Функция</w:t>
            </w:r>
          </w:p>
        </w:tc>
        <w:tc>
          <w:tcPr>
            <w:tcW w:type="dxa" w:w="3324"/>
          </w:tcPr>
          <w:p>
            <w:r>
              <w:t>Результат</w:t>
            </w:r>
          </w:p>
        </w:tc>
      </w:tr>
      <w:tr>
        <w:tc>
          <w:tcPr>
            <w:tcW w:type="dxa" w:w="3324"/>
          </w:tcPr>
          <w:p>
            <w:r>
              <w:t>Наука и R&amp;D</w:t>
            </w:r>
          </w:p>
        </w:tc>
        <w:tc>
          <w:tcPr>
            <w:tcW w:type="dxa" w:w="3324"/>
          </w:tcPr>
          <w:p>
            <w:r>
              <w:t>Разработка новых материалов и технологий</w:t>
            </w:r>
          </w:p>
        </w:tc>
        <w:tc>
          <w:tcPr>
            <w:tcW w:type="dxa" w:w="3324"/>
          </w:tcPr>
          <w:p>
            <w:r>
              <w:t>Материалы с заданными характеристиками</w:t>
            </w:r>
          </w:p>
        </w:tc>
      </w:tr>
      <w:tr>
        <w:tc>
          <w:tcPr>
            <w:tcW w:type="dxa" w:w="3324"/>
          </w:tcPr>
          <w:p>
            <w:r>
              <w:t>Испытания и валидация</w:t>
            </w:r>
          </w:p>
        </w:tc>
        <w:tc>
          <w:tcPr>
            <w:tcW w:type="dxa" w:w="3324"/>
          </w:tcPr>
          <w:p>
            <w:r>
              <w:t>Лабораторные, стендовые и натурные испытания</w:t>
            </w:r>
          </w:p>
        </w:tc>
        <w:tc>
          <w:tcPr>
            <w:tcW w:type="dxa" w:w="3324"/>
          </w:tcPr>
          <w:p>
            <w:r>
              <w:t>Подтверждённые параметры и ресурс</w:t>
            </w:r>
          </w:p>
        </w:tc>
      </w:tr>
      <w:tr>
        <w:tc>
          <w:tcPr>
            <w:tcW w:type="dxa" w:w="3324"/>
          </w:tcPr>
          <w:p>
            <w:r>
              <w:t>Промышленность</w:t>
            </w:r>
          </w:p>
        </w:tc>
        <w:tc>
          <w:tcPr>
            <w:tcW w:type="dxa" w:w="3324"/>
          </w:tcPr>
          <w:p>
            <w:r>
              <w:t>Масштабирование производства</w:t>
            </w:r>
          </w:p>
        </w:tc>
        <w:tc>
          <w:tcPr>
            <w:tcW w:type="dxa" w:w="3324"/>
          </w:tcPr>
          <w:p>
            <w:r>
              <w:t>Серийный материал и компонент</w:t>
            </w:r>
          </w:p>
        </w:tc>
      </w:tr>
      <w:tr>
        <w:tc>
          <w:tcPr>
            <w:tcW w:type="dxa" w:w="3324"/>
          </w:tcPr>
          <w:p>
            <w:r>
              <w:t>Транспорт</w:t>
            </w:r>
          </w:p>
        </w:tc>
        <w:tc>
          <w:tcPr>
            <w:tcW w:type="dxa" w:w="3324"/>
          </w:tcPr>
          <w:p>
            <w:r>
              <w:t>Пилотное и серийное применение</w:t>
            </w:r>
          </w:p>
        </w:tc>
        <w:tc>
          <w:tcPr>
            <w:tcW w:type="dxa" w:w="3324"/>
          </w:tcPr>
          <w:p>
            <w:r>
              <w:t>Снижение массы, затрат и аварийности</w:t>
            </w:r>
          </w:p>
        </w:tc>
      </w:tr>
      <w:tr>
        <w:tc>
          <w:tcPr>
            <w:tcW w:type="dxa" w:w="3324"/>
          </w:tcPr>
          <w:p>
            <w:r>
              <w:t>Цифровой мониторинг</w:t>
            </w:r>
          </w:p>
        </w:tc>
        <w:tc>
          <w:tcPr>
            <w:tcW w:type="dxa" w:w="3324"/>
          </w:tcPr>
          <w:p>
            <w:r>
              <w:t>Сбор эксплуатационных данных</w:t>
            </w:r>
          </w:p>
        </w:tc>
        <w:tc>
          <w:tcPr>
            <w:tcW w:type="dxa" w:w="3324"/>
          </w:tcPr>
          <w:p>
            <w:r>
              <w:t>Прогноз ресурса и обратная связь</w:t>
            </w:r>
          </w:p>
        </w:tc>
      </w:tr>
      <w:tr>
        <w:tc>
          <w:tcPr>
            <w:tcW w:type="dxa" w:w="3324"/>
          </w:tcPr>
          <w:p>
            <w:r>
              <w:t>Государственное управление</w:t>
            </w:r>
          </w:p>
        </w:tc>
        <w:tc>
          <w:tcPr>
            <w:tcW w:type="dxa" w:w="3324"/>
          </w:tcPr>
          <w:p>
            <w:r>
              <w:t>Стандарты, координация, меры поддержки</w:t>
            </w:r>
          </w:p>
        </w:tc>
        <w:tc>
          <w:tcPr>
            <w:tcW w:type="dxa" w:w="3324"/>
          </w:tcPr>
          <w:p>
            <w:r>
              <w:t>Технологический суверенитет</w:t>
            </w:r>
          </w:p>
        </w:tc>
      </w:tr>
    </w:tbl>
    <w:p>
      <w:pPr>
        <w:pStyle w:val="Heading1"/>
      </w:pPr>
      <w:r>
        <w:t>6. Ключевые технологические проекты</w:t>
      </w:r>
    </w:p>
    <w:p>
      <w:pPr>
        <w:pStyle w:val="ListBullet"/>
      </w:pPr>
      <w:r>
        <w:t>Центр транспортного материаловедения — единая площадка координации НИОКР, испытаний и внедрения.</w:t>
      </w:r>
    </w:p>
    <w:p>
      <w:pPr>
        <w:pStyle w:val="ListBullet"/>
      </w:pPr>
      <w:r>
        <w:t>Реестр критических транспортных материалов и технологий.</w:t>
      </w:r>
    </w:p>
    <w:p>
      <w:pPr>
        <w:pStyle w:val="ListBullet"/>
      </w:pPr>
      <w:r>
        <w:t>Национальная библиотека свойств материалов с цифровыми паспортами.</w:t>
      </w:r>
    </w:p>
    <w:p>
      <w:pPr>
        <w:pStyle w:val="ListBullet"/>
      </w:pPr>
      <w:r>
        <w:t>Цифровой двойник жизненного цикла транспортных конструкций.</w:t>
      </w:r>
    </w:p>
    <w:p>
      <w:pPr>
        <w:pStyle w:val="ListBullet"/>
      </w:pPr>
      <w:r>
        <w:t>Программа импортонезависимых материалов для транспорта.</w:t>
      </w:r>
    </w:p>
    <w:p>
      <w:pPr>
        <w:pStyle w:val="ListBullet"/>
      </w:pPr>
      <w:r>
        <w:t>Пилотные полигоны для натурных испытаний материалов в реальных климатических условиях.</w:t>
      </w:r>
    </w:p>
    <w:p>
      <w:pPr>
        <w:pStyle w:val="ListBullet"/>
      </w:pPr>
      <w:r>
        <w:t>Индустриальные консорциумы по алюминию, композитам, керамике, аккумуляторным материалам и защитным покрытиям.</w:t>
      </w:r>
    </w:p>
    <w:p>
      <w:pPr>
        <w:pStyle w:val="ListBullet"/>
      </w:pPr>
      <w:r>
        <w:t>Система прослеживаемости происхождения, качества и ресурса материалов.</w:t>
      </w:r>
    </w:p>
    <w:p>
      <w:pPr>
        <w:pStyle w:val="Heading1"/>
      </w:pPr>
      <w:r>
        <w:t>7. Пример приоритетного направления: сверхчистая и наноструктурированная алюмооксидная продукция</w:t>
      </w:r>
    </w:p>
    <w:p>
      <w:r>
        <w:t>Отдельным перспективным направлением является применение сверхчистой и наноструктурированной алюмооксидной продукции в транспортном машиностроении, электротехнике, силовой электронике, защитных покрытиях, керамических узлах, сенсорах и компонентах, работающих при повышенных температурах и нагрузках. Для принятия решений о промышленном внедрении требуется технологическая валидация по конкретным транспортным применениям, подтверждение параметров, ресурса, стоимости жизненного цикла и готовности к серийному производству.</w:t>
      </w:r>
    </w:p>
    <w:p>
      <w:pPr>
        <w:pStyle w:val="Heading1"/>
      </w:pPr>
      <w:r>
        <w:t>8. Технологии стабилизации грунтов и транспортная инфраструктура</w:t>
      </w:r>
    </w:p>
    <w:p>
      <w:r>
        <w:t>Стабилизация грунтов может рассматриваться как самостоятельное направление транспортного материаловедения. При подтверждённых характеристиках такие технологии способны применяться при строительстве и реконструкции автомобильных дорог, железнодорожных оснований, временной инфраструктуры, промышленных площадок и объектов в сложных геологических условиях.</w:t>
      </w:r>
    </w:p>
    <w:p>
      <w:pPr>
        <w:pStyle w:val="ListBullet"/>
      </w:pPr>
      <w:r>
        <w:t>повышение несущей способности основания;</w:t>
      </w:r>
    </w:p>
    <w:p>
      <w:pPr>
        <w:pStyle w:val="ListBullet"/>
      </w:pPr>
      <w:r>
        <w:t>снижение объёма замены грунтов и подвоза инертных материалов;</w:t>
      </w:r>
    </w:p>
    <w:p>
      <w:pPr>
        <w:pStyle w:val="ListBullet"/>
      </w:pPr>
      <w:r>
        <w:t>сокращение сроков строительства;</w:t>
      </w:r>
    </w:p>
    <w:p>
      <w:pPr>
        <w:pStyle w:val="ListBullet"/>
      </w:pPr>
      <w:r>
        <w:t>повышение устойчивости к сезонным и климатическим деформациям;</w:t>
      </w:r>
    </w:p>
    <w:p>
      <w:pPr>
        <w:pStyle w:val="ListBullet"/>
      </w:pPr>
      <w:r>
        <w:t>возможное снижение углеродоёмкости строительства при подтверждении расчётами жизненного цикла.</w:t>
      </w:r>
    </w:p>
    <w:p>
      <w:pPr>
        <w:pStyle w:val="Heading1"/>
      </w:pPr>
      <w:r>
        <w:t>9. Транспорт двойного назначения</w:t>
      </w:r>
    </w:p>
    <w:p>
      <w:r>
        <w:t>В рамках государственной транспортной политики материалы и технологии целесообразно оценивать также по критериям устойчивости, ремонтопригодности, ресурсной независимости и возможности быстрого восстановления инфраструктуры. Речь идёт о создании гражданской промышленной базы, способной сохранять работоспособность транспортной системы при чрезвычайных ситуациях, технологических ограничениях и повышенной нагрузке.</w:t>
      </w:r>
    </w:p>
    <w:p>
      <w:r>
        <w:t>При этом конкретные оборонные применения, режимы доступа и специальные требования должны формироваться только уполномоченными государственными заказчиками в рамках действующего законодательства и установленных процедур.</w:t>
      </w:r>
    </w:p>
    <w:p>
      <w:pPr>
        <w:pStyle w:val="Heading1"/>
      </w:pPr>
      <w:r>
        <w:t>10. Экономическая модель</w:t>
      </w:r>
    </w:p>
    <w:p>
      <w:pPr>
        <w:pStyle w:val="ListBullet"/>
      </w:pPr>
      <w:r>
        <w:t>государственный технологический заказ на критические материалы;</w:t>
      </w:r>
    </w:p>
    <w:p>
      <w:pPr>
        <w:pStyle w:val="ListBullet"/>
      </w:pPr>
      <w:r>
        <w:t>долгосрочные оффтейк-контракты транспортных корпораций;</w:t>
      </w:r>
    </w:p>
    <w:p>
      <w:pPr>
        <w:pStyle w:val="ListBullet"/>
      </w:pPr>
      <w:r>
        <w:t>ГЧП для испытательной и производственной инфраструктуры;</w:t>
      </w:r>
    </w:p>
    <w:p>
      <w:pPr>
        <w:pStyle w:val="ListBullet"/>
      </w:pPr>
      <w:r>
        <w:t>индустриальные консорциумы производителей материалов и транспортных компаний;</w:t>
      </w:r>
    </w:p>
    <w:p>
      <w:pPr>
        <w:pStyle w:val="ListBullet"/>
      </w:pPr>
      <w:r>
        <w:t>меры поддержки сертификации, локализации и масштабирования;</w:t>
      </w:r>
    </w:p>
    <w:p>
      <w:pPr>
        <w:pStyle w:val="ListBullet"/>
      </w:pPr>
      <w:r>
        <w:t>оценка эффективности по полной стоимости жизненного цикла, а не только по закупочной цене.</w:t>
      </w:r>
    </w:p>
    <w:p>
      <w:pPr>
        <w:pStyle w:val="Heading1"/>
      </w:pPr>
      <w:r>
        <w:t>11. Система показателей</w:t>
      </w:r>
    </w:p>
    <w:p>
      <w:pPr>
        <w:pStyle w:val="ListBullet"/>
      </w:pPr>
      <w:r>
        <w:t>доля отечественных материалов в критических транспортных сегментах;</w:t>
      </w:r>
    </w:p>
    <w:p>
      <w:pPr>
        <w:pStyle w:val="ListBullet"/>
      </w:pPr>
      <w:r>
        <w:t>снижение массы транспортных конструкций;</w:t>
      </w:r>
    </w:p>
    <w:p>
      <w:pPr>
        <w:pStyle w:val="ListBullet"/>
      </w:pPr>
      <w:r>
        <w:t>увеличение межремонтного ресурса;</w:t>
      </w:r>
    </w:p>
    <w:p>
      <w:pPr>
        <w:pStyle w:val="ListBullet"/>
      </w:pPr>
      <w:r>
        <w:t>снижение аварийности и отказов материалов;</w:t>
      </w:r>
    </w:p>
    <w:p>
      <w:pPr>
        <w:pStyle w:val="ListBullet"/>
      </w:pPr>
      <w:r>
        <w:t>снижение стоимости жизненного цикла;</w:t>
      </w:r>
    </w:p>
    <w:p>
      <w:pPr>
        <w:pStyle w:val="ListBullet"/>
      </w:pPr>
      <w:r>
        <w:t>энергоэффективность и снижение расхода топлива/энергии;</w:t>
      </w:r>
    </w:p>
    <w:p>
      <w:pPr>
        <w:pStyle w:val="ListBullet"/>
      </w:pPr>
      <w:r>
        <w:t>срок от лабораторной разработки до промышленного внедрения;</w:t>
      </w:r>
    </w:p>
    <w:p>
      <w:pPr>
        <w:pStyle w:val="ListBullet"/>
      </w:pPr>
      <w:r>
        <w:t>объём серийного производства новых материалов;</w:t>
      </w:r>
    </w:p>
    <w:p>
      <w:pPr>
        <w:pStyle w:val="ListBullet"/>
      </w:pPr>
      <w:r>
        <w:t>экспортный потенциал материалов и транспортных технологий.</w:t>
      </w:r>
    </w:p>
    <w:p>
      <w:pPr>
        <w:pStyle w:val="Heading1"/>
      </w:pPr>
      <w:r>
        <w:t>12. Предлагаемый пилот</w:t>
      </w:r>
    </w:p>
    <w:p>
      <w:r>
        <w:t>В качестве пилота предлагается сформировать межотраслевой проект, объединяющий транспортную компанию или инфраструктурного заказчика, разработчика материала, производителя, испытательный центр и цифровой контур «ЭКВИЛИБРИУМ».</w:t>
      </w:r>
    </w:p>
    <w:p>
      <w:pPr>
        <w:pStyle w:val="ListBullet"/>
      </w:pPr>
      <w:r>
        <w:t>выбрать 3–5 материаловедческих решений с высокой готовностью;</w:t>
      </w:r>
    </w:p>
    <w:p>
      <w:pPr>
        <w:pStyle w:val="ListBullet"/>
      </w:pPr>
      <w:r>
        <w:t>определить конкретные транспортные изделия или инфраструктурные объекты;</w:t>
      </w:r>
    </w:p>
    <w:p>
      <w:pPr>
        <w:pStyle w:val="ListBullet"/>
      </w:pPr>
      <w:r>
        <w:t>провести сравнительные испытания с серийными аналогами;</w:t>
      </w:r>
    </w:p>
    <w:p>
      <w:pPr>
        <w:pStyle w:val="ListBullet"/>
      </w:pPr>
      <w:r>
        <w:t>рассчитать ресурс, стоимость жизненного цикла и экономический эффект;</w:t>
      </w:r>
    </w:p>
    <w:p>
      <w:pPr>
        <w:pStyle w:val="ListBullet"/>
      </w:pPr>
      <w:r>
        <w:t>создать цифровые паспорта и протоколы валидации;</w:t>
      </w:r>
    </w:p>
    <w:p>
      <w:pPr>
        <w:pStyle w:val="ListBullet"/>
      </w:pPr>
      <w:r>
        <w:t>по итогам пилота принять решение о серийном внедрении.</w:t>
      </w:r>
    </w:p>
    <w:p>
      <w:pPr>
        <w:pStyle w:val="Heading1"/>
      </w:pPr>
      <w:r>
        <w:t>13. Государственный механизм реализации</w:t>
      </w:r>
    </w:p>
    <w:p>
      <w:r>
        <w:t>Для реализации инициативы предлагается сформировать межведомственный и межотраслевой координационный контур с участием профильных федеральных органов исполнительной власти, транспортных компаний, научных организаций, производителей материалов, испытательных и сертификационных центров.</w:t>
      </w:r>
    </w:p>
    <w:p>
      <w:pPr>
        <w:pStyle w:val="ListBullet"/>
      </w:pPr>
      <w:r>
        <w:t>утверждение перечня критических материалов и технологий;</w:t>
      </w:r>
    </w:p>
    <w:p>
      <w:pPr>
        <w:pStyle w:val="ListBullet"/>
      </w:pPr>
      <w:r>
        <w:t>формирование дорожной карты НИОКР и внедрения;</w:t>
      </w:r>
    </w:p>
    <w:p>
      <w:pPr>
        <w:pStyle w:val="ListBullet"/>
      </w:pPr>
      <w:r>
        <w:t>создание единой системы испытаний и валидации;</w:t>
      </w:r>
    </w:p>
    <w:p>
      <w:pPr>
        <w:pStyle w:val="ListBullet"/>
      </w:pPr>
      <w:r>
        <w:t>поддержка опытно-промышленного производства;</w:t>
      </w:r>
    </w:p>
    <w:p>
      <w:pPr>
        <w:pStyle w:val="ListBullet"/>
      </w:pPr>
      <w:r>
        <w:t>включение подтверждённых решений в закупочные и отраслевые стандарты;</w:t>
      </w:r>
    </w:p>
    <w:p>
      <w:pPr>
        <w:pStyle w:val="ListBullet"/>
      </w:pPr>
      <w:r>
        <w:t>масштабирование успешных решений на транспортную систему Российской Федерации.</w:t>
      </w:r>
    </w:p>
    <w:p>
      <w:pPr>
        <w:pStyle w:val="Heading1"/>
      </w:pPr>
      <w:r>
        <w:t>14. Ожидаемый результат</w:t>
      </w:r>
    </w:p>
    <w:p>
      <w:r>
        <w:t>Связка «Материаловедение — Транспорт» должна стать одним из механизмов технологического суверенитета России. Её результатом является не отдельный материал или транспортный проект, а воспроизводимая система создания, проверки, внедрения и масштабирования технологий.</w:t>
      </w:r>
    </w:p>
    <w:p>
      <w:r>
        <w:t>«ЭКВИЛИБРИУМ» в данной модели выполняет функцию системной архитектуры: связывает научный заказ, технологии, производственные мощности, транспортную эксплуатацию, данные о жизненном цикле, экономику и государственное управление в единый управляемый контур.</w:t>
      </w:r>
    </w:p>
    <w:p>
      <w:pPr>
        <w:pStyle w:val="Heading1"/>
      </w:pPr>
      <w:r>
        <w:t>15. Предложение</w:t>
      </w:r>
    </w:p>
    <w:p>
      <w:r>
        <w:t>Предлагается рассмотреть создание пилотного федерального контура «ЭКВИЛИБРИУМ: Материаловедение и Транспорт» с последующим формированием национальной программы ускоренного внедрения новых материалов и унифицированных технологий в транспортную систему Российской Федерации.</w:t>
      </w:r>
    </w:p>
    <w:sectPr w:rsidR="00FC693F" w:rsidRPr="0006063C" w:rsidSect="00034616">
      <w:pgSz w:w="12240" w:h="15840"/>
      <w:pgMar w:top="1134" w:right="96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